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6F402" w14:textId="32DB100B" w:rsidR="005B7DF5" w:rsidRPr="001856D9" w:rsidRDefault="00813283" w:rsidP="00752D69">
      <w:pPr>
        <w:spacing w:line="276" w:lineRule="auto"/>
        <w:jc w:val="center"/>
        <w:rPr>
          <w:b/>
          <w:sz w:val="26"/>
          <w:szCs w:val="26"/>
          <w:lang w:val="en-GB"/>
        </w:rPr>
      </w:pPr>
      <w:r w:rsidRPr="001856D9">
        <w:rPr>
          <w:b/>
          <w:sz w:val="26"/>
          <w:szCs w:val="26"/>
          <w:lang w:val="en-GB"/>
        </w:rPr>
        <w:t xml:space="preserve">A NEW </w:t>
      </w:r>
      <w:r w:rsidR="00637EF8" w:rsidRPr="001856D9">
        <w:rPr>
          <w:b/>
          <w:sz w:val="26"/>
          <w:szCs w:val="26"/>
          <w:lang w:val="en-GB"/>
        </w:rPr>
        <w:t>NUMERICAL</w:t>
      </w:r>
      <w:r w:rsidRPr="001856D9">
        <w:rPr>
          <w:b/>
          <w:sz w:val="26"/>
          <w:szCs w:val="26"/>
          <w:lang w:val="en-GB"/>
        </w:rPr>
        <w:t xml:space="preserve"> APPROACH TO </w:t>
      </w:r>
      <w:r w:rsidR="00752D69" w:rsidRPr="001856D9">
        <w:rPr>
          <w:b/>
          <w:sz w:val="26"/>
          <w:szCs w:val="26"/>
          <w:lang w:val="en-GB"/>
        </w:rPr>
        <w:t>PREDICT ENERGY ABSORPTION OF COMPOSITE STRUCTURES</w:t>
      </w:r>
      <w:r w:rsidR="00B93350" w:rsidRPr="001856D9">
        <w:rPr>
          <w:b/>
          <w:sz w:val="26"/>
          <w:szCs w:val="26"/>
          <w:lang w:val="en-GB"/>
        </w:rPr>
        <w:t xml:space="preserve"> UNDER CRUSH</w:t>
      </w:r>
    </w:p>
    <w:p w14:paraId="22A1A62F" w14:textId="77777777" w:rsidR="005B7DF5" w:rsidRPr="00637EF8" w:rsidRDefault="005B7DF5" w:rsidP="005B7DF5">
      <w:pPr>
        <w:jc w:val="center"/>
        <w:rPr>
          <w:b/>
          <w:lang w:val="en-GB"/>
        </w:rPr>
      </w:pPr>
    </w:p>
    <w:p w14:paraId="5A1BBE80" w14:textId="0E2667EB" w:rsidR="005B7DF5" w:rsidRPr="00637EF8" w:rsidRDefault="005B7DF5" w:rsidP="005B7DF5">
      <w:pPr>
        <w:spacing w:line="360" w:lineRule="auto"/>
        <w:jc w:val="center"/>
        <w:rPr>
          <w:lang w:val="en-GB"/>
        </w:rPr>
      </w:pPr>
      <w:r w:rsidRPr="00637EF8">
        <w:rPr>
          <w:lang w:val="en-GB"/>
        </w:rPr>
        <w:t>Mehmet Engul</w:t>
      </w:r>
      <w:r w:rsidRPr="00637EF8">
        <w:rPr>
          <w:vertAlign w:val="superscript"/>
          <w:lang w:val="en-GB"/>
        </w:rPr>
        <w:t>1</w:t>
      </w:r>
      <w:r w:rsidRPr="00637EF8">
        <w:rPr>
          <w:lang w:val="en-GB"/>
        </w:rPr>
        <w:t>, Nuri Ersoy</w:t>
      </w:r>
      <w:r w:rsidRPr="00637EF8">
        <w:rPr>
          <w:vertAlign w:val="superscript"/>
          <w:lang w:val="en-GB"/>
        </w:rPr>
        <w:t>1</w:t>
      </w:r>
      <w:r w:rsidR="001856D9">
        <w:rPr>
          <w:vertAlign w:val="superscript"/>
          <w:lang w:val="en-GB"/>
        </w:rPr>
        <w:t>-2</w:t>
      </w:r>
    </w:p>
    <w:p w14:paraId="75E3B66A" w14:textId="77777777" w:rsidR="001856D9" w:rsidRPr="001856D9" w:rsidRDefault="005B7DF5" w:rsidP="005B7DF5">
      <w:pPr>
        <w:jc w:val="center"/>
        <w:rPr>
          <w:sz w:val="23"/>
          <w:szCs w:val="23"/>
          <w:lang w:val="en-GB"/>
        </w:rPr>
      </w:pPr>
      <w:r w:rsidRPr="001856D9">
        <w:rPr>
          <w:sz w:val="23"/>
          <w:szCs w:val="23"/>
          <w:vertAlign w:val="superscript"/>
          <w:lang w:val="en-GB"/>
        </w:rPr>
        <w:t>1</w:t>
      </w:r>
      <w:r w:rsidRPr="001856D9">
        <w:rPr>
          <w:sz w:val="23"/>
          <w:szCs w:val="23"/>
          <w:lang w:val="en-GB"/>
        </w:rPr>
        <w:t xml:space="preserve">Department of Mechanical Engineering, Bogazici University, Bebek, 34342, Istanbul, </w:t>
      </w:r>
      <w:r w:rsidR="001856D9" w:rsidRPr="001856D9">
        <w:rPr>
          <w:sz w:val="23"/>
          <w:szCs w:val="23"/>
          <w:lang w:val="en-GB"/>
        </w:rPr>
        <w:t>TURKEY</w:t>
      </w:r>
    </w:p>
    <w:p w14:paraId="457550D3" w14:textId="40AA7A1B" w:rsidR="001856D9" w:rsidRPr="001856D9" w:rsidRDefault="001856D9" w:rsidP="001856D9">
      <w:pPr>
        <w:jc w:val="center"/>
        <w:rPr>
          <w:sz w:val="23"/>
          <w:szCs w:val="23"/>
        </w:rPr>
      </w:pPr>
      <w:r w:rsidRPr="001856D9">
        <w:rPr>
          <w:sz w:val="23"/>
          <w:szCs w:val="23"/>
          <w:vertAlign w:val="superscript"/>
        </w:rPr>
        <w:t>2</w:t>
      </w:r>
      <w:r w:rsidRPr="001856D9">
        <w:rPr>
          <w:sz w:val="23"/>
          <w:szCs w:val="23"/>
        </w:rPr>
        <w:t xml:space="preserve">Department of Engineering, Design, and Mathematics, University of West England, </w:t>
      </w:r>
      <w:r w:rsidRPr="001856D9">
        <w:rPr>
          <w:sz w:val="23"/>
          <w:szCs w:val="23"/>
        </w:rPr>
        <w:tab/>
      </w:r>
      <w:r w:rsidRPr="001856D9">
        <w:rPr>
          <w:sz w:val="23"/>
          <w:szCs w:val="23"/>
        </w:rPr>
        <w:tab/>
        <w:t>BS16 1QY, Bristol, UNITED KINGDOM</w:t>
      </w:r>
    </w:p>
    <w:p w14:paraId="7568232B" w14:textId="25944DB1" w:rsidR="005B7DF5" w:rsidRPr="00637EF8" w:rsidRDefault="005B7DF5" w:rsidP="005B7DF5">
      <w:pPr>
        <w:jc w:val="center"/>
        <w:rPr>
          <w:lang w:val="en-GB"/>
        </w:rPr>
      </w:pPr>
      <w:r w:rsidRPr="00637EF8">
        <w:rPr>
          <w:lang w:val="en-GB"/>
        </w:rPr>
        <w:t xml:space="preserve">Emails: </w:t>
      </w:r>
      <w:hyperlink r:id="rId4" w:history="1">
        <w:r w:rsidRPr="00637EF8">
          <w:rPr>
            <w:rStyle w:val="Kpr"/>
            <w:lang w:val="en-GB"/>
          </w:rPr>
          <w:t>mehmet.engul@boun.edu.tr</w:t>
        </w:r>
      </w:hyperlink>
      <w:r w:rsidRPr="00637EF8">
        <w:rPr>
          <w:lang w:val="en-GB"/>
        </w:rPr>
        <w:t xml:space="preserve">, </w:t>
      </w:r>
      <w:hyperlink r:id="rId5" w:history="1">
        <w:r w:rsidRPr="00637EF8">
          <w:rPr>
            <w:rStyle w:val="Kpr"/>
            <w:lang w:val="en-GB"/>
          </w:rPr>
          <w:t>nuri.ersoy@boun.edu.tr</w:t>
        </w:r>
      </w:hyperlink>
    </w:p>
    <w:p w14:paraId="40734125" w14:textId="77777777" w:rsidR="005B7DF5" w:rsidRPr="00637EF8" w:rsidRDefault="005B7DF5" w:rsidP="005B7DF5">
      <w:pPr>
        <w:spacing w:line="276" w:lineRule="auto"/>
        <w:jc w:val="both"/>
        <w:rPr>
          <w:lang w:val="en-GB"/>
        </w:rPr>
      </w:pPr>
    </w:p>
    <w:p w14:paraId="47591829" w14:textId="7136F203" w:rsidR="00834E62" w:rsidRPr="001856D9" w:rsidRDefault="001856D9" w:rsidP="001856D9">
      <w:pPr>
        <w:spacing w:line="360" w:lineRule="auto"/>
        <w:jc w:val="center"/>
        <w:rPr>
          <w:b/>
          <w:lang w:val="en-GB"/>
        </w:rPr>
      </w:pPr>
      <w:r w:rsidRPr="001856D9">
        <w:rPr>
          <w:b/>
          <w:lang w:val="en-GB"/>
        </w:rPr>
        <w:t>ABSTRACT</w:t>
      </w:r>
    </w:p>
    <w:p w14:paraId="58AD9767" w14:textId="69A8623A" w:rsidR="00146C67" w:rsidRPr="00637EF8" w:rsidRDefault="0080746C" w:rsidP="001856D9">
      <w:pPr>
        <w:spacing w:after="240" w:line="360" w:lineRule="auto"/>
        <w:ind w:firstLine="708"/>
        <w:jc w:val="both"/>
        <w:rPr>
          <w:lang w:val="en-GB"/>
        </w:rPr>
      </w:pPr>
      <w:r w:rsidRPr="00637EF8">
        <w:rPr>
          <w:lang w:val="en-GB"/>
        </w:rPr>
        <w:t xml:space="preserve">Composites are being increasingly used in the industry because of their benefits over traditional metallic materials including their strength, weight, and reduction in manufacturing time. Along with these benefits, composites also have excellent performance related to energy absorption during impact and crash events. The fracture process in composite structures is quite complex which involves not only intralaminar failure modes, but also interlaminar failure. </w:t>
      </w:r>
      <w:r w:rsidR="00EB0E29" w:rsidRPr="00637EF8">
        <w:rPr>
          <w:lang w:val="en-GB"/>
        </w:rPr>
        <w:t xml:space="preserve">For crashworthiness simulation of large scale composite structures compromise modelling methods are needed that can balance accuracy and modelling efforts with acceptable computational (CPU) costs. </w:t>
      </w:r>
      <w:r w:rsidR="00F82AC4" w:rsidRPr="00637EF8">
        <w:rPr>
          <w:lang w:val="en-GB"/>
        </w:rPr>
        <w:t>Although advances in commercial Finite Element Analysis (FEA) software have enabled engineers to realistically simulate the performance of composite components, computational cost is still a significant issue for numeric studies.</w:t>
      </w:r>
      <w:r w:rsidR="00DC1AF0" w:rsidRPr="00637EF8">
        <w:rPr>
          <w:lang w:val="en-GB"/>
        </w:rPr>
        <w:t xml:space="preserve"> </w:t>
      </w:r>
      <w:r w:rsidR="00F82AC4" w:rsidRPr="00637EF8">
        <w:rPr>
          <w:lang w:val="en-GB"/>
        </w:rPr>
        <w:t xml:space="preserve"> </w:t>
      </w:r>
      <w:bookmarkStart w:id="0" w:name="_GoBack"/>
      <w:bookmarkEnd w:id="0"/>
    </w:p>
    <w:p w14:paraId="1D98E3CA" w14:textId="1FE9DBF7" w:rsidR="00813283" w:rsidRPr="00637EF8" w:rsidRDefault="00813283" w:rsidP="001856D9">
      <w:pPr>
        <w:spacing w:after="240" w:line="360" w:lineRule="auto"/>
        <w:ind w:firstLine="708"/>
        <w:jc w:val="both"/>
        <w:rPr>
          <w:lang w:val="en-GB"/>
        </w:rPr>
      </w:pPr>
      <w:r w:rsidRPr="00637EF8">
        <w:rPr>
          <w:lang w:val="en-GB"/>
        </w:rPr>
        <w:t xml:space="preserve">This study proposes a new modelling approach to predict the energy absorption capability of composite structures </w:t>
      </w:r>
      <w:r w:rsidR="00BD1396" w:rsidRPr="00637EF8">
        <w:rPr>
          <w:lang w:val="en-GB"/>
        </w:rPr>
        <w:t xml:space="preserve">under axial </w:t>
      </w:r>
      <w:r w:rsidR="00B93350">
        <w:rPr>
          <w:lang w:val="en-GB"/>
        </w:rPr>
        <w:t>crush</w:t>
      </w:r>
      <w:r w:rsidR="00B93350" w:rsidRPr="00637EF8">
        <w:rPr>
          <w:lang w:val="en-GB"/>
        </w:rPr>
        <w:t xml:space="preserve"> </w:t>
      </w:r>
      <w:r w:rsidR="00BD1396" w:rsidRPr="00637EF8">
        <w:rPr>
          <w:lang w:val="en-GB"/>
        </w:rPr>
        <w:t xml:space="preserve">numerically </w:t>
      </w:r>
      <w:r w:rsidRPr="00637EF8">
        <w:rPr>
          <w:lang w:val="en-GB"/>
        </w:rPr>
        <w:t xml:space="preserve">with </w:t>
      </w:r>
      <w:r w:rsidR="00B93350">
        <w:rPr>
          <w:lang w:val="en-GB"/>
        </w:rPr>
        <w:t>reasonable</w:t>
      </w:r>
      <w:r w:rsidRPr="00637EF8">
        <w:rPr>
          <w:lang w:val="en-GB"/>
        </w:rPr>
        <w:t xml:space="preserve"> run times</w:t>
      </w:r>
      <w:r w:rsidR="00637EF8" w:rsidRPr="00637EF8">
        <w:rPr>
          <w:lang w:val="en-GB"/>
        </w:rPr>
        <w:t xml:space="preserve"> in commercial finite element analysis software, ABAQUS/Explicit. </w:t>
      </w:r>
      <w:r w:rsidR="00834E62" w:rsidRPr="00637EF8">
        <w:rPr>
          <w:lang w:val="en-GB"/>
        </w:rPr>
        <w:t xml:space="preserve">For </w:t>
      </w:r>
      <w:r w:rsidRPr="00637EF8">
        <w:rPr>
          <w:lang w:val="en-GB"/>
        </w:rPr>
        <w:t>effective predictions</w:t>
      </w:r>
      <w:r w:rsidR="00834E62" w:rsidRPr="00637EF8">
        <w:rPr>
          <w:lang w:val="en-GB"/>
        </w:rPr>
        <w:t xml:space="preserve">, </w:t>
      </w:r>
      <w:r w:rsidRPr="00637EF8">
        <w:rPr>
          <w:lang w:val="en-GB"/>
        </w:rPr>
        <w:t xml:space="preserve">in addition to intralaminar failure modes, </w:t>
      </w:r>
      <w:r w:rsidR="00F47D86" w:rsidRPr="00637EF8">
        <w:rPr>
          <w:lang w:val="en-GB"/>
        </w:rPr>
        <w:t xml:space="preserve">Finite Element Model </w:t>
      </w:r>
      <w:r w:rsidR="00834E62" w:rsidRPr="00637EF8">
        <w:rPr>
          <w:lang w:val="en-GB"/>
        </w:rPr>
        <w:t xml:space="preserve">should </w:t>
      </w:r>
      <w:r w:rsidRPr="00637EF8">
        <w:rPr>
          <w:lang w:val="en-GB"/>
        </w:rPr>
        <w:t xml:space="preserve">also </w:t>
      </w:r>
      <w:r w:rsidR="00834E62" w:rsidRPr="00637EF8">
        <w:rPr>
          <w:lang w:val="en-GB"/>
        </w:rPr>
        <w:t xml:space="preserve">take </w:t>
      </w:r>
      <w:r w:rsidR="00F47D86" w:rsidRPr="00637EF8">
        <w:rPr>
          <w:lang w:val="en-GB"/>
        </w:rPr>
        <w:t>interlaminar failure</w:t>
      </w:r>
      <w:r w:rsidRPr="00637EF8">
        <w:rPr>
          <w:lang w:val="en-GB"/>
        </w:rPr>
        <w:t xml:space="preserve"> mechanisms</w:t>
      </w:r>
      <w:r w:rsidR="00F47D86" w:rsidRPr="00637EF8">
        <w:rPr>
          <w:lang w:val="en-GB"/>
        </w:rPr>
        <w:t xml:space="preserve"> into account. </w:t>
      </w:r>
      <w:r w:rsidRPr="00637EF8">
        <w:rPr>
          <w:lang w:val="en-GB"/>
        </w:rPr>
        <w:t xml:space="preserve">In this </w:t>
      </w:r>
      <w:r w:rsidR="0068679C" w:rsidRPr="00637EF8">
        <w:rPr>
          <w:lang w:val="en-GB"/>
        </w:rPr>
        <w:t>paper</w:t>
      </w:r>
      <w:r w:rsidRPr="00637EF8">
        <w:rPr>
          <w:lang w:val="en-GB"/>
        </w:rPr>
        <w:t>, C</w:t>
      </w:r>
      <w:r w:rsidR="00F47D86" w:rsidRPr="00637EF8">
        <w:rPr>
          <w:lang w:val="en-GB"/>
        </w:rPr>
        <w:t xml:space="preserve">ohesive </w:t>
      </w:r>
      <w:r w:rsidR="00B93350" w:rsidRPr="00637EF8">
        <w:rPr>
          <w:lang w:val="en-GB"/>
        </w:rPr>
        <w:t>Zone Model</w:t>
      </w:r>
      <w:r w:rsidR="00B93350">
        <w:rPr>
          <w:lang w:val="en-GB"/>
        </w:rPr>
        <w:t>ling</w:t>
      </w:r>
      <w:r w:rsidR="00B93350" w:rsidRPr="00637EF8">
        <w:rPr>
          <w:lang w:val="en-GB"/>
        </w:rPr>
        <w:t xml:space="preserve"> </w:t>
      </w:r>
      <w:r w:rsidR="00F47D86" w:rsidRPr="00637EF8">
        <w:rPr>
          <w:lang w:val="en-GB"/>
        </w:rPr>
        <w:t xml:space="preserve">(CZM) </w:t>
      </w:r>
      <w:r w:rsidRPr="00637EF8">
        <w:rPr>
          <w:lang w:val="en-GB"/>
        </w:rPr>
        <w:t xml:space="preserve">is </w:t>
      </w:r>
      <w:r w:rsidR="00F47D86" w:rsidRPr="00637EF8">
        <w:rPr>
          <w:lang w:val="en-GB"/>
        </w:rPr>
        <w:t>adopted for delamination</w:t>
      </w:r>
      <w:r w:rsidRPr="00637EF8">
        <w:rPr>
          <w:lang w:val="en-GB"/>
        </w:rPr>
        <w:t xml:space="preserve"> initiation and propagation</w:t>
      </w:r>
      <w:r w:rsidR="00F47D86" w:rsidRPr="00637EF8">
        <w:rPr>
          <w:lang w:val="en-GB"/>
        </w:rPr>
        <w:t xml:space="preserve">. </w:t>
      </w:r>
      <w:r w:rsidRPr="00637EF8">
        <w:rPr>
          <w:lang w:val="en-GB"/>
        </w:rPr>
        <w:t xml:space="preserve">However, instead of </w:t>
      </w:r>
      <w:r w:rsidR="00834E62" w:rsidRPr="00637EF8">
        <w:rPr>
          <w:lang w:val="en-GB"/>
        </w:rPr>
        <w:t xml:space="preserve">applying </w:t>
      </w:r>
      <w:r w:rsidR="00752D69" w:rsidRPr="00637EF8">
        <w:rPr>
          <w:lang w:val="en-GB"/>
        </w:rPr>
        <w:t xml:space="preserve">interlaminar failure </w:t>
      </w:r>
      <w:r w:rsidR="00834E62" w:rsidRPr="00637EF8">
        <w:rPr>
          <w:lang w:val="en-GB"/>
        </w:rPr>
        <w:t>between all plies separately</w:t>
      </w:r>
      <w:r w:rsidRPr="00637EF8">
        <w:rPr>
          <w:lang w:val="en-GB"/>
        </w:rPr>
        <w:t>,</w:t>
      </w:r>
      <w:r w:rsidR="00752D69" w:rsidRPr="00637EF8">
        <w:rPr>
          <w:lang w:val="en-GB"/>
        </w:rPr>
        <w:t xml:space="preserve"> delamination behaviour is adopted </w:t>
      </w:r>
      <w:r w:rsidR="00BD1396" w:rsidRPr="00637EF8">
        <w:rPr>
          <w:lang w:val="en-GB"/>
        </w:rPr>
        <w:t xml:space="preserve">only </w:t>
      </w:r>
      <w:r w:rsidR="00752D69" w:rsidRPr="00637EF8">
        <w:rPr>
          <w:lang w:val="en-GB"/>
        </w:rPr>
        <w:t xml:space="preserve">to middle interface by formulation of new set of cohesive parameters. </w:t>
      </w:r>
    </w:p>
    <w:p w14:paraId="761F83C1" w14:textId="1A4388B4" w:rsidR="000E6E9F" w:rsidRPr="00637EF8" w:rsidRDefault="00BD1396" w:rsidP="00931549">
      <w:pPr>
        <w:spacing w:line="360" w:lineRule="auto"/>
        <w:ind w:firstLine="708"/>
        <w:jc w:val="both"/>
        <w:rPr>
          <w:lang w:val="en-GB"/>
        </w:rPr>
      </w:pPr>
      <w:r w:rsidRPr="00637EF8">
        <w:rPr>
          <w:lang w:val="en-GB"/>
        </w:rPr>
        <w:t>For this purpose, in this study,</w:t>
      </w:r>
      <w:r w:rsidR="0068679C" w:rsidRPr="00637EF8">
        <w:rPr>
          <w:lang w:val="en-GB"/>
        </w:rPr>
        <w:t xml:space="preserve"> </w:t>
      </w:r>
      <w:r w:rsidR="00813283" w:rsidRPr="00637EF8">
        <w:rPr>
          <w:lang w:val="en-GB"/>
        </w:rPr>
        <w:t>A</w:t>
      </w:r>
      <w:r w:rsidR="00FB56AA" w:rsidRPr="00637EF8">
        <w:rPr>
          <w:lang w:val="en-GB"/>
        </w:rPr>
        <w:t>S</w:t>
      </w:r>
      <w:r w:rsidR="00813283" w:rsidRPr="00637EF8">
        <w:rPr>
          <w:lang w:val="en-GB"/>
        </w:rPr>
        <w:t>4</w:t>
      </w:r>
      <w:r w:rsidR="00FB56AA" w:rsidRPr="00637EF8">
        <w:rPr>
          <w:lang w:val="en-GB"/>
        </w:rPr>
        <w:t>/</w:t>
      </w:r>
      <w:r w:rsidR="00813283" w:rsidRPr="00637EF8">
        <w:rPr>
          <w:lang w:val="en-GB"/>
        </w:rPr>
        <w:t xml:space="preserve">8852 </w:t>
      </w:r>
      <w:r w:rsidR="00FB56AA" w:rsidRPr="00637EF8">
        <w:rPr>
          <w:lang w:val="en-GB"/>
        </w:rPr>
        <w:t xml:space="preserve">carbon epoxy </w:t>
      </w:r>
      <w:r w:rsidR="00813283" w:rsidRPr="00637EF8">
        <w:rPr>
          <w:lang w:val="en-GB"/>
        </w:rPr>
        <w:t>flat and semicircle specimens</w:t>
      </w:r>
      <w:r w:rsidR="00FB56AA" w:rsidRPr="00637EF8">
        <w:rPr>
          <w:lang w:val="en-GB"/>
        </w:rPr>
        <w:t xml:space="preserve"> are manufactured and tested </w:t>
      </w:r>
      <w:r w:rsidRPr="00637EF8">
        <w:rPr>
          <w:lang w:val="en-GB"/>
        </w:rPr>
        <w:t xml:space="preserve">under axial compression </w:t>
      </w:r>
      <w:r w:rsidR="00FB56AA" w:rsidRPr="00637EF8">
        <w:rPr>
          <w:lang w:val="en-GB"/>
        </w:rPr>
        <w:t xml:space="preserve">for validation of numerical results. To obtain interlaminar properties, Double Cantilever Beam (DCB) and End-Notched Flexure (ENF) tests are conducted. Starting from these </w:t>
      </w:r>
      <w:r w:rsidRPr="00637EF8">
        <w:rPr>
          <w:lang w:val="en-GB"/>
        </w:rPr>
        <w:t xml:space="preserve">parameters, new fracture toughness, interfacial strength and interface stiffness values are formulated depending on the number of plies (thickness). </w:t>
      </w:r>
      <w:r w:rsidR="00B93350">
        <w:rPr>
          <w:lang w:val="en-GB"/>
        </w:rPr>
        <w:t xml:space="preserve">A methodology has been developed which requires </w:t>
      </w:r>
      <w:r w:rsidRPr="00637EF8">
        <w:rPr>
          <w:lang w:val="en-GB"/>
        </w:rPr>
        <w:t>reasonable run times with accurate energy absorption prediction</w:t>
      </w:r>
      <w:r w:rsidR="00B93350">
        <w:rPr>
          <w:lang w:val="en-GB"/>
        </w:rPr>
        <w:t>.</w:t>
      </w:r>
      <w:r w:rsidRPr="00637EF8">
        <w:rPr>
          <w:lang w:val="en-GB"/>
        </w:rPr>
        <w:t xml:space="preserve">  </w:t>
      </w:r>
    </w:p>
    <w:sectPr w:rsidR="000E6E9F" w:rsidRPr="00637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E9F"/>
    <w:rsid w:val="00000BAB"/>
    <w:rsid w:val="000E6E9F"/>
    <w:rsid w:val="00146C67"/>
    <w:rsid w:val="001856D9"/>
    <w:rsid w:val="005B7DF5"/>
    <w:rsid w:val="00637EF8"/>
    <w:rsid w:val="0068679C"/>
    <w:rsid w:val="006A493B"/>
    <w:rsid w:val="00752D69"/>
    <w:rsid w:val="0080746C"/>
    <w:rsid w:val="00813283"/>
    <w:rsid w:val="00834E62"/>
    <w:rsid w:val="00931549"/>
    <w:rsid w:val="00AC4EC3"/>
    <w:rsid w:val="00B93350"/>
    <w:rsid w:val="00BD1396"/>
    <w:rsid w:val="00C86787"/>
    <w:rsid w:val="00DC1AF0"/>
    <w:rsid w:val="00EB0E29"/>
    <w:rsid w:val="00F47D86"/>
    <w:rsid w:val="00F82AC4"/>
    <w:rsid w:val="00FB56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5BD5"/>
  <w15:chartTrackingRefBased/>
  <w15:docId w15:val="{94026BDE-6186-4DBD-A4E3-B40986F66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46C"/>
    <w:pPr>
      <w:spacing w:after="0" w:line="240" w:lineRule="auto"/>
    </w:pPr>
    <w:rPr>
      <w:rFonts w:ascii="Times New Roman" w:eastAsia="Times New Roman" w:hAnsi="Times New Roman" w:cs="Times New Roman"/>
      <w:sz w:val="24"/>
      <w:szCs w:val="24"/>
      <w:lang w:val="en-US"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746C"/>
    <w:rPr>
      <w:color w:val="0000FF"/>
      <w:u w:val="single"/>
    </w:rPr>
  </w:style>
  <w:style w:type="character" w:customStyle="1" w:styleId="zmlenmeyenBahsetme1">
    <w:name w:val="Çözümlenmeyen Bahsetme1"/>
    <w:basedOn w:val="VarsaylanParagrafYazTipi"/>
    <w:uiPriority w:val="99"/>
    <w:semiHidden/>
    <w:unhideWhenUsed/>
    <w:rsid w:val="005B7DF5"/>
    <w:rPr>
      <w:color w:val="808080"/>
      <w:shd w:val="clear" w:color="auto" w:fill="E6E6E6"/>
    </w:rPr>
  </w:style>
  <w:style w:type="character" w:styleId="AklamaBavurusu">
    <w:name w:val="annotation reference"/>
    <w:basedOn w:val="VarsaylanParagrafYazTipi"/>
    <w:uiPriority w:val="99"/>
    <w:semiHidden/>
    <w:unhideWhenUsed/>
    <w:rsid w:val="00B93350"/>
    <w:rPr>
      <w:sz w:val="16"/>
      <w:szCs w:val="16"/>
    </w:rPr>
  </w:style>
  <w:style w:type="paragraph" w:styleId="AklamaMetni">
    <w:name w:val="annotation text"/>
    <w:basedOn w:val="Normal"/>
    <w:link w:val="AklamaMetniChar"/>
    <w:uiPriority w:val="99"/>
    <w:semiHidden/>
    <w:unhideWhenUsed/>
    <w:rsid w:val="00B93350"/>
    <w:rPr>
      <w:sz w:val="20"/>
      <w:szCs w:val="20"/>
    </w:rPr>
  </w:style>
  <w:style w:type="character" w:customStyle="1" w:styleId="AklamaMetniChar">
    <w:name w:val="Açıklama Metni Char"/>
    <w:basedOn w:val="VarsaylanParagrafYazTipi"/>
    <w:link w:val="AklamaMetni"/>
    <w:uiPriority w:val="99"/>
    <w:semiHidden/>
    <w:rsid w:val="00B93350"/>
    <w:rPr>
      <w:rFonts w:ascii="Times New Roman" w:eastAsia="Times New Roman" w:hAnsi="Times New Roman" w:cs="Times New Roman"/>
      <w:sz w:val="20"/>
      <w:szCs w:val="20"/>
      <w:lang w:val="en-US" w:eastAsia="fr-FR"/>
    </w:rPr>
  </w:style>
  <w:style w:type="paragraph" w:styleId="AklamaKonusu">
    <w:name w:val="annotation subject"/>
    <w:basedOn w:val="AklamaMetni"/>
    <w:next w:val="AklamaMetni"/>
    <w:link w:val="AklamaKonusuChar"/>
    <w:uiPriority w:val="99"/>
    <w:semiHidden/>
    <w:unhideWhenUsed/>
    <w:rsid w:val="00B93350"/>
    <w:rPr>
      <w:b/>
      <w:bCs/>
    </w:rPr>
  </w:style>
  <w:style w:type="character" w:customStyle="1" w:styleId="AklamaKonusuChar">
    <w:name w:val="Açıklama Konusu Char"/>
    <w:basedOn w:val="AklamaMetniChar"/>
    <w:link w:val="AklamaKonusu"/>
    <w:uiPriority w:val="99"/>
    <w:semiHidden/>
    <w:rsid w:val="00B93350"/>
    <w:rPr>
      <w:rFonts w:ascii="Times New Roman" w:eastAsia="Times New Roman" w:hAnsi="Times New Roman" w:cs="Times New Roman"/>
      <w:b/>
      <w:bCs/>
      <w:sz w:val="20"/>
      <w:szCs w:val="20"/>
      <w:lang w:val="en-US" w:eastAsia="fr-FR"/>
    </w:rPr>
  </w:style>
  <w:style w:type="paragraph" w:styleId="BalonMetni">
    <w:name w:val="Balloon Text"/>
    <w:basedOn w:val="Normal"/>
    <w:link w:val="BalonMetniChar"/>
    <w:uiPriority w:val="99"/>
    <w:semiHidden/>
    <w:unhideWhenUsed/>
    <w:rsid w:val="00B9335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3350"/>
    <w:rPr>
      <w:rFonts w:ascii="Segoe UI" w:eastAsia="Times New Roman" w:hAnsi="Segoe UI" w:cs="Segoe UI"/>
      <w:sz w:val="18"/>
      <w:szCs w:val="18"/>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4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uri.ersoy@boun.edu.tr2" TargetMode="External"/><Relationship Id="rId4" Type="http://schemas.openxmlformats.org/officeDocument/2006/relationships/hyperlink" Target="mailto:mehmet.engul@bou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393</Words>
  <Characters>2243</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Can Engül</dc:creator>
  <cp:keywords/>
  <dc:description/>
  <cp:lastModifiedBy>Mehmet Can Engül</cp:lastModifiedBy>
  <cp:revision>3</cp:revision>
  <dcterms:created xsi:type="dcterms:W3CDTF">2017-12-14T22:23:00Z</dcterms:created>
  <dcterms:modified xsi:type="dcterms:W3CDTF">2017-12-14T22:45:00Z</dcterms:modified>
</cp:coreProperties>
</file>