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89" w:rsidRDefault="005A4789">
      <w:pPr>
        <w:jc w:val="center"/>
        <w:rPr>
          <w:b/>
          <w:smallCaps/>
          <w:sz w:val="28"/>
          <w:szCs w:val="28"/>
        </w:rPr>
      </w:pPr>
    </w:p>
    <w:p w:rsidR="005A4789" w:rsidRDefault="005A4789">
      <w:pPr>
        <w:jc w:val="center"/>
        <w:rPr>
          <w:b/>
          <w:smallCaps/>
          <w:sz w:val="28"/>
          <w:szCs w:val="28"/>
        </w:rPr>
      </w:pPr>
    </w:p>
    <w:p w:rsidR="005A4789" w:rsidRDefault="002533C1">
      <w:pPr>
        <w:jc w:val="center"/>
        <w:rPr>
          <w:b/>
          <w:smallCaps/>
          <w:sz w:val="28"/>
          <w:szCs w:val="28"/>
        </w:rPr>
      </w:pPr>
      <w:r>
        <w:rPr>
          <w:b/>
          <w:smallCaps/>
          <w:sz w:val="28"/>
          <w:szCs w:val="28"/>
        </w:rPr>
        <w:t xml:space="preserve">IMPROVING INTERLAMINAR STRENGTH OF COMPOSITE LAMINATES BY COATING THE FIBERS WITH CELLULOSE NANOCRYSTALS-BONDED CARBON NANOTUBES </w:t>
      </w:r>
    </w:p>
    <w:p w:rsidR="005A4789" w:rsidRDefault="005A4789">
      <w:pPr>
        <w:rPr>
          <w:sz w:val="22"/>
          <w:szCs w:val="22"/>
        </w:rPr>
      </w:pPr>
    </w:p>
    <w:p w:rsidR="005A4789" w:rsidRDefault="002533C1">
      <w:pPr>
        <w:jc w:val="center"/>
        <w:rPr>
          <w:sz w:val="22"/>
          <w:szCs w:val="22"/>
          <w:vertAlign w:val="superscript"/>
        </w:rPr>
      </w:pPr>
      <w:r>
        <w:rPr>
          <w:sz w:val="22"/>
          <w:szCs w:val="22"/>
        </w:rPr>
        <w:t>A.V. Kumar</w:t>
      </w:r>
      <w:r>
        <w:rPr>
          <w:sz w:val="22"/>
          <w:szCs w:val="22"/>
          <w:vertAlign w:val="superscript"/>
        </w:rPr>
        <w:t>1</w:t>
      </w:r>
      <w:r>
        <w:rPr>
          <w:sz w:val="22"/>
          <w:szCs w:val="22"/>
        </w:rPr>
        <w:t>, A. Budhani</w:t>
      </w:r>
      <w:r>
        <w:rPr>
          <w:sz w:val="22"/>
          <w:szCs w:val="22"/>
          <w:vertAlign w:val="superscript"/>
        </w:rPr>
        <w:t>2</w:t>
      </w:r>
      <w:r>
        <w:rPr>
          <w:sz w:val="22"/>
          <w:szCs w:val="22"/>
        </w:rPr>
        <w:t>, M. Tran</w:t>
      </w:r>
      <w:r>
        <w:rPr>
          <w:sz w:val="22"/>
          <w:szCs w:val="22"/>
          <w:vertAlign w:val="superscript"/>
        </w:rPr>
        <w:t>3</w:t>
      </w:r>
      <w:r>
        <w:rPr>
          <w:sz w:val="22"/>
          <w:szCs w:val="22"/>
        </w:rPr>
        <w:t xml:space="preserve"> and A. Asadi</w:t>
      </w:r>
      <w:r>
        <w:rPr>
          <w:sz w:val="22"/>
          <w:szCs w:val="22"/>
          <w:vertAlign w:val="superscript"/>
        </w:rPr>
        <w:t>4</w:t>
      </w:r>
    </w:p>
    <w:p w:rsidR="005A4789" w:rsidRDefault="005A4789">
      <w:pPr>
        <w:jc w:val="center"/>
        <w:rPr>
          <w:sz w:val="22"/>
          <w:szCs w:val="22"/>
        </w:rPr>
      </w:pPr>
    </w:p>
    <w:p w:rsidR="005A4789" w:rsidRDefault="002533C1">
      <w:pPr>
        <w:jc w:val="center"/>
        <w:rPr>
          <w:sz w:val="22"/>
          <w:szCs w:val="22"/>
        </w:rPr>
      </w:pPr>
      <w:r>
        <w:rPr>
          <w:sz w:val="22"/>
          <w:szCs w:val="22"/>
          <w:vertAlign w:val="superscript"/>
        </w:rPr>
        <w:t>1</w:t>
      </w:r>
      <w:r>
        <w:rPr>
          <w:sz w:val="22"/>
          <w:szCs w:val="22"/>
        </w:rPr>
        <w:t>Texas A&amp;M University, Department of Mechanical Engineering, College Station, TX, USA</w:t>
      </w:r>
    </w:p>
    <w:p w:rsidR="005A4789" w:rsidRDefault="002533C1">
      <w:pPr>
        <w:jc w:val="center"/>
        <w:rPr>
          <w:sz w:val="22"/>
          <w:szCs w:val="22"/>
        </w:rPr>
      </w:pPr>
      <w:r>
        <w:rPr>
          <w:sz w:val="22"/>
          <w:szCs w:val="22"/>
        </w:rPr>
        <w:t xml:space="preserve">Email: annuatha@tamu.edu </w:t>
      </w:r>
    </w:p>
    <w:p w:rsidR="005A4789" w:rsidRDefault="002533C1">
      <w:pPr>
        <w:jc w:val="center"/>
        <w:rPr>
          <w:sz w:val="22"/>
          <w:szCs w:val="22"/>
        </w:rPr>
      </w:pPr>
      <w:r>
        <w:rPr>
          <w:sz w:val="22"/>
          <w:szCs w:val="22"/>
          <w:vertAlign w:val="superscript"/>
        </w:rPr>
        <w:t>2</w:t>
      </w:r>
      <w:r>
        <w:rPr>
          <w:sz w:val="22"/>
          <w:szCs w:val="22"/>
        </w:rPr>
        <w:t>Texas A&amp;M University, Department of Mechanical Engineering, College Station, TX, USA</w:t>
      </w:r>
    </w:p>
    <w:p w:rsidR="005A4789" w:rsidRDefault="002533C1">
      <w:pPr>
        <w:jc w:val="center"/>
        <w:rPr>
          <w:sz w:val="22"/>
          <w:szCs w:val="22"/>
        </w:rPr>
      </w:pPr>
      <w:r>
        <w:rPr>
          <w:sz w:val="22"/>
          <w:szCs w:val="22"/>
        </w:rPr>
        <w:t xml:space="preserve">Email: anjalibudhani17@tamu.edu </w:t>
      </w:r>
    </w:p>
    <w:p w:rsidR="005A4789" w:rsidRDefault="002533C1">
      <w:pPr>
        <w:jc w:val="center"/>
        <w:rPr>
          <w:sz w:val="22"/>
          <w:szCs w:val="22"/>
        </w:rPr>
      </w:pPr>
      <w:r>
        <w:rPr>
          <w:sz w:val="22"/>
          <w:szCs w:val="22"/>
          <w:vertAlign w:val="superscript"/>
        </w:rPr>
        <w:t>3</w:t>
      </w:r>
      <w:r>
        <w:rPr>
          <w:sz w:val="22"/>
          <w:szCs w:val="22"/>
        </w:rPr>
        <w:t xml:space="preserve">Texas A&amp;M University, Department of Material Science and Engineering, College Station, TX, USA </w:t>
      </w:r>
    </w:p>
    <w:p w:rsidR="005A4789" w:rsidRDefault="002533C1">
      <w:pPr>
        <w:jc w:val="center"/>
        <w:rPr>
          <w:sz w:val="22"/>
          <w:szCs w:val="22"/>
        </w:rPr>
      </w:pPr>
      <w:r>
        <w:rPr>
          <w:sz w:val="22"/>
          <w:szCs w:val="22"/>
        </w:rPr>
        <w:t xml:space="preserve">Email: </w:t>
      </w:r>
      <w:hyperlink r:id="rId6">
        <w:r>
          <w:rPr>
            <w:color w:val="000000"/>
            <w:sz w:val="22"/>
            <w:szCs w:val="22"/>
          </w:rPr>
          <w:t>minhjerry@tamu.edu</w:t>
        </w:r>
      </w:hyperlink>
    </w:p>
    <w:p w:rsidR="005A4789" w:rsidRDefault="002533C1">
      <w:pPr>
        <w:jc w:val="center"/>
        <w:rPr>
          <w:sz w:val="22"/>
          <w:szCs w:val="22"/>
        </w:rPr>
      </w:pPr>
      <w:r>
        <w:rPr>
          <w:sz w:val="22"/>
          <w:szCs w:val="22"/>
          <w:vertAlign w:val="superscript"/>
        </w:rPr>
        <w:t>4</w:t>
      </w:r>
      <w:r>
        <w:rPr>
          <w:sz w:val="22"/>
          <w:szCs w:val="22"/>
        </w:rPr>
        <w:t xml:space="preserve">Texas A&amp;M University, Departments of Engineering Technology and Industrial Distribution &amp; Mechanical Engineering &amp; Material Science and Engineering Department, College Station, TX, USA </w:t>
      </w:r>
    </w:p>
    <w:p w:rsidR="005A4789" w:rsidRDefault="002533C1">
      <w:pPr>
        <w:jc w:val="center"/>
        <w:rPr>
          <w:sz w:val="22"/>
          <w:szCs w:val="22"/>
        </w:rPr>
      </w:pPr>
      <w:r>
        <w:rPr>
          <w:sz w:val="22"/>
          <w:szCs w:val="22"/>
        </w:rPr>
        <w:t>Email: amir.asadi@tamu.edu</w:t>
      </w:r>
    </w:p>
    <w:p w:rsidR="005A4789" w:rsidRDefault="005A4789">
      <w:pPr>
        <w:jc w:val="center"/>
        <w:rPr>
          <w:sz w:val="22"/>
          <w:szCs w:val="22"/>
        </w:rPr>
      </w:pPr>
    </w:p>
    <w:p w:rsidR="005A4789" w:rsidRDefault="005A4789">
      <w:pPr>
        <w:jc w:val="center"/>
        <w:rPr>
          <w:sz w:val="22"/>
          <w:szCs w:val="22"/>
        </w:rPr>
      </w:pPr>
    </w:p>
    <w:p w:rsidR="005A4789" w:rsidRDefault="005A4789">
      <w:pPr>
        <w:jc w:val="center"/>
        <w:rPr>
          <w:sz w:val="22"/>
          <w:szCs w:val="22"/>
        </w:rPr>
      </w:pPr>
    </w:p>
    <w:p w:rsidR="005A4789" w:rsidRDefault="002533C1">
      <w:pPr>
        <w:rPr>
          <w:sz w:val="22"/>
          <w:szCs w:val="22"/>
        </w:rPr>
      </w:pPr>
      <w:r>
        <w:rPr>
          <w:b/>
          <w:sz w:val="22"/>
          <w:szCs w:val="22"/>
        </w:rPr>
        <w:t>Keywords:</w:t>
      </w:r>
      <w:r>
        <w:rPr>
          <w:sz w:val="22"/>
          <w:szCs w:val="22"/>
        </w:rPr>
        <w:t xml:space="preserve"> </w:t>
      </w:r>
      <w:r>
        <w:rPr>
          <w:color w:val="000000"/>
          <w:sz w:val="22"/>
          <w:szCs w:val="22"/>
        </w:rPr>
        <w:t>Hybrid composites, Interlaminar strength, Cellulose nanocrystals, Carbon nanotube, nanomaterials</w:t>
      </w:r>
    </w:p>
    <w:p w:rsidR="005A4789" w:rsidRDefault="002533C1">
      <w:pPr>
        <w:rPr>
          <w:sz w:val="22"/>
          <w:szCs w:val="22"/>
        </w:rPr>
      </w:pPr>
      <w:r>
        <w:rPr>
          <w:sz w:val="22"/>
          <w:szCs w:val="22"/>
        </w:rPr>
        <w:t xml:space="preserve"> </w:t>
      </w:r>
    </w:p>
    <w:p w:rsidR="005A4789" w:rsidRDefault="005A4789">
      <w:pPr>
        <w:rPr>
          <w:b/>
          <w:sz w:val="22"/>
          <w:szCs w:val="22"/>
        </w:rPr>
      </w:pPr>
    </w:p>
    <w:p w:rsidR="005A4789" w:rsidRDefault="002533C1">
      <w:pPr>
        <w:rPr>
          <w:b/>
          <w:sz w:val="22"/>
          <w:szCs w:val="22"/>
        </w:rPr>
      </w:pPr>
      <w:r>
        <w:rPr>
          <w:b/>
          <w:sz w:val="22"/>
          <w:szCs w:val="22"/>
        </w:rPr>
        <w:t>Abstract</w:t>
      </w:r>
    </w:p>
    <w:p w:rsidR="005A4789" w:rsidRDefault="002533C1">
      <w:pPr>
        <w:jc w:val="both"/>
        <w:rPr>
          <w:b/>
          <w:color w:val="000000"/>
          <w:sz w:val="22"/>
          <w:szCs w:val="22"/>
        </w:rPr>
      </w:pPr>
      <w:r>
        <w:rPr>
          <w:sz w:val="22"/>
          <w:szCs w:val="22"/>
        </w:rPr>
        <w:t>The objective of this study is to make hybrid carbon fiber reinforced polymer composites with enhanced interlaminar strength using cellulose nanocrystals (CNC) and carbon nanotubes (CNT). We integrated the nanoparticles by coating the carbon fibers through immersion in CNC or/and CNT aqueous suspensions prior to resin infusion in a vacuum-assisted resin transfer molding (VARTM) process. Three types of hybrid CFRP samples are prepared in this work: CNC-coated, CNT-coated and CNC-CNT coated and their interlaminar strength are compared with that of composites with no nanoparticles. The results show an improvement in the interlaminar shear strength of composites coated with 0.2 wt% CNC concentration.</w:t>
      </w:r>
    </w:p>
    <w:p w:rsidR="005A4789" w:rsidRDefault="005A4789">
      <w:pPr>
        <w:jc w:val="both"/>
        <w:rPr>
          <w:sz w:val="22"/>
          <w:szCs w:val="22"/>
        </w:rPr>
      </w:pPr>
    </w:p>
    <w:p w:rsidR="005A4789" w:rsidRDefault="005A4789">
      <w:pPr>
        <w:jc w:val="both"/>
        <w:rPr>
          <w:sz w:val="22"/>
          <w:szCs w:val="22"/>
        </w:rPr>
      </w:pPr>
    </w:p>
    <w:p w:rsidR="005A4789" w:rsidRDefault="002533C1">
      <w:pPr>
        <w:keepNext/>
        <w:keepLines/>
        <w:widowControl w:val="0"/>
        <w:pBdr>
          <w:top w:val="nil"/>
          <w:left w:val="nil"/>
          <w:bottom w:val="nil"/>
          <w:right w:val="nil"/>
          <w:between w:val="nil"/>
        </w:pBdr>
        <w:tabs>
          <w:tab w:val="left" w:pos="284"/>
        </w:tabs>
        <w:rPr>
          <w:b/>
          <w:color w:val="000000"/>
          <w:sz w:val="22"/>
          <w:szCs w:val="22"/>
        </w:rPr>
      </w:pPr>
      <w:r>
        <w:rPr>
          <w:b/>
          <w:smallCaps/>
          <w:color w:val="000000"/>
          <w:sz w:val="22"/>
          <w:szCs w:val="22"/>
        </w:rPr>
        <w:t>1.</w:t>
      </w:r>
      <w:r>
        <w:rPr>
          <w:b/>
          <w:smallCaps/>
          <w:color w:val="000000"/>
          <w:sz w:val="22"/>
          <w:szCs w:val="22"/>
        </w:rPr>
        <w:tab/>
      </w:r>
      <w:r>
        <w:rPr>
          <w:b/>
          <w:color w:val="000000"/>
          <w:sz w:val="22"/>
          <w:szCs w:val="22"/>
        </w:rPr>
        <w:t>Introduction</w:t>
      </w:r>
    </w:p>
    <w:p w:rsidR="005A4789" w:rsidRDefault="005A4789">
      <w:pPr>
        <w:jc w:val="both"/>
        <w:rPr>
          <w:sz w:val="22"/>
          <w:szCs w:val="22"/>
        </w:rPr>
      </w:pPr>
    </w:p>
    <w:p w:rsidR="005A4789" w:rsidRDefault="002533C1">
      <w:pPr>
        <w:pBdr>
          <w:top w:val="nil"/>
          <w:left w:val="nil"/>
          <w:bottom w:val="nil"/>
          <w:right w:val="nil"/>
          <w:between w:val="nil"/>
        </w:pBdr>
        <w:jc w:val="both"/>
        <w:rPr>
          <w:color w:val="000000"/>
          <w:sz w:val="22"/>
          <w:szCs w:val="22"/>
        </w:rPr>
      </w:pPr>
      <w:r>
        <w:rPr>
          <w:color w:val="000000"/>
          <w:sz w:val="22"/>
          <w:szCs w:val="22"/>
        </w:rPr>
        <w:t>Carbon-Fiber composites (CFRP) are widely used in industries. These composites can be manufactured by numerous processes amongst which the mostly used ones are out-of-autoclave processes and vacuum assisted resin transfer molding (VARTM) [1–5]. The key limitation of these composites is low interlaminar shear strength (ILSS). Various methods such as stitching [6], z-pinning [7] and 3D weaving [8] have been introduced to provide good interlaminar strength. Carbon Nanotubes (CNT) with their excellent intrinsic properties are a good candidate to stitch the adjacent layers of composites and hence increase the interlaminar adhesion. It has been reported that with significant improvement in mechanical properties, CNT also help in increasing thermal and electrical conductivity of composites [9]. Numerous methods have been introduced to incorporate CNT into polymer matrix, i.e. (</w:t>
      </w:r>
      <w:r>
        <w:rPr>
          <w:i/>
          <w:color w:val="000000"/>
          <w:sz w:val="22"/>
          <w:szCs w:val="22"/>
        </w:rPr>
        <w:t>i</w:t>
      </w:r>
      <w:r>
        <w:rPr>
          <w:color w:val="000000"/>
          <w:sz w:val="22"/>
          <w:szCs w:val="22"/>
        </w:rPr>
        <w:t>) interleaving [</w:t>
      </w:r>
      <w:r>
        <w:rPr>
          <w:sz w:val="22"/>
          <w:szCs w:val="22"/>
        </w:rPr>
        <w:t>10, 11],</w:t>
      </w:r>
      <w:r>
        <w:rPr>
          <w:color w:val="000000"/>
          <w:sz w:val="22"/>
          <w:szCs w:val="22"/>
        </w:rPr>
        <w:t xml:space="preserve"> (</w:t>
      </w:r>
      <w:r>
        <w:rPr>
          <w:i/>
          <w:color w:val="000000"/>
          <w:sz w:val="22"/>
          <w:szCs w:val="22"/>
        </w:rPr>
        <w:t>ii</w:t>
      </w:r>
      <w:r>
        <w:rPr>
          <w:color w:val="000000"/>
          <w:sz w:val="22"/>
          <w:szCs w:val="22"/>
        </w:rPr>
        <w:t>) directly introducing CNT into matrix by sonication, shear mixing, extrusion, (</w:t>
      </w:r>
      <w:r>
        <w:rPr>
          <w:i/>
          <w:color w:val="000000"/>
          <w:sz w:val="22"/>
          <w:szCs w:val="22"/>
        </w:rPr>
        <w:t>iii</w:t>
      </w:r>
      <w:r>
        <w:rPr>
          <w:color w:val="000000"/>
          <w:sz w:val="22"/>
          <w:szCs w:val="22"/>
        </w:rPr>
        <w:t>) integrating a layer of CNT on carbon fibers using chemical vapor deposition (CVD) [</w:t>
      </w:r>
      <w:r>
        <w:rPr>
          <w:sz w:val="22"/>
          <w:szCs w:val="22"/>
        </w:rPr>
        <w:t>12, 13</w:t>
      </w:r>
      <w:r>
        <w:rPr>
          <w:color w:val="000000"/>
          <w:sz w:val="22"/>
          <w:szCs w:val="22"/>
        </w:rPr>
        <w:t>] (</w:t>
      </w:r>
      <w:r>
        <w:rPr>
          <w:i/>
          <w:color w:val="000000"/>
          <w:sz w:val="22"/>
          <w:szCs w:val="22"/>
        </w:rPr>
        <w:t>iv</w:t>
      </w:r>
      <w:r>
        <w:rPr>
          <w:color w:val="000000"/>
          <w:sz w:val="22"/>
          <w:szCs w:val="22"/>
        </w:rPr>
        <w:t xml:space="preserve">) conventional approach of spraying or immersing into the suspension [14-17]. </w:t>
      </w:r>
      <w:r>
        <w:rPr>
          <w:color w:val="000000"/>
        </w:rPr>
        <w:t xml:space="preserve"> </w:t>
      </w:r>
      <w:r>
        <w:rPr>
          <w:color w:val="000000"/>
          <w:sz w:val="22"/>
          <w:szCs w:val="22"/>
        </w:rPr>
        <w:t xml:space="preserve">Most of these methods, however, are not scalable and particularly cannot prevent agglomeration of CNT when introduced in CFRP composites. In addition, drawbacks such as increased viscosity and decreased wettability in mixing CNT with polymers, reduction of fiber strength and mechanical coherence in CVD due to CF surface damage, and </w:t>
      </w:r>
      <w:r>
        <w:rPr>
          <w:color w:val="000000"/>
          <w:sz w:val="22"/>
          <w:szCs w:val="22"/>
        </w:rPr>
        <w:lastRenderedPageBreak/>
        <w:t>lack of control on depositing locations in spray coating negatively affect the improvement in properties, inter-laminar toughness and multifunctionality of hybrid composites [18].</w:t>
      </w:r>
    </w:p>
    <w:p w:rsidR="005A4789" w:rsidRDefault="005A4789">
      <w:pPr>
        <w:pBdr>
          <w:top w:val="nil"/>
          <w:left w:val="nil"/>
          <w:bottom w:val="nil"/>
          <w:right w:val="nil"/>
          <w:between w:val="nil"/>
        </w:pBdr>
        <w:jc w:val="both"/>
        <w:rPr>
          <w:color w:val="000000"/>
          <w:sz w:val="22"/>
          <w:szCs w:val="22"/>
        </w:rPr>
      </w:pPr>
    </w:p>
    <w:p w:rsidR="005A4789" w:rsidRDefault="002533C1">
      <w:pPr>
        <w:pBdr>
          <w:top w:val="nil"/>
          <w:left w:val="nil"/>
          <w:bottom w:val="nil"/>
          <w:right w:val="nil"/>
          <w:between w:val="nil"/>
        </w:pBdr>
        <w:jc w:val="both"/>
        <w:rPr>
          <w:color w:val="000000"/>
          <w:sz w:val="22"/>
          <w:szCs w:val="22"/>
        </w:rPr>
      </w:pPr>
      <w:r>
        <w:rPr>
          <w:color w:val="000000"/>
          <w:sz w:val="22"/>
          <w:szCs w:val="22"/>
        </w:rPr>
        <w:t xml:space="preserve">In this study we introduce a novel scalable technique to incorporate CNT in CFRP composite using CNC. We show that CNC will improve the dispersion and stabilization of hydrophobic CNT in water and thus prevents agglomeration. Then, we coat the carbon fibers with CNC-CNT by passing through an aqueous suspension to create </w:t>
      </w:r>
      <w:r w:rsidR="00E8152E">
        <w:rPr>
          <w:color w:val="000000"/>
          <w:sz w:val="22"/>
          <w:szCs w:val="22"/>
        </w:rPr>
        <w:t>n</w:t>
      </w:r>
      <w:r>
        <w:rPr>
          <w:color w:val="000000"/>
          <w:sz w:val="22"/>
          <w:szCs w:val="22"/>
        </w:rPr>
        <w:t>anostitches between adjacent plies in the hybrid laminates. The results indicate that the composites containing CNC and CNT have higher ILSS compared to that of neat composites.</w:t>
      </w:r>
    </w:p>
    <w:p w:rsidR="005A4789" w:rsidRDefault="005A4789">
      <w:pPr>
        <w:pBdr>
          <w:top w:val="nil"/>
          <w:left w:val="nil"/>
          <w:bottom w:val="nil"/>
          <w:right w:val="nil"/>
          <w:between w:val="nil"/>
        </w:pBdr>
        <w:jc w:val="both"/>
        <w:rPr>
          <w:color w:val="000000"/>
          <w:sz w:val="22"/>
          <w:szCs w:val="22"/>
        </w:rPr>
      </w:pPr>
    </w:p>
    <w:p w:rsidR="005A4789" w:rsidRDefault="002533C1">
      <w:pPr>
        <w:keepNext/>
        <w:keepLines/>
        <w:widowControl w:val="0"/>
        <w:pBdr>
          <w:top w:val="nil"/>
          <w:left w:val="nil"/>
          <w:bottom w:val="nil"/>
          <w:right w:val="nil"/>
          <w:between w:val="nil"/>
        </w:pBdr>
        <w:tabs>
          <w:tab w:val="left" w:pos="284"/>
        </w:tabs>
        <w:rPr>
          <w:b/>
          <w:color w:val="000000"/>
          <w:sz w:val="22"/>
          <w:szCs w:val="22"/>
        </w:rPr>
      </w:pPr>
      <w:r>
        <w:rPr>
          <w:b/>
          <w:smallCaps/>
          <w:color w:val="000000"/>
          <w:sz w:val="22"/>
          <w:szCs w:val="22"/>
        </w:rPr>
        <w:t>2.</w:t>
      </w:r>
      <w:r>
        <w:rPr>
          <w:b/>
          <w:smallCaps/>
          <w:color w:val="000000"/>
          <w:sz w:val="22"/>
          <w:szCs w:val="22"/>
        </w:rPr>
        <w:tab/>
      </w:r>
      <w:r>
        <w:rPr>
          <w:b/>
          <w:color w:val="000000"/>
          <w:sz w:val="22"/>
          <w:szCs w:val="22"/>
        </w:rPr>
        <w:t>Experimental Details</w:t>
      </w:r>
    </w:p>
    <w:p w:rsidR="005A4789" w:rsidRDefault="005A4789">
      <w:pPr>
        <w:jc w:val="both"/>
        <w:rPr>
          <w:smallCaps/>
          <w:sz w:val="22"/>
          <w:szCs w:val="22"/>
        </w:rPr>
      </w:pPr>
    </w:p>
    <w:p w:rsidR="005A4789" w:rsidRDefault="002533C1">
      <w:pPr>
        <w:keepNext/>
        <w:keepLines/>
        <w:widowControl w:val="0"/>
        <w:pBdr>
          <w:top w:val="nil"/>
          <w:left w:val="nil"/>
          <w:bottom w:val="nil"/>
          <w:right w:val="nil"/>
          <w:between w:val="nil"/>
        </w:pBdr>
        <w:tabs>
          <w:tab w:val="left" w:pos="426"/>
        </w:tabs>
        <w:rPr>
          <w:b/>
          <w:color w:val="000000"/>
          <w:sz w:val="22"/>
          <w:szCs w:val="22"/>
        </w:rPr>
      </w:pPr>
      <w:r>
        <w:rPr>
          <w:b/>
          <w:color w:val="000000"/>
          <w:sz w:val="22"/>
          <w:szCs w:val="22"/>
        </w:rPr>
        <w:t xml:space="preserve">2.1. </w:t>
      </w:r>
      <w:r>
        <w:rPr>
          <w:b/>
          <w:color w:val="000000"/>
          <w:sz w:val="22"/>
          <w:szCs w:val="22"/>
        </w:rPr>
        <w:tab/>
        <w:t>Materials</w:t>
      </w:r>
    </w:p>
    <w:p w:rsidR="005A4789" w:rsidRDefault="005A4789">
      <w:pPr>
        <w:jc w:val="both"/>
        <w:rPr>
          <w:smallCaps/>
          <w:sz w:val="22"/>
          <w:szCs w:val="22"/>
        </w:rPr>
      </w:pPr>
    </w:p>
    <w:p w:rsidR="005A4789" w:rsidRDefault="002533C1">
      <w:pPr>
        <w:jc w:val="both"/>
        <w:rPr>
          <w:sz w:val="22"/>
          <w:szCs w:val="22"/>
        </w:rPr>
      </w:pPr>
      <w:r>
        <w:rPr>
          <w:sz w:val="22"/>
          <w:szCs w:val="22"/>
        </w:rPr>
        <w:t>The carbon fiber used in this work is plain woven with 3K tow size and the resin is bicomponent epoxy resin consisting diglycidyl ether of Bisphenol-A epoxy 635 thin epoxy and 556 slow polyamide hardener supplied by US Composites (Wes Palm Beach, FL). The multiwalled CNT (NC7000) was supplied by Nanocyl, Belgium (</w:t>
      </w:r>
      <w:r>
        <w:rPr>
          <w:color w:val="000000"/>
          <w:sz w:val="22"/>
          <w:szCs w:val="22"/>
        </w:rPr>
        <w:t xml:space="preserve">average diameter of 9 nm and length of 1.5 µm) and the CNC (NCV-100) was purchased from </w:t>
      </w:r>
      <w:r>
        <w:rPr>
          <w:sz w:val="22"/>
          <w:szCs w:val="22"/>
        </w:rPr>
        <w:t xml:space="preserve">Celluforce (diameter of 2.3-4.5 nm and length of 44-108 nm).  </w:t>
      </w:r>
    </w:p>
    <w:p w:rsidR="005A4789" w:rsidRDefault="005A4789">
      <w:pPr>
        <w:jc w:val="both"/>
        <w:rPr>
          <w:sz w:val="22"/>
          <w:szCs w:val="22"/>
        </w:rPr>
      </w:pPr>
    </w:p>
    <w:p w:rsidR="005A4789" w:rsidRDefault="002533C1">
      <w:pPr>
        <w:pStyle w:val="Heading2"/>
        <w:spacing w:before="0" w:after="0"/>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2.2.  Sample Preparation</w:t>
      </w:r>
    </w:p>
    <w:p w:rsidR="005A4789" w:rsidRDefault="005A4789">
      <w:pPr>
        <w:jc w:val="both"/>
        <w:rPr>
          <w:sz w:val="22"/>
          <w:szCs w:val="22"/>
        </w:rPr>
      </w:pPr>
    </w:p>
    <w:p w:rsidR="005A4789" w:rsidRDefault="002533C1">
      <w:pPr>
        <w:jc w:val="both"/>
        <w:rPr>
          <w:sz w:val="22"/>
          <w:szCs w:val="22"/>
        </w:rPr>
      </w:pPr>
      <w:r>
        <w:rPr>
          <w:sz w:val="22"/>
          <w:szCs w:val="22"/>
        </w:rPr>
        <w:t xml:space="preserve">The samples were prepared using eight plies and 65 </w:t>
      </w:r>
      <w:r w:rsidR="00E8152E">
        <w:rPr>
          <w:sz w:val="22"/>
          <w:szCs w:val="22"/>
        </w:rPr>
        <w:t>wt.</w:t>
      </w:r>
      <w:r>
        <w:rPr>
          <w:sz w:val="22"/>
          <w:szCs w:val="22"/>
        </w:rPr>
        <w:t xml:space="preserve"> % epoxy. The CNC, CNT and CNC-CNT concentrations were 0.2 </w:t>
      </w:r>
      <w:r w:rsidR="00E8152E">
        <w:rPr>
          <w:sz w:val="22"/>
          <w:szCs w:val="22"/>
        </w:rPr>
        <w:t>wt.</w:t>
      </w:r>
      <w:r>
        <w:rPr>
          <w:sz w:val="22"/>
          <w:szCs w:val="22"/>
        </w:rPr>
        <w:t xml:space="preserve">% in an aqueous suspension. The carbon fibers for hybrid composites were coated using a bath filled with aqueous suspension of CNC and/or CNT. The coated fibers were dried for 6 hours before being used in the VARTM process. In the VARTM process, as schematically shown in Fig. </w:t>
      </w:r>
      <w:r w:rsidR="00E8152E">
        <w:rPr>
          <w:sz w:val="22"/>
          <w:szCs w:val="22"/>
        </w:rPr>
        <w:t>1, the</w:t>
      </w:r>
      <w:r>
        <w:rPr>
          <w:sz w:val="22"/>
          <w:szCs w:val="22"/>
        </w:rPr>
        <w:t xml:space="preserve"> reinforcement (carbon fibers – coated and non-coated) were placed on a mylar (polyester) film. Then, one layer of peel ply was added over the carbon fibers to prevent sticking of the final fabric to the mold and a part of it was on the mold near resin inlet and outlet connectors to direct and increase the resin flow. Infusion mesh was put on the peel ply over the carbon-fiber area to enhance the resin flow. The entire package was enclosed in a vacuum bag and sealed with two-sided butyl tape. Two external hoses were connected to the inlet of the resin source and vent to the vacuum pump. Prior to resin infusion, the inlet was closed and the vacuum pump was turned on to draw the air trapped inside the mold. After establishing the vacuum, degassed resin was infused from the inlet. The excess resin was removed from the vent, led to the catch pot (shown in Figure 2). Then, the inlet was closed, and the vent was left open until the resin was cured. When the resin was cured completely (about 24 h later), the CFRP laminate was removed from the mold. Five samples were cut from each plate using waterjet. </w:t>
      </w:r>
    </w:p>
    <w:p w:rsidR="005A4789" w:rsidRDefault="005A4789">
      <w:pPr>
        <w:jc w:val="both"/>
        <w:rPr>
          <w:sz w:val="22"/>
          <w:szCs w:val="22"/>
        </w:rPr>
      </w:pPr>
    </w:p>
    <w:p w:rsidR="005A4789" w:rsidRDefault="002533C1">
      <w:pPr>
        <w:jc w:val="center"/>
        <w:rPr>
          <w:sz w:val="22"/>
          <w:szCs w:val="22"/>
        </w:rPr>
      </w:pPr>
      <w:r>
        <w:rPr>
          <w:noProof/>
        </w:rPr>
        <w:drawing>
          <wp:inline distT="0" distB="0" distL="0" distR="0">
            <wp:extent cx="5761355" cy="1223672"/>
            <wp:effectExtent l="0" t="0" r="0" b="0"/>
            <wp:docPr id="8" name="image21.jpg" descr="C:\Users\Amir\Documents\Publications\CFRP Joint Poject_mahmoud\Figure and tables\Fig. 2.JPG"/>
            <wp:cNvGraphicFramePr/>
            <a:graphic xmlns:a="http://schemas.openxmlformats.org/drawingml/2006/main">
              <a:graphicData uri="http://schemas.openxmlformats.org/drawingml/2006/picture">
                <pic:pic xmlns:pic="http://schemas.openxmlformats.org/drawingml/2006/picture">
                  <pic:nvPicPr>
                    <pic:cNvPr id="0" name="image21.jpg" descr="C:\Users\Amir\Documents\Publications\CFRP Joint Poject_mahmoud\Figure and tables\Fig. 2.JPG"/>
                    <pic:cNvPicPr preferRelativeResize="0"/>
                  </pic:nvPicPr>
                  <pic:blipFill>
                    <a:blip r:embed="rId7"/>
                    <a:srcRect/>
                    <a:stretch>
                      <a:fillRect/>
                    </a:stretch>
                  </pic:blipFill>
                  <pic:spPr>
                    <a:xfrm>
                      <a:off x="0" y="0"/>
                      <a:ext cx="5761355" cy="1223672"/>
                    </a:xfrm>
                    <a:prstGeom prst="rect">
                      <a:avLst/>
                    </a:prstGeom>
                    <a:ln/>
                  </pic:spPr>
                </pic:pic>
              </a:graphicData>
            </a:graphic>
          </wp:inline>
        </w:drawing>
      </w:r>
    </w:p>
    <w:p w:rsidR="005A4789" w:rsidRDefault="005A4789">
      <w:pPr>
        <w:jc w:val="both"/>
        <w:rPr>
          <w:sz w:val="22"/>
          <w:szCs w:val="22"/>
        </w:rPr>
      </w:pPr>
    </w:p>
    <w:p w:rsidR="005A4789" w:rsidRDefault="002533C1">
      <w:pPr>
        <w:jc w:val="center"/>
        <w:rPr>
          <w:sz w:val="22"/>
          <w:szCs w:val="22"/>
        </w:rPr>
      </w:pPr>
      <w:r>
        <w:rPr>
          <w:b/>
          <w:sz w:val="22"/>
          <w:szCs w:val="22"/>
        </w:rPr>
        <w:t>Figure 1.</w:t>
      </w:r>
      <w:r>
        <w:rPr>
          <w:sz w:val="22"/>
          <w:szCs w:val="22"/>
        </w:rPr>
        <w:t xml:space="preserve"> VARTM Setup</w:t>
      </w:r>
    </w:p>
    <w:p w:rsidR="005A4789" w:rsidRDefault="005A4789">
      <w:pPr>
        <w:jc w:val="center"/>
        <w:rPr>
          <w:sz w:val="22"/>
          <w:szCs w:val="22"/>
        </w:rPr>
      </w:pPr>
    </w:p>
    <w:p w:rsidR="005A4789" w:rsidRDefault="005A4789">
      <w:pPr>
        <w:jc w:val="center"/>
        <w:rPr>
          <w:sz w:val="22"/>
          <w:szCs w:val="22"/>
        </w:rPr>
      </w:pPr>
    </w:p>
    <w:p w:rsidR="005A4789" w:rsidRDefault="002533C1">
      <w:pPr>
        <w:jc w:val="both"/>
        <w:rPr>
          <w:sz w:val="22"/>
          <w:szCs w:val="22"/>
        </w:rPr>
      </w:pPr>
      <w:bookmarkStart w:id="0" w:name="_gjdgxs" w:colFirst="0" w:colLast="0"/>
      <w:bookmarkEnd w:id="0"/>
      <w:r>
        <w:rPr>
          <w:sz w:val="22"/>
          <w:szCs w:val="22"/>
        </w:rPr>
        <w:t>To graft carboxyl groups on the CNT walls, we oxidized raw CNT in a 3:1 mixture of H</w:t>
      </w:r>
      <w:r>
        <w:rPr>
          <w:sz w:val="22"/>
          <w:szCs w:val="22"/>
          <w:vertAlign w:val="subscript"/>
        </w:rPr>
        <w:t>2</w:t>
      </w:r>
      <w:r>
        <w:rPr>
          <w:sz w:val="22"/>
          <w:szCs w:val="22"/>
        </w:rPr>
        <w:t>SO</w:t>
      </w:r>
      <w:r>
        <w:rPr>
          <w:sz w:val="22"/>
          <w:szCs w:val="22"/>
          <w:vertAlign w:val="subscript"/>
        </w:rPr>
        <w:t>4</w:t>
      </w:r>
      <w:r>
        <w:rPr>
          <w:sz w:val="22"/>
          <w:szCs w:val="22"/>
        </w:rPr>
        <w:t>:HNO</w:t>
      </w:r>
      <w:r>
        <w:rPr>
          <w:sz w:val="22"/>
          <w:szCs w:val="22"/>
          <w:vertAlign w:val="subscript"/>
        </w:rPr>
        <w:t>3</w:t>
      </w:r>
      <w:r>
        <w:rPr>
          <w:sz w:val="22"/>
          <w:szCs w:val="22"/>
        </w:rPr>
        <w:t xml:space="preserve"> under sonication at different temperatures and time-periods, namely </w:t>
      </w:r>
      <w:r>
        <w:rPr>
          <w:i/>
          <w:sz w:val="22"/>
          <w:szCs w:val="22"/>
        </w:rPr>
        <w:t xml:space="preserve">mild </w:t>
      </w:r>
      <w:r>
        <w:rPr>
          <w:sz w:val="22"/>
          <w:szCs w:val="22"/>
        </w:rPr>
        <w:t xml:space="preserve">and </w:t>
      </w:r>
      <w:r>
        <w:rPr>
          <w:i/>
          <w:sz w:val="22"/>
          <w:szCs w:val="22"/>
        </w:rPr>
        <w:t>harsh</w:t>
      </w:r>
      <w:r>
        <w:rPr>
          <w:sz w:val="22"/>
          <w:szCs w:val="22"/>
        </w:rPr>
        <w:t xml:space="preserve"> treatment.  For both treatments, initially, 250 mg of raw CNT were added to a concentrated mixture of sulfuric (45 mL) and nitric acid (15 mL) at a 3:1 vol ratio and ultrasonicated in a sonication bath for 2 h at 23 ˚C [19]. In the </w:t>
      </w:r>
      <w:r>
        <w:rPr>
          <w:sz w:val="22"/>
          <w:szCs w:val="22"/>
        </w:rPr>
        <w:lastRenderedPageBreak/>
        <w:t>mild treatment (M-CNT), 190 mL deionized water (DI-H</w:t>
      </w:r>
      <w:r>
        <w:rPr>
          <w:sz w:val="22"/>
          <w:szCs w:val="22"/>
          <w:vertAlign w:val="subscript"/>
        </w:rPr>
        <w:t>2</w:t>
      </w:r>
      <w:r>
        <w:rPr>
          <w:sz w:val="22"/>
          <w:szCs w:val="22"/>
        </w:rPr>
        <w:t>O) was added and the suspension was sonicated for another 1 h at 23 ˚C. Two levels of harsh treatments were performed on the CNT acid suspensions; (1) the suspension was stirred in an oil bath for 5 h at 60 ˚C (H-CNT), and (2) 190 mL DI-H</w:t>
      </w:r>
      <w:r>
        <w:rPr>
          <w:sz w:val="22"/>
          <w:szCs w:val="22"/>
          <w:vertAlign w:val="subscript"/>
        </w:rPr>
        <w:t>2</w:t>
      </w:r>
      <w:r>
        <w:rPr>
          <w:sz w:val="22"/>
          <w:szCs w:val="22"/>
        </w:rPr>
        <w:t>O was added and the suspension w</w:t>
      </w:r>
      <w:r>
        <w:rPr>
          <w:color w:val="000000"/>
          <w:sz w:val="22"/>
          <w:szCs w:val="22"/>
        </w:rPr>
        <w:t xml:space="preserve">as stirred </w:t>
      </w:r>
      <w:r>
        <w:rPr>
          <w:sz w:val="22"/>
          <w:szCs w:val="22"/>
        </w:rPr>
        <w:t>in an oil bath for 5 h at 60 ˚C (HW-CNT). After oxidation, the CNT were isolated with a polyvinylidene fluoride (PVDF) filter membrane under vacuum and washed four times with DI-H</w:t>
      </w:r>
      <w:r>
        <w:rPr>
          <w:sz w:val="22"/>
          <w:szCs w:val="22"/>
          <w:vertAlign w:val="subscript"/>
        </w:rPr>
        <w:t>2</w:t>
      </w:r>
      <w:r>
        <w:rPr>
          <w:sz w:val="22"/>
          <w:szCs w:val="22"/>
        </w:rPr>
        <w:t xml:space="preserve">O during the filtration process to remove any trace of acid residue. </w:t>
      </w:r>
    </w:p>
    <w:p w:rsidR="005A4789" w:rsidRDefault="005A4789">
      <w:pPr>
        <w:jc w:val="center"/>
        <w:rPr>
          <w:sz w:val="22"/>
          <w:szCs w:val="22"/>
        </w:rPr>
      </w:pPr>
    </w:p>
    <w:p w:rsidR="005A4789" w:rsidRDefault="002533C1">
      <w:pPr>
        <w:keepNext/>
        <w:keepLines/>
        <w:widowControl w:val="0"/>
        <w:pBdr>
          <w:top w:val="nil"/>
          <w:left w:val="nil"/>
          <w:bottom w:val="nil"/>
          <w:right w:val="nil"/>
          <w:between w:val="nil"/>
        </w:pBdr>
        <w:tabs>
          <w:tab w:val="left" w:pos="426"/>
        </w:tabs>
        <w:rPr>
          <w:b/>
          <w:color w:val="000000"/>
          <w:sz w:val="22"/>
          <w:szCs w:val="22"/>
        </w:rPr>
      </w:pPr>
      <w:r>
        <w:rPr>
          <w:b/>
          <w:color w:val="000000"/>
          <w:sz w:val="22"/>
          <w:szCs w:val="22"/>
        </w:rPr>
        <w:t xml:space="preserve">2.3. </w:t>
      </w:r>
      <w:r>
        <w:rPr>
          <w:b/>
          <w:color w:val="000000"/>
          <w:sz w:val="22"/>
          <w:szCs w:val="22"/>
        </w:rPr>
        <w:tab/>
        <w:t xml:space="preserve">Characterization </w:t>
      </w:r>
    </w:p>
    <w:p w:rsidR="005A4789" w:rsidRDefault="005A4789">
      <w:pPr>
        <w:jc w:val="both"/>
        <w:rPr>
          <w:smallCaps/>
          <w:sz w:val="22"/>
          <w:szCs w:val="22"/>
        </w:rPr>
      </w:pPr>
    </w:p>
    <w:p w:rsidR="005A4789" w:rsidRDefault="002533C1">
      <w:pPr>
        <w:jc w:val="both"/>
        <w:rPr>
          <w:sz w:val="22"/>
          <w:szCs w:val="22"/>
        </w:rPr>
      </w:pPr>
      <w:r>
        <w:rPr>
          <w:sz w:val="22"/>
          <w:szCs w:val="22"/>
        </w:rPr>
        <w:t>To evaluate the quality of dispersion, we used Zeta potential (Malvern Zetasizer Nano) that characterizes the surface charge of the molecule in solution at 25˚C. The solution of M-CNT and H-CNT and CNT-CNC suspension was diluted to 0.01 wt.% for all solutions. Each Z-potential value is an average of six measurements. Short beam shear tests were carried out to measure the interfacial shear strength for different batches using ASTM D2344 standard. Each value is an average of five measurements. We also used Fourier transform infrared (FTIR) spectroscopy (Shimadzu IRAffinity-1) to evaluate the bonds between CNT and CNC.</w:t>
      </w:r>
      <w:r>
        <w:t xml:space="preserve"> </w:t>
      </w:r>
    </w:p>
    <w:p w:rsidR="005A4789" w:rsidRDefault="005A4789">
      <w:pPr>
        <w:widowControl w:val="0"/>
        <w:pBdr>
          <w:top w:val="nil"/>
          <w:left w:val="nil"/>
          <w:bottom w:val="nil"/>
          <w:right w:val="nil"/>
          <w:between w:val="nil"/>
        </w:pBdr>
        <w:jc w:val="both"/>
        <w:rPr>
          <w:color w:val="000000"/>
          <w:sz w:val="22"/>
          <w:szCs w:val="22"/>
        </w:rPr>
      </w:pPr>
    </w:p>
    <w:p w:rsidR="005A4789" w:rsidRDefault="002533C1">
      <w:pPr>
        <w:keepNext/>
        <w:keepLines/>
        <w:widowControl w:val="0"/>
        <w:pBdr>
          <w:top w:val="nil"/>
          <w:left w:val="nil"/>
          <w:bottom w:val="nil"/>
          <w:right w:val="nil"/>
          <w:between w:val="nil"/>
        </w:pBdr>
        <w:tabs>
          <w:tab w:val="left" w:pos="284"/>
        </w:tabs>
        <w:rPr>
          <w:b/>
          <w:color w:val="000000"/>
          <w:sz w:val="22"/>
          <w:szCs w:val="22"/>
        </w:rPr>
      </w:pPr>
      <w:r>
        <w:rPr>
          <w:b/>
          <w:smallCaps/>
          <w:color w:val="000000"/>
          <w:sz w:val="22"/>
          <w:szCs w:val="22"/>
        </w:rPr>
        <w:t>3.</w:t>
      </w:r>
      <w:r>
        <w:rPr>
          <w:b/>
          <w:smallCaps/>
          <w:color w:val="000000"/>
          <w:sz w:val="22"/>
          <w:szCs w:val="22"/>
        </w:rPr>
        <w:tab/>
      </w:r>
      <w:r>
        <w:rPr>
          <w:b/>
          <w:color w:val="000000"/>
          <w:sz w:val="22"/>
          <w:szCs w:val="22"/>
        </w:rPr>
        <w:t>Results and Discussion</w:t>
      </w:r>
    </w:p>
    <w:p w:rsidR="005A4789" w:rsidRDefault="005A4789">
      <w:pPr>
        <w:keepNext/>
        <w:keepLines/>
        <w:widowControl w:val="0"/>
        <w:pBdr>
          <w:top w:val="nil"/>
          <w:left w:val="nil"/>
          <w:bottom w:val="nil"/>
          <w:right w:val="nil"/>
          <w:between w:val="nil"/>
        </w:pBdr>
        <w:tabs>
          <w:tab w:val="left" w:pos="284"/>
        </w:tabs>
        <w:rPr>
          <w:b/>
          <w:color w:val="000000"/>
          <w:sz w:val="22"/>
          <w:szCs w:val="22"/>
        </w:rPr>
      </w:pPr>
    </w:p>
    <w:p w:rsidR="005A4789" w:rsidRDefault="002533C1">
      <w:pPr>
        <w:jc w:val="both"/>
        <w:rPr>
          <w:sz w:val="22"/>
          <w:szCs w:val="22"/>
        </w:rPr>
      </w:pPr>
      <w:r>
        <w:rPr>
          <w:sz w:val="22"/>
          <w:szCs w:val="22"/>
        </w:rPr>
        <w:t xml:space="preserve">Fig. 2 visually indicates that the presence of CNC can stabilize the CNT dispersion in water even after one month in contrast to CNT sedimentation in few hours in the absence of CNC.  It is noted that in the absence of CNC only H-CNT are stable in water; however, harsh treatment </w:t>
      </w:r>
      <w:r w:rsidR="00E8152E">
        <w:rPr>
          <w:sz w:val="22"/>
          <w:szCs w:val="22"/>
        </w:rPr>
        <w:t>is</w:t>
      </w:r>
      <w:r>
        <w:rPr>
          <w:sz w:val="22"/>
          <w:szCs w:val="22"/>
        </w:rPr>
        <w:t xml:space="preserve"> more energy intensive and possibly damage the walls of CNT due to exposure to acidic environment at higher temperature (60 vs. 23) and duration (5 h vs. 1 h) compared to M-CNT.  </w:t>
      </w:r>
    </w:p>
    <w:p w:rsidR="005A4789" w:rsidRDefault="002533C1">
      <w:pPr>
        <w:spacing w:after="120" w:line="360" w:lineRule="auto"/>
        <w:rPr>
          <w:sz w:val="22"/>
          <w:szCs w:val="22"/>
        </w:rPr>
      </w:pPr>
      <w:r>
        <w:rPr>
          <w:sz w:val="22"/>
          <w:szCs w:val="22"/>
        </w:rPr>
        <w:t xml:space="preserve">       </w:t>
      </w:r>
    </w:p>
    <w:p w:rsidR="005A4789" w:rsidRDefault="009514BD">
      <w:r>
        <w:rPr>
          <w:noProof/>
        </w:rPr>
        <mc:AlternateContent>
          <mc:Choice Requires="wps">
            <w:drawing>
              <wp:anchor distT="45720" distB="45720" distL="114300" distR="114300" simplePos="0" relativeHeight="251658240" behindDoc="0" locked="0" layoutInCell="1" hidden="0" allowOverlap="1">
                <wp:simplePos x="0" y="0"/>
                <wp:positionH relativeFrom="margin">
                  <wp:posOffset>1003300</wp:posOffset>
                </wp:positionH>
                <wp:positionV relativeFrom="paragraph">
                  <wp:posOffset>165100</wp:posOffset>
                </wp:positionV>
                <wp:extent cx="619125" cy="278765"/>
                <wp:effectExtent l="0" t="0" r="0" b="0"/>
                <wp:wrapNone/>
                <wp:docPr id="1" name="Rectangle 1"/>
                <wp:cNvGraphicFramePr/>
                <a:graphic xmlns:a="http://schemas.openxmlformats.org/drawingml/2006/main">
                  <a:graphicData uri="http://schemas.microsoft.com/office/word/2010/wordprocessingShape">
                    <wps:wsp>
                      <wps:cNvSpPr/>
                      <wps:spPr>
                        <a:xfrm>
                          <a:off x="0" y="0"/>
                          <a:ext cx="619125" cy="278765"/>
                        </a:xfrm>
                        <a:prstGeom prst="rect">
                          <a:avLst/>
                        </a:prstGeom>
                        <a:noFill/>
                        <a:ln>
                          <a:noFill/>
                        </a:ln>
                      </wps:spPr>
                      <wps:txbx>
                        <w:txbxContent>
                          <w:p w:rsidR="005A4789" w:rsidRDefault="002533C1">
                            <w:pPr>
                              <w:ind w:firstLine="90"/>
                              <w:textDirection w:val="btLr"/>
                            </w:pPr>
                            <w:r>
                              <w:rPr>
                                <w:rFonts w:ascii="Arial" w:eastAsia="Arial" w:hAnsi="Arial" w:cs="Arial"/>
                                <w:b/>
                                <w:color w:val="000000"/>
                                <w:sz w:val="20"/>
                              </w:rPr>
                              <w:t>(a)</w:t>
                            </w:r>
                          </w:p>
                        </w:txbxContent>
                      </wps:txbx>
                      <wps:bodyPr spcFirstLastPara="1" wrap="square" lIns="91425" tIns="45700" rIns="91425" bIns="45700" anchor="t" anchorCtr="0"/>
                    </wps:wsp>
                  </a:graphicData>
                </a:graphic>
              </wp:anchor>
            </w:drawing>
          </mc:Choice>
          <mc:Fallback>
            <w:pict>
              <v:rect id="Rectangle 1" o:spid="_x0000_s1026" style="position:absolute;margin-left:79pt;margin-top:13pt;width:48.75pt;height:21.9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" filled="f" stroked="f">
                <v:textbox inset="2.53958mm,1.2694mm,2.53958mm,1.2694mm">
                  <w:txbxContent>
                    <w:p w:rsidR="005A4789" w:rsidRDefault="002533C1">
                      <w:pPr>
                        <w:ind w:firstLine="90"/>
                        <w:textDirection w:val="btLr"/>
                      </w:pPr>
                      <w:r>
                        <w:rPr>
                          <w:rFonts w:ascii="Arial" w:eastAsia="Arial" w:hAnsi="Arial" w:cs="Arial"/>
                          <w:b/>
                          <w:color w:val="000000"/>
                          <w:sz w:val="20"/>
                        </w:rPr>
                        <w:t>(a)</w:t>
                      </w:r>
                    </w:p>
                  </w:txbxContent>
                </v:textbox>
                <w10:wrap anchorx="margin"/>
              </v:rect>
            </w:pict>
          </mc:Fallback>
        </mc:AlternateContent>
      </w:r>
    </w:p>
    <w:p w:rsidR="005A4789" w:rsidRDefault="009514BD">
      <w:pPr>
        <w:jc w:val="center"/>
      </w:pPr>
      <w:r>
        <w:rPr>
          <w:noProof/>
        </w:rPr>
        <mc:AlternateContent>
          <mc:Choice Requires="wps">
            <w:drawing>
              <wp:anchor distT="45720" distB="45720" distL="114300" distR="114300" simplePos="0" relativeHeight="251659264" behindDoc="0" locked="0" layoutInCell="1" hidden="0" allowOverlap="1">
                <wp:simplePos x="0" y="0"/>
                <wp:positionH relativeFrom="margin">
                  <wp:posOffset>2918460</wp:posOffset>
                </wp:positionH>
                <wp:positionV relativeFrom="paragraph">
                  <wp:posOffset>5080</wp:posOffset>
                </wp:positionV>
                <wp:extent cx="219075" cy="173377"/>
                <wp:effectExtent l="0" t="0" r="0" b="0"/>
                <wp:wrapNone/>
                <wp:docPr id="3" name="Rectangle 3"/>
                <wp:cNvGraphicFramePr/>
                <a:graphic xmlns:a="http://schemas.openxmlformats.org/drawingml/2006/main">
                  <a:graphicData uri="http://schemas.microsoft.com/office/word/2010/wordprocessingShape">
                    <wps:wsp>
                      <wps:cNvSpPr/>
                      <wps:spPr>
                        <a:xfrm>
                          <a:off x="0" y="0"/>
                          <a:ext cx="219075" cy="173377"/>
                        </a:xfrm>
                        <a:prstGeom prst="rect">
                          <a:avLst/>
                        </a:prstGeom>
                        <a:solidFill>
                          <a:schemeClr val="dk1"/>
                        </a:solidFill>
                        <a:ln>
                          <a:noFill/>
                        </a:ln>
                      </wps:spPr>
                      <wps:txbx>
                        <w:txbxContent>
                          <w:p w:rsidR="005A4789" w:rsidRPr="009514BD" w:rsidRDefault="002533C1">
                            <w:pPr>
                              <w:ind w:right="5"/>
                              <w:textDirection w:val="btLr"/>
                              <w:rPr>
                                <w:color w:val="FFFFFF" w:themeColor="background1"/>
                              </w:rPr>
                            </w:pPr>
                            <w:r w:rsidRPr="009514BD">
                              <w:rPr>
                                <w:rFonts w:ascii="Arial" w:eastAsia="Arial" w:hAnsi="Arial" w:cs="Arial"/>
                                <w:b/>
                                <w:color w:val="FFFFFF" w:themeColor="background1"/>
                                <w:sz w:val="20"/>
                              </w:rPr>
                              <w:t>(b)</w:t>
                            </w:r>
                          </w:p>
                        </w:txbxContent>
                      </wps:txbx>
                      <wps:bodyPr spcFirstLastPara="1" wrap="square" lIns="0" tIns="0" rIns="0" bIns="0" anchor="t" anchorCtr="0"/>
                    </wps:wsp>
                  </a:graphicData>
                </a:graphic>
              </wp:anchor>
            </w:drawing>
          </mc:Choice>
          <mc:Fallback>
            <w:pict>
              <v:rect id="Rectangle 3" o:spid="_x0000_s1027" style="position:absolute;left:0;text-align:left;margin-left:229.8pt;margin-top:.4pt;width:17.25pt;height:13.6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" fillcolor="black [3200]" stroked="f">
                <v:textbox inset="0,0,0,0">
                  <w:txbxContent>
                    <w:p w:rsidR="005A4789" w:rsidRPr="009514BD" w:rsidRDefault="002533C1">
                      <w:pPr>
                        <w:ind w:right="5"/>
                        <w:textDirection w:val="btLr"/>
                        <w:rPr>
                          <w:color w:val="FFFFFF" w:themeColor="background1"/>
                        </w:rPr>
                      </w:pPr>
                      <w:r w:rsidRPr="009514BD">
                        <w:rPr>
                          <w:rFonts w:ascii="Arial" w:eastAsia="Arial" w:hAnsi="Arial" w:cs="Arial"/>
                          <w:b/>
                          <w:color w:val="FFFFFF" w:themeColor="background1"/>
                          <w:sz w:val="20"/>
                        </w:rPr>
                        <w:t>(b)</w:t>
                      </w:r>
                    </w:p>
                  </w:txbxContent>
                </v:textbox>
                <w10:wrap anchorx="margin"/>
              </v:rect>
            </w:pict>
          </mc:Fallback>
        </mc:AlternateContent>
      </w:r>
      <w:r w:rsidR="002533C1">
        <w:rPr>
          <w:noProof/>
        </w:rPr>
        <w:drawing>
          <wp:inline distT="0" distB="0" distL="0" distR="0">
            <wp:extent cx="1542948" cy="1388113"/>
            <wp:effectExtent l="0" t="0" r="0" b="0"/>
            <wp:docPr id="10"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l="4864" r="11769"/>
                    <a:stretch>
                      <a:fillRect/>
                    </a:stretch>
                  </pic:blipFill>
                  <pic:spPr>
                    <a:xfrm>
                      <a:off x="0" y="0"/>
                      <a:ext cx="1542948" cy="1388113"/>
                    </a:xfrm>
                    <a:prstGeom prst="rect">
                      <a:avLst/>
                    </a:prstGeom>
                    <a:ln/>
                  </pic:spPr>
                </pic:pic>
              </a:graphicData>
            </a:graphic>
          </wp:inline>
        </w:drawing>
      </w:r>
      <w:r w:rsidR="002533C1">
        <w:t xml:space="preserve">     </w:t>
      </w:r>
      <w:r w:rsidR="002533C1">
        <w:rPr>
          <w:noProof/>
        </w:rPr>
        <w:drawing>
          <wp:inline distT="0" distB="0" distL="0" distR="0">
            <wp:extent cx="1736507" cy="1393695"/>
            <wp:effectExtent l="0" t="0" r="0" b="0"/>
            <wp:docPr id="9"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9"/>
                    <a:srcRect l="9727" r="12799" b="17094"/>
                    <a:stretch>
                      <a:fillRect/>
                    </a:stretch>
                  </pic:blipFill>
                  <pic:spPr>
                    <a:xfrm>
                      <a:off x="0" y="0"/>
                      <a:ext cx="1736507" cy="1393695"/>
                    </a:xfrm>
                    <a:prstGeom prst="rect">
                      <a:avLst/>
                    </a:prstGeom>
                    <a:ln/>
                  </pic:spPr>
                </pic:pic>
              </a:graphicData>
            </a:graphic>
          </wp:inline>
        </w:drawing>
      </w:r>
      <w:r w:rsidR="002533C1">
        <w:rPr>
          <w:noProof/>
        </w:rPr>
        <mc:AlternateContent>
          <mc:Choice Requires="wps">
            <w:drawing>
              <wp:anchor distT="45720" distB="45720" distL="114300" distR="114300" simplePos="0" relativeHeight="251660288" behindDoc="0" locked="0" layoutInCell="1" hidden="0" allowOverlap="1">
                <wp:simplePos x="0" y="0"/>
                <wp:positionH relativeFrom="margin">
                  <wp:posOffset>2895600</wp:posOffset>
                </wp:positionH>
                <wp:positionV relativeFrom="paragraph">
                  <wp:posOffset>1079500</wp:posOffset>
                </wp:positionV>
                <wp:extent cx="684258" cy="278765"/>
                <wp:effectExtent l="0" t="0" r="0" b="0"/>
                <wp:wrapNone/>
                <wp:docPr id="6" name="Rectangle 6"/>
                <wp:cNvGraphicFramePr/>
                <a:graphic xmlns:a="http://schemas.openxmlformats.org/drawingml/2006/main">
                  <a:graphicData uri="http://schemas.microsoft.com/office/word/2010/wordprocessingShape">
                    <wps:wsp>
                      <wps:cNvSpPr/>
                      <wps:spPr>
                        <a:xfrm>
                          <a:off x="5008634" y="3645380"/>
                          <a:ext cx="674733" cy="269240"/>
                        </a:xfrm>
                        <a:prstGeom prst="rect">
                          <a:avLst/>
                        </a:prstGeom>
                        <a:noFill/>
                        <a:ln>
                          <a:noFill/>
                        </a:ln>
                      </wps:spPr>
                      <wps:txbx>
                        <w:txbxContent>
                          <w:p w:rsidR="005A4789" w:rsidRDefault="002533C1">
                            <w:pPr>
                              <w:textDirection w:val="btLr"/>
                            </w:pPr>
                            <w:r>
                              <w:rPr>
                                <w:rFonts w:ascii="Arial" w:eastAsia="Arial" w:hAnsi="Arial" w:cs="Arial"/>
                                <w:b/>
                                <w:color w:val="FFFFFF"/>
                                <w:sz w:val="18"/>
                              </w:rPr>
                              <w:t>4:1</w:t>
                            </w:r>
                          </w:p>
                        </w:txbxContent>
                      </wps:txbx>
                      <wps:bodyPr spcFirstLastPara="1" wrap="square" lIns="91425" tIns="45700" rIns="91425" bIns="45700" anchor="t" anchorCtr="0"/>
                    </wps:wsp>
                  </a:graphicData>
                </a:graphic>
              </wp:anchor>
            </w:drawing>
          </mc:Choice>
          <mc:Fallback>
            <w:pict>
              <v:rect id="Rectangle 6" o:spid="_x0000_s1028" style="position:absolute;left:0;text-align:left;margin-left:228pt;margin-top:85pt;width:53.9pt;height:21.9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" filled="f" stroked="f">
                <v:textbox inset="2.53958mm,1.2694mm,2.53958mm,1.2694mm">
                  <w:txbxContent>
                    <w:p w:rsidR="005A4789" w:rsidRDefault="002533C1">
                      <w:pPr>
                        <w:textDirection w:val="btLr"/>
                      </w:pPr>
                      <w:r>
                        <w:rPr>
                          <w:rFonts w:ascii="Arial" w:eastAsia="Arial" w:hAnsi="Arial" w:cs="Arial"/>
                          <w:b/>
                          <w:color w:val="FFFFFF"/>
                          <w:sz w:val="18"/>
                        </w:rPr>
                        <w:t>4:1</w:t>
                      </w:r>
                    </w:p>
                  </w:txbxContent>
                </v:textbox>
                <w10:wrap anchorx="margin"/>
              </v:rect>
            </w:pict>
          </mc:Fallback>
        </mc:AlternateContent>
      </w:r>
      <w:r w:rsidR="002533C1">
        <w:rPr>
          <w:noProof/>
        </w:rPr>
        <mc:AlternateContent>
          <mc:Choice Requires="wps">
            <w:drawing>
              <wp:anchor distT="45720" distB="45720" distL="114300" distR="114300" simplePos="0" relativeHeight="251661312" behindDoc="0" locked="0" layoutInCell="1" hidden="0" allowOverlap="1">
                <wp:simplePos x="0" y="0"/>
                <wp:positionH relativeFrom="margin">
                  <wp:posOffset>3213100</wp:posOffset>
                </wp:positionH>
                <wp:positionV relativeFrom="paragraph">
                  <wp:posOffset>1079500</wp:posOffset>
                </wp:positionV>
                <wp:extent cx="652599" cy="278765"/>
                <wp:effectExtent l="0" t="0" r="0" b="0"/>
                <wp:wrapNone/>
                <wp:docPr id="7" name="Rectangle 7"/>
                <wp:cNvGraphicFramePr/>
                <a:graphic xmlns:a="http://schemas.openxmlformats.org/drawingml/2006/main">
                  <a:graphicData uri="http://schemas.microsoft.com/office/word/2010/wordprocessingShape">
                    <wps:wsp>
                      <wps:cNvSpPr/>
                      <wps:spPr>
                        <a:xfrm>
                          <a:off x="5024463" y="3645380"/>
                          <a:ext cx="643074" cy="269240"/>
                        </a:xfrm>
                        <a:prstGeom prst="rect">
                          <a:avLst/>
                        </a:prstGeom>
                        <a:noFill/>
                        <a:ln>
                          <a:noFill/>
                        </a:ln>
                      </wps:spPr>
                      <wps:txbx>
                        <w:txbxContent>
                          <w:p w:rsidR="005A4789" w:rsidRDefault="002533C1">
                            <w:pPr>
                              <w:textDirection w:val="btLr"/>
                            </w:pPr>
                            <w:r>
                              <w:rPr>
                                <w:rFonts w:ascii="Arial" w:eastAsia="Arial" w:hAnsi="Arial" w:cs="Arial"/>
                                <w:b/>
                                <w:color w:val="FFFFFF"/>
                                <w:sz w:val="18"/>
                              </w:rPr>
                              <w:t xml:space="preserve">3:1 </w:t>
                            </w:r>
                          </w:p>
                        </w:txbxContent>
                      </wps:txbx>
                      <wps:bodyPr spcFirstLastPara="1" wrap="square" lIns="91425" tIns="45700" rIns="91425" bIns="45700" anchor="t" anchorCtr="0"/>
                    </wps:wsp>
                  </a:graphicData>
                </a:graphic>
              </wp:anchor>
            </w:drawing>
          </mc:Choice>
          <mc:Fallback>
            <w:pict>
              <v:rect id="Rectangle 7" o:spid="_x0000_s1029" style="position:absolute;left:0;text-align:left;margin-left:253pt;margin-top:85pt;width:51.4pt;height:21.9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" filled="f" stroked="f">
                <v:textbox inset="2.53958mm,1.2694mm,2.53958mm,1.2694mm">
                  <w:txbxContent>
                    <w:p w:rsidR="005A4789" w:rsidRDefault="002533C1">
                      <w:pPr>
                        <w:textDirection w:val="btLr"/>
                      </w:pPr>
                      <w:r>
                        <w:rPr>
                          <w:rFonts w:ascii="Arial" w:eastAsia="Arial" w:hAnsi="Arial" w:cs="Arial"/>
                          <w:b/>
                          <w:color w:val="FFFFFF"/>
                          <w:sz w:val="18"/>
                        </w:rPr>
                        <w:t xml:space="preserve">3:1 </w:t>
                      </w:r>
                    </w:p>
                  </w:txbxContent>
                </v:textbox>
                <w10:wrap anchorx="margin"/>
              </v:rect>
            </w:pict>
          </mc:Fallback>
        </mc:AlternateContent>
      </w:r>
      <w:r w:rsidR="002533C1">
        <w:rPr>
          <w:noProof/>
        </w:rPr>
        <mc:AlternateContent>
          <mc:Choice Requires="wps">
            <w:drawing>
              <wp:anchor distT="45720" distB="45720" distL="114300" distR="114300" simplePos="0" relativeHeight="251662336" behindDoc="0" locked="0" layoutInCell="1" hidden="0" allowOverlap="1">
                <wp:simplePos x="0" y="0"/>
                <wp:positionH relativeFrom="margin">
                  <wp:posOffset>3568700</wp:posOffset>
                </wp:positionH>
                <wp:positionV relativeFrom="paragraph">
                  <wp:posOffset>1092200</wp:posOffset>
                </wp:positionV>
                <wp:extent cx="804182" cy="278765"/>
                <wp:effectExtent l="0" t="0" r="0" b="0"/>
                <wp:wrapNone/>
                <wp:docPr id="5" name="Rectangle 5"/>
                <wp:cNvGraphicFramePr/>
                <a:graphic xmlns:a="http://schemas.openxmlformats.org/drawingml/2006/main">
                  <a:graphicData uri="http://schemas.microsoft.com/office/word/2010/wordprocessingShape">
                    <wps:wsp>
                      <wps:cNvSpPr/>
                      <wps:spPr>
                        <a:xfrm>
                          <a:off x="4948672" y="3645380"/>
                          <a:ext cx="794657" cy="269240"/>
                        </a:xfrm>
                        <a:prstGeom prst="rect">
                          <a:avLst/>
                        </a:prstGeom>
                        <a:noFill/>
                        <a:ln>
                          <a:noFill/>
                        </a:ln>
                      </wps:spPr>
                      <wps:txbx>
                        <w:txbxContent>
                          <w:p w:rsidR="005A4789" w:rsidRDefault="002533C1">
                            <w:pPr>
                              <w:textDirection w:val="btLr"/>
                            </w:pPr>
                            <w:r>
                              <w:rPr>
                                <w:rFonts w:ascii="Arial" w:eastAsia="Arial" w:hAnsi="Arial" w:cs="Arial"/>
                                <w:b/>
                                <w:color w:val="FFFFFF"/>
                                <w:sz w:val="18"/>
                              </w:rPr>
                              <w:t>2:1</w:t>
                            </w:r>
                          </w:p>
                        </w:txbxContent>
                      </wps:txbx>
                      <wps:bodyPr spcFirstLastPara="1" wrap="square" lIns="91425" tIns="45700" rIns="91425" bIns="45700" anchor="t" anchorCtr="0"/>
                    </wps:wsp>
                  </a:graphicData>
                </a:graphic>
              </wp:anchor>
            </w:drawing>
          </mc:Choice>
          <mc:Fallback>
            <w:pict>
              <v:rect id="Rectangle 5" o:spid="_x0000_s1030" style="position:absolute;left:0;text-align:left;margin-left:281pt;margin-top:86pt;width:63.3pt;height:21.9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" filled="f" stroked="f">
                <v:textbox inset="2.53958mm,1.2694mm,2.53958mm,1.2694mm">
                  <w:txbxContent>
                    <w:p w:rsidR="005A4789" w:rsidRDefault="002533C1">
                      <w:pPr>
                        <w:textDirection w:val="btLr"/>
                      </w:pPr>
                      <w:r>
                        <w:rPr>
                          <w:rFonts w:ascii="Arial" w:eastAsia="Arial" w:hAnsi="Arial" w:cs="Arial"/>
                          <w:b/>
                          <w:color w:val="FFFFFF"/>
                          <w:sz w:val="18"/>
                        </w:rPr>
                        <w:t>2:1</w:t>
                      </w:r>
                    </w:p>
                  </w:txbxContent>
                </v:textbox>
                <w10:wrap anchorx="margin"/>
              </v:rect>
            </w:pict>
          </mc:Fallback>
        </mc:AlternateContent>
      </w:r>
      <w:r w:rsidR="002533C1">
        <w:rPr>
          <w:noProof/>
        </w:rPr>
        <mc:AlternateContent>
          <mc:Choice Requires="wps">
            <w:drawing>
              <wp:anchor distT="45720" distB="45720" distL="114300" distR="114300" simplePos="0" relativeHeight="251663360" behindDoc="0" locked="0" layoutInCell="1" hidden="0" allowOverlap="1">
                <wp:simplePos x="0" y="0"/>
                <wp:positionH relativeFrom="margin">
                  <wp:posOffset>3886200</wp:posOffset>
                </wp:positionH>
                <wp:positionV relativeFrom="paragraph">
                  <wp:posOffset>1092200</wp:posOffset>
                </wp:positionV>
                <wp:extent cx="573496" cy="278765"/>
                <wp:effectExtent l="0" t="0" r="0" b="0"/>
                <wp:wrapNone/>
                <wp:docPr id="2" name="Rectangle 2"/>
                <wp:cNvGraphicFramePr/>
                <a:graphic xmlns:a="http://schemas.openxmlformats.org/drawingml/2006/main">
                  <a:graphicData uri="http://schemas.microsoft.com/office/word/2010/wordprocessingShape">
                    <wps:wsp>
                      <wps:cNvSpPr/>
                      <wps:spPr>
                        <a:xfrm>
                          <a:off x="5064015" y="3645380"/>
                          <a:ext cx="563971" cy="269240"/>
                        </a:xfrm>
                        <a:prstGeom prst="rect">
                          <a:avLst/>
                        </a:prstGeom>
                        <a:noFill/>
                        <a:ln>
                          <a:noFill/>
                        </a:ln>
                      </wps:spPr>
                      <wps:txbx>
                        <w:txbxContent>
                          <w:p w:rsidR="005A4789" w:rsidRDefault="002533C1">
                            <w:pPr>
                              <w:textDirection w:val="btLr"/>
                            </w:pPr>
                            <w:r>
                              <w:rPr>
                                <w:rFonts w:ascii="Arial" w:eastAsia="Arial" w:hAnsi="Arial" w:cs="Arial"/>
                                <w:b/>
                                <w:color w:val="FFFFFF"/>
                                <w:sz w:val="18"/>
                              </w:rPr>
                              <w:t>1:1</w:t>
                            </w:r>
                          </w:p>
                        </w:txbxContent>
                      </wps:txbx>
                      <wps:bodyPr spcFirstLastPara="1" wrap="square" lIns="91425" tIns="45700" rIns="91425" bIns="45700" anchor="t" anchorCtr="0"/>
                    </wps:wsp>
                  </a:graphicData>
                </a:graphic>
              </wp:anchor>
            </w:drawing>
          </mc:Choice>
          <mc:Fallback>
            <w:pict>
              <v:rect id="Rectangle 2" o:spid="_x0000_s1031" style="position:absolute;left:0;text-align:left;margin-left:306pt;margin-top:86pt;width:45.15pt;height:21.9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" filled="f" stroked="f">
                <v:textbox inset="2.53958mm,1.2694mm,2.53958mm,1.2694mm">
                  <w:txbxContent>
                    <w:p w:rsidR="005A4789" w:rsidRDefault="002533C1">
                      <w:pPr>
                        <w:textDirection w:val="btLr"/>
                      </w:pPr>
                      <w:r>
                        <w:rPr>
                          <w:rFonts w:ascii="Arial" w:eastAsia="Arial" w:hAnsi="Arial" w:cs="Arial"/>
                          <w:b/>
                          <w:color w:val="FFFFFF"/>
                          <w:sz w:val="18"/>
                        </w:rPr>
                        <w:t>1:1</w:t>
                      </w:r>
                    </w:p>
                  </w:txbxContent>
                </v:textbox>
                <w10:wrap anchorx="margin"/>
              </v:rect>
            </w:pict>
          </mc:Fallback>
        </mc:AlternateContent>
      </w:r>
      <w:r w:rsidR="002533C1">
        <w:rPr>
          <w:noProof/>
        </w:rPr>
        <mc:AlternateContent>
          <mc:Choice Requires="wps">
            <w:drawing>
              <wp:anchor distT="45720" distB="45720" distL="114300" distR="114300" simplePos="0" relativeHeight="251664384" behindDoc="0" locked="0" layoutInCell="1" hidden="0" allowOverlap="1">
                <wp:simplePos x="0" y="0"/>
                <wp:positionH relativeFrom="margin">
                  <wp:posOffset>4191000</wp:posOffset>
                </wp:positionH>
                <wp:positionV relativeFrom="paragraph">
                  <wp:posOffset>1092200</wp:posOffset>
                </wp:positionV>
                <wp:extent cx="651782" cy="278765"/>
                <wp:effectExtent l="0" t="0" r="0" b="0"/>
                <wp:wrapNone/>
                <wp:docPr id="4" name="Rectangle 4"/>
                <wp:cNvGraphicFramePr/>
                <a:graphic xmlns:a="http://schemas.openxmlformats.org/drawingml/2006/main">
                  <a:graphicData uri="http://schemas.microsoft.com/office/word/2010/wordprocessingShape">
                    <wps:wsp>
                      <wps:cNvSpPr/>
                      <wps:spPr>
                        <a:xfrm>
                          <a:off x="5024872" y="3645380"/>
                          <a:ext cx="642257" cy="269240"/>
                        </a:xfrm>
                        <a:prstGeom prst="rect">
                          <a:avLst/>
                        </a:prstGeom>
                        <a:noFill/>
                        <a:ln>
                          <a:noFill/>
                        </a:ln>
                      </wps:spPr>
                      <wps:txbx>
                        <w:txbxContent>
                          <w:p w:rsidR="005A4789" w:rsidRDefault="002533C1">
                            <w:pPr>
                              <w:textDirection w:val="btLr"/>
                            </w:pPr>
                            <w:r>
                              <w:rPr>
                                <w:rFonts w:ascii="Arial" w:eastAsia="Arial" w:hAnsi="Arial" w:cs="Arial"/>
                                <w:b/>
                                <w:color w:val="FFFFFF"/>
                                <w:sz w:val="18"/>
                              </w:rPr>
                              <w:t>1:2</w:t>
                            </w:r>
                          </w:p>
                        </w:txbxContent>
                      </wps:txbx>
                      <wps:bodyPr spcFirstLastPara="1" wrap="square" lIns="91425" tIns="45700" rIns="91425" bIns="45700" anchor="t" anchorCtr="0"/>
                    </wps:wsp>
                  </a:graphicData>
                </a:graphic>
              </wp:anchor>
            </w:drawing>
          </mc:Choice>
          <mc:Fallback>
            <w:pict>
              <v:rect id="Rectangle 4" o:spid="_x0000_s1032" style="position:absolute;left:0;text-align:left;margin-left:330pt;margin-top:86pt;width:51.3pt;height:21.9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" filled="f" stroked="f">
                <v:textbox inset="2.53958mm,1.2694mm,2.53958mm,1.2694mm">
                  <w:txbxContent>
                    <w:p w:rsidR="005A4789" w:rsidRDefault="002533C1">
                      <w:pPr>
                        <w:textDirection w:val="btLr"/>
                      </w:pPr>
                      <w:r>
                        <w:rPr>
                          <w:rFonts w:ascii="Arial" w:eastAsia="Arial" w:hAnsi="Arial" w:cs="Arial"/>
                          <w:b/>
                          <w:color w:val="FFFFFF"/>
                          <w:sz w:val="18"/>
                        </w:rPr>
                        <w:t>1:2</w:t>
                      </w:r>
                    </w:p>
                  </w:txbxContent>
                </v:textbox>
                <w10:wrap anchorx="margin"/>
              </v:rect>
            </w:pict>
          </mc:Fallback>
        </mc:AlternateContent>
      </w:r>
    </w:p>
    <w:p w:rsidR="005A4789" w:rsidRDefault="005A4789"/>
    <w:p w:rsidR="005A4789" w:rsidRDefault="002533C1">
      <w:pPr>
        <w:jc w:val="center"/>
        <w:rPr>
          <w:sz w:val="22"/>
          <w:szCs w:val="22"/>
        </w:rPr>
      </w:pPr>
      <w:r>
        <w:rPr>
          <w:b/>
          <w:sz w:val="22"/>
          <w:szCs w:val="22"/>
        </w:rPr>
        <w:t>Figure 2.</w:t>
      </w:r>
      <w:r>
        <w:rPr>
          <w:sz w:val="22"/>
          <w:szCs w:val="22"/>
        </w:rPr>
        <w:t xml:space="preserve"> (a) Multi-walled CNT in water after 3 h, (b) CNC-CNT in water </w:t>
      </w:r>
    </w:p>
    <w:p w:rsidR="005A4789" w:rsidRDefault="002533C1">
      <w:pPr>
        <w:jc w:val="center"/>
        <w:rPr>
          <w:sz w:val="22"/>
          <w:szCs w:val="22"/>
        </w:rPr>
      </w:pPr>
      <w:r>
        <w:rPr>
          <w:sz w:val="22"/>
          <w:szCs w:val="22"/>
        </w:rPr>
        <w:t>after one month (CNT: CNC mass ratio is shown on the vials).</w:t>
      </w:r>
    </w:p>
    <w:p w:rsidR="005A4789" w:rsidRDefault="005A4789">
      <w:pPr>
        <w:jc w:val="both"/>
        <w:rPr>
          <w:sz w:val="22"/>
          <w:szCs w:val="22"/>
        </w:rPr>
      </w:pPr>
    </w:p>
    <w:p w:rsidR="005A4789" w:rsidRDefault="005A4789">
      <w:pPr>
        <w:jc w:val="both"/>
        <w:rPr>
          <w:sz w:val="22"/>
          <w:szCs w:val="22"/>
        </w:rPr>
      </w:pPr>
    </w:p>
    <w:p w:rsidR="005A4789" w:rsidRDefault="005A4789">
      <w:pPr>
        <w:jc w:val="both"/>
        <w:rPr>
          <w:sz w:val="22"/>
          <w:szCs w:val="22"/>
        </w:rPr>
      </w:pPr>
    </w:p>
    <w:p w:rsidR="005A4789" w:rsidRDefault="002533C1">
      <w:pPr>
        <w:jc w:val="both"/>
        <w:rPr>
          <w:sz w:val="22"/>
          <w:szCs w:val="22"/>
        </w:rPr>
      </w:pPr>
      <w:r>
        <w:rPr>
          <w:sz w:val="22"/>
          <w:szCs w:val="22"/>
        </w:rPr>
        <w:t>Zeta potential values of CNT in water with and without CNC suggest that the presence of CNC causes intermolecular rearrangement that leads to better dispersion and stability, as shown in Table 1.</w:t>
      </w:r>
    </w:p>
    <w:p w:rsidR="005A4789" w:rsidRDefault="005A4789">
      <w:pPr>
        <w:jc w:val="both"/>
        <w:rPr>
          <w:sz w:val="22"/>
          <w:szCs w:val="22"/>
        </w:rPr>
      </w:pPr>
    </w:p>
    <w:p w:rsidR="005A4789" w:rsidRDefault="002533C1">
      <w:pPr>
        <w:jc w:val="both"/>
        <w:rPr>
          <w:sz w:val="22"/>
          <w:szCs w:val="22"/>
        </w:rPr>
      </w:pPr>
      <w:r w:rsidRPr="00E8152E">
        <w:rPr>
          <w:sz w:val="22"/>
          <w:szCs w:val="22"/>
        </w:rPr>
        <w:t>The FTIR spectrum of CNC-CNT dispersion is shown in Fig. 3 for M-CNT and M-</w:t>
      </w:r>
      <w:r w:rsidR="00E8152E" w:rsidRPr="00E8152E">
        <w:rPr>
          <w:sz w:val="22"/>
          <w:szCs w:val="22"/>
        </w:rPr>
        <w:t>CNT: CNC</w:t>
      </w:r>
      <w:r w:rsidRPr="00E8152E">
        <w:rPr>
          <w:sz w:val="22"/>
          <w:szCs w:val="22"/>
        </w:rPr>
        <w:t xml:space="preserve"> (1:1). The FTIR scan of pristine CNT (as received) were subtracted from background of both plots to smoothen the baseline. Introducing CNC in the aqueous suspension of CNT created =C−H bending, C−O and C=O stretching, C−C skeletal vibrations, −C−H (O−C−H) bending, C=O=C and O=C=O stretching and C−H stretching due to formations of new hydrogen bonding. The strong O−C−H bending (1400-1500 cm-1), C−H stretching (2850-3000 cm-1) and C−O (1000-1300 cm-1</w:t>
      </w:r>
      <w:r>
        <w:rPr>
          <w:sz w:val="22"/>
          <w:szCs w:val="22"/>
        </w:rPr>
        <w:t>) and C=O (1700 cm</w:t>
      </w:r>
      <w:r w:rsidRPr="00E8152E">
        <w:rPr>
          <w:sz w:val="22"/>
          <w:szCs w:val="22"/>
        </w:rPr>
        <w:t xml:space="preserve">-1) stretching ester bonds imply a potential interaction </w:t>
      </w:r>
      <w:r w:rsidR="00E8152E" w:rsidRPr="00E8152E">
        <w:rPr>
          <w:sz w:val="22"/>
          <w:szCs w:val="22"/>
        </w:rPr>
        <w:t>between −</w:t>
      </w:r>
      <w:r w:rsidRPr="00E8152E">
        <w:rPr>
          <w:sz w:val="22"/>
          <w:szCs w:val="22"/>
        </w:rPr>
        <w:t>OH groups on CNC and –COOH groups on partially treated M-CNT. These results are in concert with the results obtained by Liu et al. [</w:t>
      </w:r>
      <w:r>
        <w:rPr>
          <w:sz w:val="22"/>
          <w:szCs w:val="22"/>
        </w:rPr>
        <w:t>20]</w:t>
      </w:r>
    </w:p>
    <w:p w:rsidR="005A4789" w:rsidRDefault="005A4789"/>
    <w:p w:rsidR="005A4789" w:rsidRDefault="002533C1">
      <w:pPr>
        <w:jc w:val="center"/>
        <w:rPr>
          <w:sz w:val="22"/>
          <w:szCs w:val="22"/>
        </w:rPr>
      </w:pPr>
      <w:r>
        <w:rPr>
          <w:b/>
          <w:sz w:val="22"/>
          <w:szCs w:val="22"/>
        </w:rPr>
        <w:lastRenderedPageBreak/>
        <w:t>Table 1.</w:t>
      </w:r>
      <w:r>
        <w:rPr>
          <w:sz w:val="22"/>
          <w:szCs w:val="22"/>
        </w:rPr>
        <w:t xml:space="preserve"> Zeta potential values for different </w:t>
      </w:r>
      <w:r w:rsidR="00E8152E">
        <w:rPr>
          <w:sz w:val="22"/>
          <w:szCs w:val="22"/>
        </w:rPr>
        <w:t>CNT: CNC</w:t>
      </w:r>
      <w:r>
        <w:rPr>
          <w:sz w:val="22"/>
          <w:szCs w:val="22"/>
        </w:rPr>
        <w:t xml:space="preserve"> mass ratios (1mg/mL) at room temperature.</w:t>
      </w:r>
    </w:p>
    <w:p w:rsidR="005A4789" w:rsidRDefault="005A4789">
      <w:pPr>
        <w:jc w:val="both"/>
        <w:rPr>
          <w:sz w:val="22"/>
          <w:szCs w:val="22"/>
        </w:rPr>
      </w:pPr>
    </w:p>
    <w:tbl>
      <w:tblPr>
        <w:tblStyle w:val="a"/>
        <w:tblW w:w="4826" w:type="dxa"/>
        <w:jc w:val="center"/>
        <w:tblLayout w:type="fixed"/>
        <w:tblLook w:val="0000" w:firstRow="0" w:lastRow="0" w:firstColumn="0" w:lastColumn="0" w:noHBand="0" w:noVBand="0"/>
      </w:tblPr>
      <w:tblGrid>
        <w:gridCol w:w="2512"/>
        <w:gridCol w:w="2064"/>
        <w:gridCol w:w="250"/>
      </w:tblGrid>
      <w:tr w:rsidR="005A4789">
        <w:trPr>
          <w:jc w:val="center"/>
        </w:trPr>
        <w:tc>
          <w:tcPr>
            <w:tcW w:w="2520" w:type="dxa"/>
            <w:tcBorders>
              <w:top w:val="single" w:sz="8" w:space="0" w:color="000000"/>
            </w:tcBorders>
            <w:vAlign w:val="center"/>
          </w:tcPr>
          <w:p w:rsidR="005A4789" w:rsidRDefault="002533C1">
            <w:pPr>
              <w:pBdr>
                <w:top w:val="nil"/>
                <w:left w:val="nil"/>
                <w:bottom w:val="nil"/>
                <w:right w:val="nil"/>
                <w:between w:val="nil"/>
              </w:pBdr>
              <w:jc w:val="center"/>
              <w:rPr>
                <w:color w:val="000000"/>
                <w:sz w:val="22"/>
                <w:szCs w:val="22"/>
              </w:rPr>
            </w:pPr>
            <w:r>
              <w:rPr>
                <w:color w:val="000000"/>
                <w:sz w:val="22"/>
                <w:szCs w:val="22"/>
              </w:rPr>
              <w:t>Specimen Type</w:t>
            </w:r>
          </w:p>
        </w:tc>
        <w:tc>
          <w:tcPr>
            <w:tcW w:w="2070" w:type="dxa"/>
            <w:tcBorders>
              <w:top w:val="single" w:sz="8" w:space="0" w:color="000000"/>
            </w:tcBorders>
            <w:vAlign w:val="center"/>
          </w:tcPr>
          <w:p w:rsidR="005A4789" w:rsidRDefault="002533C1">
            <w:pPr>
              <w:pBdr>
                <w:top w:val="nil"/>
                <w:left w:val="nil"/>
                <w:bottom w:val="nil"/>
                <w:right w:val="nil"/>
                <w:between w:val="nil"/>
              </w:pBdr>
              <w:ind w:right="107"/>
              <w:jc w:val="center"/>
              <w:rPr>
                <w:i/>
                <w:color w:val="000000"/>
                <w:sz w:val="22"/>
                <w:szCs w:val="22"/>
              </w:rPr>
            </w:pPr>
            <w:r>
              <w:rPr>
                <w:i/>
                <w:color w:val="000000"/>
                <w:sz w:val="22"/>
                <w:szCs w:val="22"/>
              </w:rPr>
              <w:t>Z- Potential (mV)</w:t>
            </w:r>
            <w:r>
              <w:rPr>
                <w:color w:val="000000"/>
                <w:sz w:val="22"/>
                <w:szCs w:val="22"/>
              </w:rPr>
              <w:t>)</w:t>
            </w:r>
          </w:p>
        </w:tc>
        <w:tc>
          <w:tcPr>
            <w:tcW w:w="236" w:type="dxa"/>
            <w:tcBorders>
              <w:top w:val="single" w:sz="8" w:space="0" w:color="000000"/>
            </w:tcBorders>
            <w:vAlign w:val="center"/>
          </w:tcPr>
          <w:p w:rsidR="005A4789" w:rsidRDefault="005A4789">
            <w:pPr>
              <w:pBdr>
                <w:top w:val="nil"/>
                <w:left w:val="nil"/>
                <w:bottom w:val="nil"/>
                <w:right w:val="nil"/>
                <w:between w:val="nil"/>
              </w:pBdr>
              <w:ind w:right="107"/>
              <w:jc w:val="center"/>
              <w:rPr>
                <w:i/>
                <w:color w:val="000000"/>
                <w:sz w:val="22"/>
                <w:szCs w:val="22"/>
              </w:rPr>
            </w:pPr>
          </w:p>
        </w:tc>
      </w:tr>
      <w:tr w:rsidR="005A4789">
        <w:trPr>
          <w:trHeight w:val="300"/>
          <w:jc w:val="center"/>
        </w:trPr>
        <w:tc>
          <w:tcPr>
            <w:tcW w:w="2520" w:type="dxa"/>
            <w:tcBorders>
              <w:bottom w:val="single" w:sz="4" w:space="0" w:color="000000"/>
            </w:tcBorders>
          </w:tcPr>
          <w:p w:rsidR="005A4789" w:rsidRDefault="005A4789">
            <w:pPr>
              <w:pBdr>
                <w:top w:val="nil"/>
                <w:left w:val="nil"/>
                <w:bottom w:val="nil"/>
                <w:right w:val="nil"/>
                <w:between w:val="nil"/>
              </w:pBdr>
              <w:jc w:val="center"/>
              <w:rPr>
                <w:color w:val="000000"/>
                <w:sz w:val="22"/>
                <w:szCs w:val="22"/>
              </w:rPr>
            </w:pPr>
          </w:p>
        </w:tc>
        <w:tc>
          <w:tcPr>
            <w:tcW w:w="2070" w:type="dxa"/>
            <w:tcBorders>
              <w:bottom w:val="single" w:sz="4" w:space="0" w:color="000000"/>
            </w:tcBorders>
          </w:tcPr>
          <w:p w:rsidR="005A4789" w:rsidRDefault="005A4789">
            <w:pPr>
              <w:pBdr>
                <w:top w:val="nil"/>
                <w:left w:val="nil"/>
                <w:bottom w:val="nil"/>
                <w:right w:val="nil"/>
                <w:between w:val="nil"/>
              </w:pBdr>
              <w:ind w:right="107"/>
              <w:jc w:val="center"/>
              <w:rPr>
                <w:color w:val="000000"/>
                <w:sz w:val="22"/>
                <w:szCs w:val="22"/>
              </w:rPr>
            </w:pPr>
          </w:p>
        </w:tc>
        <w:tc>
          <w:tcPr>
            <w:tcW w:w="236" w:type="dxa"/>
            <w:tcBorders>
              <w:bottom w:val="single" w:sz="4" w:space="0" w:color="000000"/>
            </w:tcBorders>
          </w:tcPr>
          <w:p w:rsidR="005A4789" w:rsidRDefault="005A4789">
            <w:pPr>
              <w:pBdr>
                <w:top w:val="nil"/>
                <w:left w:val="nil"/>
                <w:bottom w:val="nil"/>
                <w:right w:val="nil"/>
                <w:between w:val="nil"/>
              </w:pBdr>
              <w:ind w:right="107"/>
              <w:jc w:val="center"/>
              <w:rPr>
                <w:color w:val="000000"/>
                <w:sz w:val="22"/>
                <w:szCs w:val="22"/>
              </w:rPr>
            </w:pPr>
          </w:p>
        </w:tc>
      </w:tr>
      <w:tr w:rsidR="005A4789">
        <w:trPr>
          <w:gridAfter w:val="1"/>
          <w:wAfter w:w="236" w:type="dxa"/>
          <w:jc w:val="center"/>
        </w:trPr>
        <w:tc>
          <w:tcPr>
            <w:tcW w:w="2520" w:type="dxa"/>
            <w:vAlign w:val="center"/>
          </w:tcPr>
          <w:p w:rsidR="005A4789" w:rsidRDefault="002533C1">
            <w:pPr>
              <w:pBdr>
                <w:top w:val="nil"/>
                <w:left w:val="nil"/>
                <w:bottom w:val="nil"/>
                <w:right w:val="nil"/>
                <w:between w:val="nil"/>
              </w:pBdr>
              <w:tabs>
                <w:tab w:val="left" w:pos="611"/>
              </w:tabs>
              <w:jc w:val="center"/>
              <w:rPr>
                <w:color w:val="000000"/>
                <w:sz w:val="22"/>
                <w:szCs w:val="22"/>
              </w:rPr>
            </w:pPr>
            <w:r>
              <w:rPr>
                <w:color w:val="000000"/>
                <w:sz w:val="22"/>
                <w:szCs w:val="22"/>
              </w:rPr>
              <w:t>CNC</w:t>
            </w:r>
          </w:p>
        </w:tc>
        <w:tc>
          <w:tcPr>
            <w:tcW w:w="2070" w:type="dxa"/>
            <w:vAlign w:val="center"/>
          </w:tcPr>
          <w:p w:rsidR="005A4789" w:rsidRDefault="002533C1">
            <w:pPr>
              <w:pBdr>
                <w:top w:val="nil"/>
                <w:left w:val="nil"/>
                <w:bottom w:val="nil"/>
                <w:right w:val="nil"/>
                <w:between w:val="nil"/>
              </w:pBdr>
              <w:ind w:left="-109" w:firstLine="109"/>
              <w:jc w:val="center"/>
              <w:rPr>
                <w:color w:val="000000"/>
                <w:sz w:val="22"/>
                <w:szCs w:val="22"/>
              </w:rPr>
            </w:pPr>
            <w:r>
              <w:rPr>
                <w:color w:val="000000"/>
                <w:sz w:val="22"/>
                <w:szCs w:val="22"/>
              </w:rPr>
              <w:t>-47.77 ± 1.3</w:t>
            </w:r>
          </w:p>
        </w:tc>
      </w:tr>
      <w:tr w:rsidR="005A4789">
        <w:trPr>
          <w:gridAfter w:val="1"/>
          <w:wAfter w:w="236" w:type="dxa"/>
          <w:jc w:val="center"/>
        </w:trPr>
        <w:tc>
          <w:tcPr>
            <w:tcW w:w="2520" w:type="dxa"/>
            <w:vAlign w:val="center"/>
          </w:tcPr>
          <w:p w:rsidR="005A4789" w:rsidRDefault="002533C1">
            <w:pPr>
              <w:pBdr>
                <w:top w:val="nil"/>
                <w:left w:val="nil"/>
                <w:bottom w:val="nil"/>
                <w:right w:val="nil"/>
                <w:between w:val="nil"/>
              </w:pBdr>
              <w:jc w:val="center"/>
              <w:rPr>
                <w:color w:val="000000"/>
                <w:sz w:val="22"/>
                <w:szCs w:val="22"/>
              </w:rPr>
            </w:pPr>
            <w:r>
              <w:rPr>
                <w:color w:val="000000"/>
                <w:sz w:val="22"/>
                <w:szCs w:val="22"/>
              </w:rPr>
              <w:t>M-CNT</w:t>
            </w:r>
          </w:p>
        </w:tc>
        <w:tc>
          <w:tcPr>
            <w:tcW w:w="2070" w:type="dxa"/>
            <w:vAlign w:val="center"/>
          </w:tcPr>
          <w:p w:rsidR="005A4789" w:rsidRDefault="002533C1">
            <w:pPr>
              <w:pBdr>
                <w:top w:val="nil"/>
                <w:left w:val="nil"/>
                <w:bottom w:val="nil"/>
                <w:right w:val="nil"/>
                <w:between w:val="nil"/>
              </w:pBdr>
              <w:ind w:right="107"/>
              <w:jc w:val="center"/>
              <w:rPr>
                <w:color w:val="000000"/>
                <w:sz w:val="22"/>
                <w:szCs w:val="22"/>
              </w:rPr>
            </w:pPr>
            <w:r>
              <w:rPr>
                <w:color w:val="000000"/>
                <w:sz w:val="22"/>
                <w:szCs w:val="22"/>
              </w:rPr>
              <w:t>-32.50 ± 1.2</w:t>
            </w:r>
          </w:p>
        </w:tc>
      </w:tr>
      <w:tr w:rsidR="005A4789">
        <w:trPr>
          <w:gridAfter w:val="1"/>
          <w:wAfter w:w="236" w:type="dxa"/>
          <w:jc w:val="center"/>
        </w:trPr>
        <w:tc>
          <w:tcPr>
            <w:tcW w:w="2520" w:type="dxa"/>
            <w:vAlign w:val="center"/>
          </w:tcPr>
          <w:p w:rsidR="005A4789" w:rsidRDefault="002533C1">
            <w:pPr>
              <w:pBdr>
                <w:top w:val="nil"/>
                <w:left w:val="nil"/>
                <w:bottom w:val="nil"/>
                <w:right w:val="nil"/>
                <w:between w:val="nil"/>
              </w:pBdr>
              <w:jc w:val="center"/>
              <w:rPr>
                <w:color w:val="000000"/>
                <w:sz w:val="22"/>
                <w:szCs w:val="22"/>
              </w:rPr>
            </w:pPr>
            <w:r>
              <w:rPr>
                <w:color w:val="000000"/>
                <w:sz w:val="22"/>
                <w:szCs w:val="22"/>
              </w:rPr>
              <w:t>H-CNT</w:t>
            </w:r>
          </w:p>
        </w:tc>
        <w:tc>
          <w:tcPr>
            <w:tcW w:w="2070" w:type="dxa"/>
            <w:vAlign w:val="center"/>
          </w:tcPr>
          <w:p w:rsidR="005A4789" w:rsidRDefault="002533C1">
            <w:pPr>
              <w:pBdr>
                <w:top w:val="nil"/>
                <w:left w:val="nil"/>
                <w:bottom w:val="nil"/>
                <w:right w:val="nil"/>
                <w:between w:val="nil"/>
              </w:pBdr>
              <w:ind w:right="107"/>
              <w:jc w:val="center"/>
              <w:rPr>
                <w:color w:val="000000"/>
                <w:sz w:val="22"/>
                <w:szCs w:val="22"/>
              </w:rPr>
            </w:pPr>
            <w:r>
              <w:rPr>
                <w:color w:val="000000"/>
                <w:sz w:val="22"/>
                <w:szCs w:val="22"/>
              </w:rPr>
              <w:t>-37.27 ± 0.9</w:t>
            </w:r>
          </w:p>
        </w:tc>
      </w:tr>
      <w:tr w:rsidR="005A4789">
        <w:trPr>
          <w:gridAfter w:val="1"/>
          <w:wAfter w:w="236" w:type="dxa"/>
          <w:jc w:val="center"/>
        </w:trPr>
        <w:tc>
          <w:tcPr>
            <w:tcW w:w="2520" w:type="dxa"/>
            <w:vAlign w:val="center"/>
          </w:tcPr>
          <w:p w:rsidR="005A4789" w:rsidRDefault="002533C1">
            <w:pPr>
              <w:pBdr>
                <w:top w:val="nil"/>
                <w:left w:val="nil"/>
                <w:bottom w:val="nil"/>
                <w:right w:val="nil"/>
                <w:between w:val="nil"/>
              </w:pBdr>
              <w:jc w:val="center"/>
              <w:rPr>
                <w:color w:val="000000"/>
                <w:sz w:val="22"/>
                <w:szCs w:val="22"/>
              </w:rPr>
            </w:pPr>
            <w:r>
              <w:rPr>
                <w:color w:val="000000"/>
                <w:sz w:val="22"/>
                <w:szCs w:val="22"/>
              </w:rPr>
              <w:t>M-</w:t>
            </w:r>
            <w:r w:rsidR="00E8152E">
              <w:rPr>
                <w:color w:val="000000"/>
                <w:sz w:val="22"/>
                <w:szCs w:val="22"/>
              </w:rPr>
              <w:t>CNT: CNC</w:t>
            </w:r>
            <w:r>
              <w:rPr>
                <w:color w:val="000000"/>
                <w:sz w:val="22"/>
                <w:szCs w:val="22"/>
              </w:rPr>
              <w:t xml:space="preserve"> (4:1)</w:t>
            </w:r>
          </w:p>
        </w:tc>
        <w:tc>
          <w:tcPr>
            <w:tcW w:w="2070" w:type="dxa"/>
            <w:vAlign w:val="center"/>
          </w:tcPr>
          <w:p w:rsidR="005A4789" w:rsidRDefault="002533C1">
            <w:pPr>
              <w:pBdr>
                <w:top w:val="nil"/>
                <w:left w:val="nil"/>
                <w:bottom w:val="nil"/>
                <w:right w:val="nil"/>
                <w:between w:val="nil"/>
              </w:pBdr>
              <w:ind w:right="107"/>
              <w:jc w:val="center"/>
              <w:rPr>
                <w:color w:val="000000"/>
                <w:sz w:val="22"/>
                <w:szCs w:val="22"/>
              </w:rPr>
            </w:pPr>
            <w:r>
              <w:rPr>
                <w:color w:val="000000"/>
                <w:sz w:val="22"/>
                <w:szCs w:val="22"/>
              </w:rPr>
              <w:t>-49.07 ± 0.2</w:t>
            </w:r>
          </w:p>
        </w:tc>
      </w:tr>
      <w:tr w:rsidR="005A4789">
        <w:trPr>
          <w:gridAfter w:val="1"/>
          <w:wAfter w:w="236" w:type="dxa"/>
          <w:jc w:val="center"/>
        </w:trPr>
        <w:tc>
          <w:tcPr>
            <w:tcW w:w="2520" w:type="dxa"/>
            <w:vAlign w:val="center"/>
          </w:tcPr>
          <w:p w:rsidR="005A4789" w:rsidRDefault="002533C1">
            <w:pPr>
              <w:pBdr>
                <w:top w:val="nil"/>
                <w:left w:val="nil"/>
                <w:bottom w:val="nil"/>
                <w:right w:val="nil"/>
                <w:between w:val="nil"/>
              </w:pBdr>
              <w:jc w:val="center"/>
              <w:rPr>
                <w:color w:val="000000"/>
                <w:sz w:val="22"/>
                <w:szCs w:val="22"/>
              </w:rPr>
            </w:pPr>
            <w:r>
              <w:rPr>
                <w:color w:val="000000"/>
                <w:sz w:val="22"/>
                <w:szCs w:val="22"/>
              </w:rPr>
              <w:t>M-</w:t>
            </w:r>
            <w:r w:rsidR="00E8152E">
              <w:rPr>
                <w:color w:val="000000"/>
                <w:sz w:val="22"/>
                <w:szCs w:val="22"/>
              </w:rPr>
              <w:t>CNT: CNC</w:t>
            </w:r>
            <w:r>
              <w:rPr>
                <w:color w:val="000000"/>
                <w:sz w:val="22"/>
                <w:szCs w:val="22"/>
              </w:rPr>
              <w:t xml:space="preserve"> (3:1)</w:t>
            </w:r>
          </w:p>
        </w:tc>
        <w:tc>
          <w:tcPr>
            <w:tcW w:w="2070" w:type="dxa"/>
            <w:vAlign w:val="center"/>
          </w:tcPr>
          <w:p w:rsidR="005A4789" w:rsidRDefault="002533C1">
            <w:pPr>
              <w:pBdr>
                <w:top w:val="nil"/>
                <w:left w:val="nil"/>
                <w:bottom w:val="nil"/>
                <w:right w:val="nil"/>
                <w:between w:val="nil"/>
              </w:pBdr>
              <w:ind w:right="107"/>
              <w:jc w:val="center"/>
              <w:rPr>
                <w:color w:val="000000"/>
                <w:sz w:val="22"/>
                <w:szCs w:val="22"/>
              </w:rPr>
            </w:pPr>
            <w:r>
              <w:rPr>
                <w:color w:val="000000"/>
                <w:sz w:val="22"/>
                <w:szCs w:val="22"/>
              </w:rPr>
              <w:t>-51.75 ± 0.5</w:t>
            </w:r>
          </w:p>
        </w:tc>
      </w:tr>
      <w:tr w:rsidR="005A4789">
        <w:trPr>
          <w:gridAfter w:val="1"/>
          <w:wAfter w:w="236" w:type="dxa"/>
          <w:jc w:val="center"/>
        </w:trPr>
        <w:tc>
          <w:tcPr>
            <w:tcW w:w="2520" w:type="dxa"/>
            <w:vAlign w:val="center"/>
          </w:tcPr>
          <w:p w:rsidR="005A4789" w:rsidRDefault="002533C1">
            <w:pPr>
              <w:pBdr>
                <w:top w:val="nil"/>
                <w:left w:val="nil"/>
                <w:bottom w:val="nil"/>
                <w:right w:val="nil"/>
                <w:between w:val="nil"/>
              </w:pBdr>
              <w:jc w:val="center"/>
              <w:rPr>
                <w:color w:val="000000"/>
                <w:sz w:val="22"/>
                <w:szCs w:val="22"/>
              </w:rPr>
            </w:pPr>
            <w:r>
              <w:rPr>
                <w:color w:val="000000"/>
                <w:sz w:val="22"/>
                <w:szCs w:val="22"/>
              </w:rPr>
              <w:t>M-</w:t>
            </w:r>
            <w:r w:rsidR="00E8152E">
              <w:rPr>
                <w:color w:val="000000"/>
                <w:sz w:val="22"/>
                <w:szCs w:val="22"/>
              </w:rPr>
              <w:t>CNT: CNC</w:t>
            </w:r>
            <w:r>
              <w:rPr>
                <w:color w:val="000000"/>
                <w:sz w:val="22"/>
                <w:szCs w:val="22"/>
              </w:rPr>
              <w:t xml:space="preserve"> (2:1)</w:t>
            </w:r>
          </w:p>
        </w:tc>
        <w:tc>
          <w:tcPr>
            <w:tcW w:w="2070" w:type="dxa"/>
            <w:vAlign w:val="center"/>
          </w:tcPr>
          <w:p w:rsidR="005A4789" w:rsidRDefault="002533C1">
            <w:pPr>
              <w:pBdr>
                <w:top w:val="nil"/>
                <w:left w:val="nil"/>
                <w:bottom w:val="nil"/>
                <w:right w:val="nil"/>
                <w:between w:val="nil"/>
              </w:pBdr>
              <w:ind w:right="107"/>
              <w:jc w:val="center"/>
              <w:rPr>
                <w:color w:val="000000"/>
                <w:sz w:val="22"/>
                <w:szCs w:val="22"/>
              </w:rPr>
            </w:pPr>
            <w:r>
              <w:rPr>
                <w:color w:val="000000"/>
                <w:sz w:val="22"/>
                <w:szCs w:val="22"/>
              </w:rPr>
              <w:t>-52.87 ± 0.2</w:t>
            </w:r>
          </w:p>
        </w:tc>
      </w:tr>
      <w:tr w:rsidR="005A4789">
        <w:trPr>
          <w:gridAfter w:val="1"/>
          <w:wAfter w:w="236" w:type="dxa"/>
          <w:jc w:val="center"/>
        </w:trPr>
        <w:tc>
          <w:tcPr>
            <w:tcW w:w="2520" w:type="dxa"/>
            <w:vAlign w:val="center"/>
          </w:tcPr>
          <w:p w:rsidR="005A4789" w:rsidRDefault="002533C1">
            <w:pPr>
              <w:pBdr>
                <w:top w:val="nil"/>
                <w:left w:val="nil"/>
                <w:bottom w:val="nil"/>
                <w:right w:val="nil"/>
                <w:between w:val="nil"/>
              </w:pBdr>
              <w:jc w:val="center"/>
              <w:rPr>
                <w:color w:val="000000"/>
                <w:sz w:val="22"/>
                <w:szCs w:val="22"/>
              </w:rPr>
            </w:pPr>
            <w:r>
              <w:rPr>
                <w:color w:val="000000"/>
                <w:sz w:val="22"/>
                <w:szCs w:val="22"/>
              </w:rPr>
              <w:t>M-</w:t>
            </w:r>
            <w:r w:rsidR="00E8152E">
              <w:rPr>
                <w:color w:val="000000"/>
                <w:sz w:val="22"/>
                <w:szCs w:val="22"/>
              </w:rPr>
              <w:t>CNT: CNC</w:t>
            </w:r>
            <w:r>
              <w:rPr>
                <w:color w:val="000000"/>
                <w:sz w:val="22"/>
                <w:szCs w:val="22"/>
              </w:rPr>
              <w:t xml:space="preserve"> (1:1)</w:t>
            </w:r>
          </w:p>
        </w:tc>
        <w:tc>
          <w:tcPr>
            <w:tcW w:w="2070" w:type="dxa"/>
            <w:vAlign w:val="center"/>
          </w:tcPr>
          <w:p w:rsidR="005A4789" w:rsidRDefault="002533C1">
            <w:pPr>
              <w:pBdr>
                <w:top w:val="nil"/>
                <w:left w:val="nil"/>
                <w:bottom w:val="nil"/>
                <w:right w:val="nil"/>
                <w:between w:val="nil"/>
              </w:pBdr>
              <w:ind w:right="107"/>
              <w:jc w:val="center"/>
              <w:rPr>
                <w:color w:val="000000"/>
                <w:sz w:val="22"/>
                <w:szCs w:val="22"/>
              </w:rPr>
            </w:pPr>
            <w:r>
              <w:rPr>
                <w:color w:val="000000"/>
                <w:sz w:val="22"/>
                <w:szCs w:val="22"/>
              </w:rPr>
              <w:t>-54.90 ± 0.7</w:t>
            </w:r>
          </w:p>
        </w:tc>
      </w:tr>
      <w:tr w:rsidR="005A4789">
        <w:trPr>
          <w:trHeight w:val="80"/>
          <w:jc w:val="center"/>
        </w:trPr>
        <w:tc>
          <w:tcPr>
            <w:tcW w:w="2520" w:type="dxa"/>
            <w:tcBorders>
              <w:bottom w:val="single" w:sz="8" w:space="0" w:color="000000"/>
            </w:tcBorders>
          </w:tcPr>
          <w:p w:rsidR="005A4789" w:rsidRDefault="002533C1">
            <w:pPr>
              <w:pBdr>
                <w:top w:val="nil"/>
                <w:left w:val="nil"/>
                <w:bottom w:val="nil"/>
                <w:right w:val="nil"/>
                <w:between w:val="nil"/>
              </w:pBdr>
              <w:jc w:val="center"/>
              <w:rPr>
                <w:color w:val="000000"/>
                <w:sz w:val="22"/>
                <w:szCs w:val="22"/>
              </w:rPr>
            </w:pPr>
            <w:r>
              <w:rPr>
                <w:color w:val="000000"/>
                <w:sz w:val="22"/>
                <w:szCs w:val="22"/>
              </w:rPr>
              <w:t>M-</w:t>
            </w:r>
            <w:r w:rsidR="00E8152E">
              <w:rPr>
                <w:color w:val="000000"/>
                <w:sz w:val="22"/>
                <w:szCs w:val="22"/>
              </w:rPr>
              <w:t>CNT: CNC</w:t>
            </w:r>
            <w:r>
              <w:rPr>
                <w:color w:val="000000"/>
                <w:sz w:val="22"/>
                <w:szCs w:val="22"/>
              </w:rPr>
              <w:t xml:space="preserve"> (1:2)</w:t>
            </w:r>
          </w:p>
        </w:tc>
        <w:tc>
          <w:tcPr>
            <w:tcW w:w="2070" w:type="dxa"/>
            <w:tcBorders>
              <w:bottom w:val="single" w:sz="8" w:space="0" w:color="000000"/>
            </w:tcBorders>
            <w:vAlign w:val="center"/>
          </w:tcPr>
          <w:p w:rsidR="005A4789" w:rsidRDefault="002533C1">
            <w:pPr>
              <w:pBdr>
                <w:top w:val="nil"/>
                <w:left w:val="nil"/>
                <w:bottom w:val="nil"/>
                <w:right w:val="nil"/>
                <w:between w:val="nil"/>
              </w:pBdr>
              <w:ind w:right="107"/>
              <w:jc w:val="center"/>
              <w:rPr>
                <w:color w:val="000000"/>
                <w:sz w:val="22"/>
                <w:szCs w:val="22"/>
              </w:rPr>
            </w:pPr>
            <w:r>
              <w:rPr>
                <w:color w:val="000000"/>
                <w:sz w:val="22"/>
                <w:szCs w:val="22"/>
              </w:rPr>
              <w:t>-55.05 ± 0.5</w:t>
            </w:r>
          </w:p>
        </w:tc>
        <w:tc>
          <w:tcPr>
            <w:tcW w:w="236" w:type="dxa"/>
            <w:tcBorders>
              <w:bottom w:val="single" w:sz="8" w:space="0" w:color="000000"/>
            </w:tcBorders>
          </w:tcPr>
          <w:p w:rsidR="005A4789" w:rsidRDefault="005A4789">
            <w:pPr>
              <w:pBdr>
                <w:top w:val="nil"/>
                <w:left w:val="nil"/>
                <w:bottom w:val="nil"/>
                <w:right w:val="nil"/>
                <w:between w:val="nil"/>
              </w:pBdr>
              <w:ind w:right="107"/>
              <w:jc w:val="center"/>
              <w:rPr>
                <w:color w:val="000000"/>
                <w:sz w:val="22"/>
                <w:szCs w:val="22"/>
              </w:rPr>
            </w:pPr>
          </w:p>
        </w:tc>
      </w:tr>
    </w:tbl>
    <w:p w:rsidR="005A4789" w:rsidRDefault="005A4789"/>
    <w:p w:rsidR="005A4789" w:rsidRDefault="005A4789"/>
    <w:p w:rsidR="005A4789" w:rsidRDefault="00454EDC">
      <w:pPr>
        <w:spacing w:line="360" w:lineRule="auto"/>
        <w:rPr>
          <w:sz w:val="22"/>
          <w:szCs w:val="22"/>
        </w:rPr>
      </w:pPr>
      <w:r>
        <w:rPr>
          <w:noProof/>
        </w:rPr>
        <mc:AlternateContent>
          <mc:Choice Requires="wps">
            <w:drawing>
              <wp:anchor distT="45720" distB="45720" distL="114300" distR="114300" simplePos="0" relativeHeight="251668480" behindDoc="0" locked="0" layoutInCell="1" hidden="0" allowOverlap="1" wp14:anchorId="79A603AB" wp14:editId="70E7A7BC">
                <wp:simplePos x="0" y="0"/>
                <wp:positionH relativeFrom="margin">
                  <wp:posOffset>2324100</wp:posOffset>
                </wp:positionH>
                <wp:positionV relativeFrom="paragraph">
                  <wp:posOffset>138430</wp:posOffset>
                </wp:positionV>
                <wp:extent cx="619125" cy="278765"/>
                <wp:effectExtent l="0" t="0" r="0" b="0"/>
                <wp:wrapNone/>
                <wp:docPr id="15" name="Rectangle 15"/>
                <wp:cNvGraphicFramePr/>
                <a:graphic xmlns:a="http://schemas.openxmlformats.org/drawingml/2006/main">
                  <a:graphicData uri="http://schemas.microsoft.com/office/word/2010/wordprocessingShape">
                    <wps:wsp>
                      <wps:cNvSpPr/>
                      <wps:spPr>
                        <a:xfrm>
                          <a:off x="0" y="0"/>
                          <a:ext cx="619125" cy="278765"/>
                        </a:xfrm>
                        <a:prstGeom prst="rect">
                          <a:avLst/>
                        </a:prstGeom>
                        <a:noFill/>
                        <a:ln>
                          <a:noFill/>
                        </a:ln>
                      </wps:spPr>
                      <wps:txbx>
                        <w:txbxContent>
                          <w:p w:rsidR="00454EDC" w:rsidRDefault="00454EDC" w:rsidP="00454EDC">
                            <w:pPr>
                              <w:ind w:firstLine="90"/>
                              <w:textDirection w:val="btLr"/>
                            </w:pPr>
                            <w:r>
                              <w:rPr>
                                <w:rFonts w:ascii="Arial" w:eastAsia="Arial" w:hAnsi="Arial" w:cs="Arial"/>
                                <w:b/>
                                <w:color w:val="000000"/>
                                <w:sz w:val="20"/>
                              </w:rPr>
                              <w:t>(</w:t>
                            </w:r>
                            <w:r>
                              <w:rPr>
                                <w:rFonts w:ascii="Arial" w:eastAsia="Arial" w:hAnsi="Arial" w:cs="Arial"/>
                                <w:b/>
                                <w:color w:val="000000"/>
                                <w:sz w:val="20"/>
                              </w:rPr>
                              <w:t>b</w:t>
                            </w:r>
                            <w:r>
                              <w:rPr>
                                <w:rFonts w:ascii="Arial" w:eastAsia="Arial" w:hAnsi="Arial" w:cs="Arial"/>
                                <w:b/>
                                <w:color w:val="000000"/>
                                <w:sz w:val="20"/>
                              </w:rPr>
                              <w:t>)</w:t>
                            </w:r>
                          </w:p>
                        </w:txbxContent>
                      </wps:txbx>
                      <wps:bodyPr spcFirstLastPara="1" wrap="square" lIns="91425" tIns="45700" rIns="91425" bIns="45700" anchor="t" anchorCtr="0"/>
                    </wps:wsp>
                  </a:graphicData>
                </a:graphic>
              </wp:anchor>
            </w:drawing>
          </mc:Choice>
          <mc:Fallback>
            <w:pict>
              <v:rect w14:anchorId="79A603AB" id="Rectangle 15" o:spid="_x0000_s1033" style="position:absolute;margin-left:183pt;margin-top:10.9pt;width:48.75pt;height:21.9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" filled="f" stroked="f">
                <v:textbox inset="2.53958mm,1.2694mm,2.53958mm,1.2694mm">
                  <w:txbxContent>
                    <w:p w:rsidR="00454EDC" w:rsidRDefault="00454EDC" w:rsidP="00454EDC">
                      <w:pPr>
                        <w:ind w:firstLine="90"/>
                        <w:textDirection w:val="btLr"/>
                      </w:pPr>
                      <w:r>
                        <w:rPr>
                          <w:rFonts w:ascii="Arial" w:eastAsia="Arial" w:hAnsi="Arial" w:cs="Arial"/>
                          <w:b/>
                          <w:color w:val="000000"/>
                          <w:sz w:val="20"/>
                        </w:rPr>
                        <w:t>(</w:t>
                      </w:r>
                      <w:r>
                        <w:rPr>
                          <w:rFonts w:ascii="Arial" w:eastAsia="Arial" w:hAnsi="Arial" w:cs="Arial"/>
                          <w:b/>
                          <w:color w:val="000000"/>
                          <w:sz w:val="20"/>
                        </w:rPr>
                        <w:t>b</w:t>
                      </w:r>
                      <w:r>
                        <w:rPr>
                          <w:rFonts w:ascii="Arial" w:eastAsia="Arial" w:hAnsi="Arial" w:cs="Arial"/>
                          <w:b/>
                          <w:color w:val="000000"/>
                          <w:sz w:val="20"/>
                        </w:rPr>
                        <w:t>)</w:t>
                      </w:r>
                    </w:p>
                  </w:txbxContent>
                </v:textbox>
                <w10:wrap anchorx="margin"/>
              </v:rect>
            </w:pict>
          </mc:Fallback>
        </mc:AlternateContent>
      </w:r>
      <w:r>
        <w:rPr>
          <w:noProof/>
        </w:rPr>
        <mc:AlternateContent>
          <mc:Choice Requires="wps">
            <w:drawing>
              <wp:anchor distT="45720" distB="45720" distL="114300" distR="114300" simplePos="0" relativeHeight="251666432" behindDoc="0" locked="0" layoutInCell="1" hidden="0" allowOverlap="1" wp14:anchorId="79A603AB" wp14:editId="70E7A7BC">
                <wp:simplePos x="0" y="0"/>
                <wp:positionH relativeFrom="margin">
                  <wp:posOffset>111760</wp:posOffset>
                </wp:positionH>
                <wp:positionV relativeFrom="paragraph">
                  <wp:posOffset>115570</wp:posOffset>
                </wp:positionV>
                <wp:extent cx="619125" cy="278765"/>
                <wp:effectExtent l="0" t="0" r="0" b="0"/>
                <wp:wrapNone/>
                <wp:docPr id="14" name="Rectangle 14"/>
                <wp:cNvGraphicFramePr/>
                <a:graphic xmlns:a="http://schemas.openxmlformats.org/drawingml/2006/main">
                  <a:graphicData uri="http://schemas.microsoft.com/office/word/2010/wordprocessingShape">
                    <wps:wsp>
                      <wps:cNvSpPr/>
                      <wps:spPr>
                        <a:xfrm>
                          <a:off x="0" y="0"/>
                          <a:ext cx="619125" cy="278765"/>
                        </a:xfrm>
                        <a:prstGeom prst="rect">
                          <a:avLst/>
                        </a:prstGeom>
                        <a:noFill/>
                        <a:ln>
                          <a:noFill/>
                        </a:ln>
                      </wps:spPr>
                      <wps:txbx>
                        <w:txbxContent>
                          <w:p w:rsidR="00454EDC" w:rsidRDefault="00454EDC" w:rsidP="00454EDC">
                            <w:pPr>
                              <w:ind w:firstLine="90"/>
                              <w:textDirection w:val="btLr"/>
                            </w:pPr>
                            <w:r>
                              <w:rPr>
                                <w:rFonts w:ascii="Arial" w:eastAsia="Arial" w:hAnsi="Arial" w:cs="Arial"/>
                                <w:b/>
                                <w:color w:val="000000"/>
                                <w:sz w:val="20"/>
                              </w:rPr>
                              <w:t>(a</w:t>
                            </w:r>
                            <w:bookmarkStart w:id="1" w:name="_GoBack"/>
                            <w:bookmarkEnd w:id="1"/>
                            <w:r>
                              <w:rPr>
                                <w:rFonts w:ascii="Arial" w:eastAsia="Arial" w:hAnsi="Arial" w:cs="Arial"/>
                                <w:b/>
                                <w:color w:val="000000"/>
                                <w:sz w:val="20"/>
                              </w:rPr>
                              <w:t>)</w:t>
                            </w:r>
                          </w:p>
                        </w:txbxContent>
                      </wps:txbx>
                      <wps:bodyPr spcFirstLastPara="1" wrap="square" lIns="91425" tIns="45700" rIns="91425" bIns="45700" anchor="t" anchorCtr="0"/>
                    </wps:wsp>
                  </a:graphicData>
                </a:graphic>
              </wp:anchor>
            </w:drawing>
          </mc:Choice>
          <mc:Fallback>
            <w:pict>
              <v:rect w14:anchorId="79A603AB" id="Rectangle 14" o:spid="_x0000_s1034" style="position:absolute;margin-left:8.8pt;margin-top:9.1pt;width:48.75pt;height:21.9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" filled="f" stroked="f">
                <v:textbox inset="2.53958mm,1.2694mm,2.53958mm,1.2694mm">
                  <w:txbxContent>
                    <w:p w:rsidR="00454EDC" w:rsidRDefault="00454EDC" w:rsidP="00454EDC">
                      <w:pPr>
                        <w:ind w:firstLine="90"/>
                        <w:textDirection w:val="btLr"/>
                      </w:pPr>
                      <w:r>
                        <w:rPr>
                          <w:rFonts w:ascii="Arial" w:eastAsia="Arial" w:hAnsi="Arial" w:cs="Arial"/>
                          <w:b/>
                          <w:color w:val="000000"/>
                          <w:sz w:val="20"/>
                        </w:rPr>
                        <w:t>(a</w:t>
                      </w:r>
                      <w:bookmarkStart w:id="2" w:name="_GoBack"/>
                      <w:bookmarkEnd w:id="2"/>
                      <w:r>
                        <w:rPr>
                          <w:rFonts w:ascii="Arial" w:eastAsia="Arial" w:hAnsi="Arial" w:cs="Arial"/>
                          <w:b/>
                          <w:color w:val="000000"/>
                          <w:sz w:val="20"/>
                        </w:rPr>
                        <w:t>)</w:t>
                      </w:r>
                    </w:p>
                  </w:txbxContent>
                </v:textbox>
                <w10:wrap anchorx="margin"/>
              </v:rect>
            </w:pict>
          </mc:Fallback>
        </mc:AlternateContent>
      </w:r>
      <w:r w:rsidR="002533C1">
        <w:rPr>
          <w:sz w:val="22"/>
          <w:szCs w:val="22"/>
        </w:rPr>
        <w:t xml:space="preserve">  </w:t>
      </w:r>
      <w:r w:rsidR="002533C1">
        <w:rPr>
          <w:noProof/>
          <w:sz w:val="22"/>
          <w:szCs w:val="22"/>
        </w:rPr>
        <w:drawing>
          <wp:inline distT="0" distB="0" distL="0" distR="0">
            <wp:extent cx="2207419" cy="2186085"/>
            <wp:effectExtent l="0" t="0" r="2540" b="5080"/>
            <wp:docPr id="11" name="image24.png" descr="C:\Users\Amir\Desktop\Graph1.tif"/>
            <wp:cNvGraphicFramePr/>
            <a:graphic xmlns:a="http://schemas.openxmlformats.org/drawingml/2006/main">
              <a:graphicData uri="http://schemas.openxmlformats.org/drawingml/2006/picture">
                <pic:pic xmlns:pic="http://schemas.openxmlformats.org/drawingml/2006/picture">
                  <pic:nvPicPr>
                    <pic:cNvPr id="0" name="image24.png" descr="C:\Users\Amir\Desktop\Graph1.tif"/>
                    <pic:cNvPicPr preferRelativeResize="0"/>
                  </pic:nvPicPr>
                  <pic:blipFill>
                    <a:blip r:embed="rId10"/>
                    <a:srcRect l="13832" t="6836" r="12445" b="5889"/>
                    <a:stretch>
                      <a:fillRect/>
                    </a:stretch>
                  </pic:blipFill>
                  <pic:spPr>
                    <a:xfrm>
                      <a:off x="0" y="0"/>
                      <a:ext cx="2209288" cy="2187936"/>
                    </a:xfrm>
                    <a:prstGeom prst="rect">
                      <a:avLst/>
                    </a:prstGeom>
                    <a:ln/>
                  </pic:spPr>
                </pic:pic>
              </a:graphicData>
            </a:graphic>
          </wp:inline>
        </w:drawing>
      </w:r>
      <w:r w:rsidR="000D4AC5">
        <w:rPr>
          <w:noProof/>
        </w:rPr>
        <w:drawing>
          <wp:inline distT="0" distB="0" distL="0" distR="0">
            <wp:extent cx="2545557" cy="2172018"/>
            <wp:effectExtent l="0" t="0" r="7620" b="0"/>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1" cstate="print">
                      <a:extLst>
                        <a:ext uri="{28A0092B-C50C-407E-A947-70E740481C1C}">
                          <a14:useLocalDpi xmlns:a14="http://schemas.microsoft.com/office/drawing/2010/main" val="0"/>
                        </a:ext>
                      </a:extLst>
                    </a:blip>
                    <a:srcRect l="1346" r="765"/>
                    <a:stretch>
                      <a:fillRect/>
                    </a:stretch>
                  </pic:blipFill>
                  <pic:spPr>
                    <a:xfrm>
                      <a:off x="0" y="0"/>
                      <a:ext cx="2551139" cy="2176781"/>
                    </a:xfrm>
                    <a:prstGeom prst="rect">
                      <a:avLst/>
                    </a:prstGeom>
                    <a:ln/>
                  </pic:spPr>
                </pic:pic>
              </a:graphicData>
            </a:graphic>
          </wp:inline>
        </w:drawing>
      </w:r>
    </w:p>
    <w:p w:rsidR="005A4789" w:rsidRDefault="002533C1">
      <w:pPr>
        <w:jc w:val="center"/>
        <w:rPr>
          <w:sz w:val="22"/>
          <w:szCs w:val="22"/>
        </w:rPr>
      </w:pPr>
      <w:r>
        <w:rPr>
          <w:b/>
          <w:sz w:val="22"/>
          <w:szCs w:val="22"/>
        </w:rPr>
        <w:t>Figure 3.</w:t>
      </w:r>
      <w:r>
        <w:rPr>
          <w:sz w:val="22"/>
          <w:szCs w:val="22"/>
        </w:rPr>
        <w:t xml:space="preserve"> (a) FTIR spectra of M-CNT and M-CNT: CNC (1:1)</w:t>
      </w:r>
    </w:p>
    <w:p w:rsidR="005A4789" w:rsidRDefault="005A4789"/>
    <w:p w:rsidR="005A4789" w:rsidRDefault="005A4789"/>
    <w:p w:rsidR="005A4789" w:rsidRDefault="002533C1">
      <w:pPr>
        <w:jc w:val="both"/>
        <w:rPr>
          <w:sz w:val="22"/>
          <w:szCs w:val="22"/>
        </w:rPr>
      </w:pPr>
      <w:r>
        <w:rPr>
          <w:sz w:val="22"/>
          <w:szCs w:val="22"/>
        </w:rPr>
        <w:t xml:space="preserve">The ILSS values for different composites are presented in Fig. 4. The composites coated with 0.2 </w:t>
      </w:r>
      <w:r w:rsidR="00E8152E">
        <w:rPr>
          <w:sz w:val="22"/>
          <w:szCs w:val="22"/>
        </w:rPr>
        <w:t>wt.</w:t>
      </w:r>
      <w:r>
        <w:rPr>
          <w:sz w:val="22"/>
          <w:szCs w:val="22"/>
        </w:rPr>
        <w:t xml:space="preserve">% CNC shows ~14% higher ILSS compared to that of neat composites indicating the effectiveness of CNC in creating nanostitches. The ILSS for composites coated with 0.2 </w:t>
      </w:r>
      <w:r w:rsidR="00E8152E">
        <w:rPr>
          <w:sz w:val="22"/>
          <w:szCs w:val="22"/>
        </w:rPr>
        <w:t>wt.</w:t>
      </w:r>
      <w:r>
        <w:rPr>
          <w:sz w:val="22"/>
          <w:szCs w:val="22"/>
        </w:rPr>
        <w:t xml:space="preserve">% CNT and 0.2 </w:t>
      </w:r>
      <w:r w:rsidR="00E8152E">
        <w:rPr>
          <w:sz w:val="22"/>
          <w:szCs w:val="22"/>
        </w:rPr>
        <w:t>wt.</w:t>
      </w:r>
      <w:r>
        <w:rPr>
          <w:sz w:val="22"/>
          <w:szCs w:val="22"/>
        </w:rPr>
        <w:t xml:space="preserve">% CNC-CNT do not show any improvement considering the statistical variations. As we have only tested one concentration, i.e. 0.2 </w:t>
      </w:r>
      <w:r w:rsidR="00E8152E">
        <w:rPr>
          <w:sz w:val="22"/>
          <w:szCs w:val="22"/>
        </w:rPr>
        <w:t>wt.</w:t>
      </w:r>
      <w:r>
        <w:rPr>
          <w:sz w:val="22"/>
          <w:szCs w:val="22"/>
        </w:rPr>
        <w:t xml:space="preserve">%, it is plausible that a lower concentration is an optimum value for CNT and combination of CNC-CNT. We are currently characterizing the composites with various CNC and CNT concentrations. It is noted that the reported concentrations for CNC and CNT are the weight fraction in water that used in the immersion and coating process. </w:t>
      </w:r>
    </w:p>
    <w:p w:rsidR="005A4789" w:rsidRDefault="005A4789">
      <w:pPr>
        <w:jc w:val="both"/>
        <w:rPr>
          <w:sz w:val="22"/>
          <w:szCs w:val="22"/>
        </w:rPr>
      </w:pPr>
    </w:p>
    <w:p w:rsidR="005A4789" w:rsidRDefault="002533C1">
      <w:pPr>
        <w:keepNext/>
        <w:keepLines/>
        <w:widowControl w:val="0"/>
        <w:pBdr>
          <w:top w:val="nil"/>
          <w:left w:val="nil"/>
          <w:bottom w:val="nil"/>
          <w:right w:val="nil"/>
          <w:between w:val="nil"/>
        </w:pBdr>
        <w:tabs>
          <w:tab w:val="left" w:pos="284"/>
        </w:tabs>
        <w:rPr>
          <w:b/>
          <w:color w:val="000000"/>
          <w:sz w:val="22"/>
          <w:szCs w:val="22"/>
        </w:rPr>
      </w:pPr>
      <w:r>
        <w:rPr>
          <w:b/>
          <w:color w:val="000000"/>
          <w:sz w:val="22"/>
          <w:szCs w:val="22"/>
        </w:rPr>
        <w:t>4. Conclusions</w:t>
      </w:r>
    </w:p>
    <w:p w:rsidR="005A4789" w:rsidRDefault="005A4789">
      <w:pPr>
        <w:jc w:val="both"/>
        <w:rPr>
          <w:smallCaps/>
          <w:sz w:val="22"/>
          <w:szCs w:val="22"/>
        </w:rPr>
      </w:pPr>
    </w:p>
    <w:p w:rsidR="005A4789" w:rsidRDefault="002533C1">
      <w:pPr>
        <w:widowControl w:val="0"/>
        <w:pBdr>
          <w:top w:val="nil"/>
          <w:left w:val="nil"/>
          <w:bottom w:val="nil"/>
          <w:right w:val="nil"/>
          <w:between w:val="nil"/>
        </w:pBdr>
        <w:jc w:val="both"/>
        <w:rPr>
          <w:color w:val="000000"/>
          <w:sz w:val="22"/>
          <w:szCs w:val="22"/>
        </w:rPr>
      </w:pPr>
      <w:r>
        <w:rPr>
          <w:color w:val="000000"/>
          <w:sz w:val="22"/>
          <w:szCs w:val="22"/>
        </w:rPr>
        <w:t xml:space="preserve">The results show that CNC can stabilize the dispersion of CNT in water. The suggested technique can be used as a scaling up solution for integrating CNT in composites. We showed that hybrid composites containing carbon fibers coated with CNC and CNT have higher ILSS compared to the neat composites. In addition, hybrid composites containing only CNC show better ILSS improvement. More tests at different concentrations are required to determine the optimum CNC-CNT concentration. </w:t>
      </w:r>
    </w:p>
    <w:p w:rsidR="005A4789" w:rsidRDefault="005A4789">
      <w:pPr>
        <w:rPr>
          <w:sz w:val="22"/>
          <w:szCs w:val="22"/>
        </w:rPr>
      </w:pPr>
    </w:p>
    <w:p w:rsidR="005A4789" w:rsidRDefault="002533C1">
      <w:pPr>
        <w:jc w:val="center"/>
        <w:rPr>
          <w:sz w:val="22"/>
          <w:szCs w:val="22"/>
        </w:rPr>
      </w:pPr>
      <w:r>
        <w:rPr>
          <w:noProof/>
          <w:sz w:val="22"/>
          <w:szCs w:val="22"/>
        </w:rPr>
        <w:lastRenderedPageBreak/>
        <w:drawing>
          <wp:inline distT="0" distB="0" distL="0" distR="0">
            <wp:extent cx="2788892" cy="2282667"/>
            <wp:effectExtent l="0" t="0" r="0" b="0"/>
            <wp:docPr id="12" name="image25.png" descr="C:\Users\Amir\Desktop\impact.tif"/>
            <wp:cNvGraphicFramePr/>
            <a:graphic xmlns:a="http://schemas.openxmlformats.org/drawingml/2006/main">
              <a:graphicData uri="http://schemas.openxmlformats.org/drawingml/2006/picture">
                <pic:pic xmlns:pic="http://schemas.openxmlformats.org/drawingml/2006/picture">
                  <pic:nvPicPr>
                    <pic:cNvPr id="0" name="image25.png" descr="C:\Users\Amir\Desktop\impact.tif"/>
                    <pic:cNvPicPr preferRelativeResize="0"/>
                  </pic:nvPicPr>
                  <pic:blipFill>
                    <a:blip r:embed="rId12"/>
                    <a:srcRect l="7591" t="8264" r="8858" b="2963"/>
                    <a:stretch>
                      <a:fillRect/>
                    </a:stretch>
                  </pic:blipFill>
                  <pic:spPr>
                    <a:xfrm>
                      <a:off x="0" y="0"/>
                      <a:ext cx="2788892" cy="2282667"/>
                    </a:xfrm>
                    <a:prstGeom prst="rect">
                      <a:avLst/>
                    </a:prstGeom>
                    <a:ln/>
                  </pic:spPr>
                </pic:pic>
              </a:graphicData>
            </a:graphic>
          </wp:inline>
        </w:drawing>
      </w:r>
    </w:p>
    <w:p w:rsidR="005A4789" w:rsidRDefault="005A4789">
      <w:pPr>
        <w:jc w:val="center"/>
        <w:rPr>
          <w:sz w:val="22"/>
          <w:szCs w:val="22"/>
        </w:rPr>
      </w:pPr>
    </w:p>
    <w:p w:rsidR="005A4789" w:rsidRDefault="002533C1">
      <w:pPr>
        <w:jc w:val="center"/>
        <w:rPr>
          <w:sz w:val="22"/>
          <w:szCs w:val="22"/>
        </w:rPr>
      </w:pPr>
      <w:r>
        <w:rPr>
          <w:b/>
          <w:sz w:val="22"/>
          <w:szCs w:val="22"/>
        </w:rPr>
        <w:t>Figure 4.</w:t>
      </w:r>
      <w:r>
        <w:rPr>
          <w:sz w:val="22"/>
          <w:szCs w:val="22"/>
        </w:rPr>
        <w:t xml:space="preserve"> ILSS values for different hybrid composites</w:t>
      </w:r>
    </w:p>
    <w:p w:rsidR="005A4789" w:rsidRDefault="005A4789">
      <w:pPr>
        <w:jc w:val="center"/>
        <w:rPr>
          <w:sz w:val="22"/>
          <w:szCs w:val="22"/>
        </w:rPr>
      </w:pPr>
    </w:p>
    <w:p w:rsidR="005A4789" w:rsidRDefault="005A4789">
      <w:pPr>
        <w:keepNext/>
        <w:keepLines/>
        <w:widowControl w:val="0"/>
        <w:pBdr>
          <w:top w:val="nil"/>
          <w:left w:val="nil"/>
          <w:bottom w:val="nil"/>
          <w:right w:val="nil"/>
          <w:between w:val="nil"/>
        </w:pBdr>
        <w:tabs>
          <w:tab w:val="left" w:pos="284"/>
        </w:tabs>
        <w:rPr>
          <w:b/>
          <w:color w:val="000000"/>
          <w:sz w:val="22"/>
          <w:szCs w:val="22"/>
        </w:rPr>
      </w:pPr>
    </w:p>
    <w:p w:rsidR="005A4789" w:rsidRDefault="005A4789">
      <w:pPr>
        <w:widowControl w:val="0"/>
        <w:pBdr>
          <w:top w:val="nil"/>
          <w:left w:val="nil"/>
          <w:bottom w:val="nil"/>
          <w:right w:val="nil"/>
          <w:between w:val="nil"/>
        </w:pBdr>
        <w:jc w:val="both"/>
        <w:rPr>
          <w:color w:val="000000"/>
          <w:sz w:val="22"/>
          <w:szCs w:val="22"/>
        </w:rPr>
      </w:pPr>
    </w:p>
    <w:p w:rsidR="005A4789" w:rsidRDefault="002533C1">
      <w:pPr>
        <w:keepNext/>
        <w:keepLines/>
        <w:widowControl w:val="0"/>
        <w:pBdr>
          <w:top w:val="nil"/>
          <w:left w:val="nil"/>
          <w:bottom w:val="nil"/>
          <w:right w:val="nil"/>
          <w:between w:val="nil"/>
        </w:pBdr>
        <w:tabs>
          <w:tab w:val="left" w:pos="360"/>
        </w:tabs>
        <w:rPr>
          <w:b/>
          <w:sz w:val="22"/>
          <w:szCs w:val="22"/>
        </w:rPr>
      </w:pPr>
      <w:r>
        <w:rPr>
          <w:b/>
          <w:color w:val="000000"/>
          <w:sz w:val="22"/>
          <w:szCs w:val="22"/>
        </w:rPr>
        <w:t>References</w:t>
      </w:r>
    </w:p>
    <w:p w:rsidR="005A4789" w:rsidRDefault="00906C9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  </w:t>
      </w:r>
      <w:r w:rsidR="002533C1">
        <w:rPr>
          <w:sz w:val="22"/>
          <w:szCs w:val="22"/>
        </w:rPr>
        <w:t>Bakis, C.E., et al., Fiber-Reinforced Polymer Composites for</w:t>
      </w:r>
      <w:r>
        <w:rPr>
          <w:sz w:val="22"/>
          <w:szCs w:val="22"/>
        </w:rPr>
        <w:t xml:space="preserve"> Construction—State-of-the-Art </w:t>
      </w:r>
      <w:r w:rsidR="002533C1">
        <w:rPr>
          <w:sz w:val="22"/>
          <w:szCs w:val="22"/>
        </w:rPr>
        <w:t>Review</w:t>
      </w:r>
      <w:r w:rsidR="002533C1">
        <w:rPr>
          <w:i/>
          <w:sz w:val="22"/>
          <w:szCs w:val="22"/>
        </w:rPr>
        <w:t>. Journal of Composites for Construction</w:t>
      </w:r>
      <w:r w:rsidR="002533C1">
        <w:rPr>
          <w:sz w:val="22"/>
          <w:szCs w:val="22"/>
        </w:rPr>
        <w:t xml:space="preserve">, 2002. </w:t>
      </w:r>
      <w:r w:rsidR="002533C1">
        <w:rPr>
          <w:b/>
          <w:sz w:val="22"/>
          <w:szCs w:val="22"/>
        </w:rPr>
        <w:t>6</w:t>
      </w:r>
      <w:r w:rsidR="002533C1">
        <w:rPr>
          <w:sz w:val="22"/>
          <w:szCs w:val="22"/>
        </w:rPr>
        <w:t>(2): p. 73-87.</w:t>
      </w:r>
    </w:p>
    <w:p w:rsidR="005A4789" w:rsidRDefault="002533C1"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[2] </w:t>
      </w:r>
      <w:r w:rsidR="00B472CA">
        <w:rPr>
          <w:sz w:val="22"/>
          <w:szCs w:val="22"/>
        </w:rPr>
        <w:t xml:space="preserve">  </w:t>
      </w:r>
      <w:r>
        <w:rPr>
          <w:sz w:val="22"/>
          <w:szCs w:val="22"/>
        </w:rPr>
        <w:t xml:space="preserve">Pendhari, S.S., T. Kant, and Y.M. Desai, Application of polymer composites in civil construction: </w:t>
      </w:r>
      <w:r w:rsidR="00A9230C">
        <w:rPr>
          <w:sz w:val="22"/>
          <w:szCs w:val="22"/>
        </w:rPr>
        <w:t xml:space="preserve"> </w:t>
      </w:r>
      <w:r>
        <w:rPr>
          <w:sz w:val="22"/>
          <w:szCs w:val="22"/>
        </w:rPr>
        <w:t>A general review</w:t>
      </w:r>
      <w:r>
        <w:rPr>
          <w:i/>
          <w:sz w:val="22"/>
          <w:szCs w:val="22"/>
        </w:rPr>
        <w:t>.</w:t>
      </w:r>
      <w:r>
        <w:rPr>
          <w:sz w:val="22"/>
          <w:szCs w:val="22"/>
        </w:rPr>
        <w:t xml:space="preserve"> </w:t>
      </w:r>
      <w:r>
        <w:rPr>
          <w:i/>
          <w:sz w:val="22"/>
          <w:szCs w:val="22"/>
        </w:rPr>
        <w:t>Composite Structures</w:t>
      </w:r>
      <w:r>
        <w:rPr>
          <w:sz w:val="22"/>
          <w:szCs w:val="22"/>
        </w:rPr>
        <w:t xml:space="preserve">, 2008. </w:t>
      </w:r>
      <w:r>
        <w:rPr>
          <w:b/>
          <w:sz w:val="22"/>
          <w:szCs w:val="22"/>
        </w:rPr>
        <w:t>84</w:t>
      </w:r>
      <w:r>
        <w:rPr>
          <w:sz w:val="22"/>
          <w:szCs w:val="22"/>
        </w:rPr>
        <w:t>(2): p. 114-124.</w:t>
      </w:r>
    </w:p>
    <w:p w:rsidR="005A4789" w:rsidRDefault="002533C1"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[3]</w:t>
      </w:r>
      <w:r w:rsidR="00B472CA">
        <w:rPr>
          <w:sz w:val="22"/>
          <w:szCs w:val="22"/>
        </w:rPr>
        <w:t xml:space="preserve">  </w:t>
      </w:r>
      <w:r>
        <w:rPr>
          <w:sz w:val="22"/>
          <w:szCs w:val="22"/>
        </w:rPr>
        <w:t xml:space="preserve"> Mouritz, A.P., et al., Review of Advanced Composite Structures for Naval Ships and Submarines. Vol. 53. 2001. 21-42.</w:t>
      </w:r>
    </w:p>
    <w:p w:rsidR="00A9230C" w:rsidRDefault="002533C1"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[4] </w:t>
      </w:r>
      <w:r w:rsidR="00B472CA">
        <w:rPr>
          <w:sz w:val="22"/>
          <w:szCs w:val="22"/>
        </w:rPr>
        <w:t xml:space="preserve">  </w:t>
      </w:r>
      <w:r w:rsidRPr="00906C9E">
        <w:rPr>
          <w:sz w:val="22"/>
          <w:szCs w:val="22"/>
        </w:rPr>
        <w:t>Phil, E., and Costas Soutis, eds. Polymer composites in the aerospace industry. No. 50. Elsevier, 2014.</w:t>
      </w:r>
      <w:r>
        <w:rPr>
          <w:sz w:val="22"/>
          <w:szCs w:val="22"/>
        </w:rPr>
        <w:t>.</w:t>
      </w:r>
    </w:p>
    <w:p w:rsidR="00A9230C" w:rsidRDefault="00A9230C"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[5]</w:t>
      </w:r>
      <w:r w:rsidR="002533C1">
        <w:rPr>
          <w:sz w:val="22"/>
          <w:szCs w:val="22"/>
        </w:rPr>
        <w:t xml:space="preserve"> </w:t>
      </w:r>
      <w:r w:rsidR="00906C9E">
        <w:rPr>
          <w:sz w:val="22"/>
          <w:szCs w:val="22"/>
        </w:rPr>
        <w:t xml:space="preserve"> </w:t>
      </w:r>
      <w:r w:rsidR="002533C1">
        <w:rPr>
          <w:sz w:val="22"/>
          <w:szCs w:val="22"/>
        </w:rPr>
        <w:t>Lewis, D. and B.L. Wardle,</w:t>
      </w:r>
      <w:r w:rsidR="002533C1" w:rsidRPr="00906C9E">
        <w:rPr>
          <w:sz w:val="22"/>
          <w:szCs w:val="22"/>
        </w:rPr>
        <w:t xml:space="preserve"> </w:t>
      </w:r>
      <w:r w:rsidR="002533C1">
        <w:rPr>
          <w:sz w:val="22"/>
          <w:szCs w:val="22"/>
        </w:rPr>
        <w:t xml:space="preserve">Interlaminar Shear Strength Investigation of Aligned Carbon </w:t>
      </w:r>
      <w:r>
        <w:rPr>
          <w:sz w:val="22"/>
          <w:szCs w:val="22"/>
        </w:rPr>
        <w:t xml:space="preserve"> </w:t>
      </w:r>
      <w:r w:rsidR="002533C1">
        <w:rPr>
          <w:sz w:val="22"/>
          <w:szCs w:val="22"/>
        </w:rPr>
        <w:t xml:space="preserve">Nanotube-Reinforced Prepreg Composite Interfaces, in 56th AIAA/ASCE/AHS/ASC Structures, Structural Dynamics, and Materials Conference. 2015, </w:t>
      </w:r>
      <w:r w:rsidR="002533C1">
        <w:rPr>
          <w:i/>
          <w:sz w:val="22"/>
          <w:szCs w:val="22"/>
        </w:rPr>
        <w:t>American Institute of Aeronautics and Astronautics </w:t>
      </w:r>
    </w:p>
    <w:p w:rsidR="00E8152E" w:rsidRDefault="00A9230C"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[6</w:t>
      </w:r>
      <w:r w:rsidR="00E8152E">
        <w:rPr>
          <w:sz w:val="22"/>
          <w:szCs w:val="22"/>
        </w:rPr>
        <w:t xml:space="preserve">] </w:t>
      </w:r>
      <w:r w:rsidR="00B472CA">
        <w:rPr>
          <w:sz w:val="22"/>
          <w:szCs w:val="22"/>
        </w:rPr>
        <w:t xml:space="preserve"> </w:t>
      </w:r>
      <w:r w:rsidR="00E8152E">
        <w:rPr>
          <w:sz w:val="22"/>
          <w:szCs w:val="22"/>
        </w:rPr>
        <w:t>Tong</w:t>
      </w:r>
      <w:r w:rsidR="002533C1">
        <w:rPr>
          <w:sz w:val="22"/>
          <w:szCs w:val="22"/>
        </w:rPr>
        <w:t>, L, Sun, X, Tan, P.</w:t>
      </w:r>
      <w:r w:rsidR="002533C1">
        <w:rPr>
          <w:i/>
          <w:sz w:val="22"/>
          <w:szCs w:val="22"/>
        </w:rPr>
        <w:t xml:space="preserve"> </w:t>
      </w:r>
      <w:r w:rsidR="002533C1">
        <w:rPr>
          <w:sz w:val="22"/>
          <w:szCs w:val="22"/>
        </w:rPr>
        <w:t>Effect of long multi-walled carbon nanotubes on delamination toughness of laminated composites</w:t>
      </w:r>
      <w:r w:rsidR="002533C1">
        <w:rPr>
          <w:i/>
          <w:sz w:val="22"/>
          <w:szCs w:val="22"/>
        </w:rPr>
        <w:t>. J Compos Mater</w:t>
      </w:r>
      <w:r w:rsidR="002533C1">
        <w:rPr>
          <w:sz w:val="22"/>
          <w:szCs w:val="22"/>
        </w:rPr>
        <w:t xml:space="preserve"> 2008; 42: 5–23</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[7]   </w:t>
      </w:r>
      <w:r w:rsidR="002533C1">
        <w:rPr>
          <w:sz w:val="22"/>
          <w:szCs w:val="22"/>
        </w:rPr>
        <w:t xml:space="preserve">Mouritz, A.P., </w:t>
      </w:r>
      <w:r w:rsidR="002533C1">
        <w:rPr>
          <w:i/>
          <w:sz w:val="22"/>
          <w:szCs w:val="22"/>
        </w:rPr>
        <w:t>Review of z-pinned composite laminates</w:t>
      </w:r>
      <w:r w:rsidR="002533C1">
        <w:rPr>
          <w:sz w:val="22"/>
          <w:szCs w:val="22"/>
        </w:rPr>
        <w:t xml:space="preserve">. Vol. 38. 2007. 2383-2397 </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[8] </w:t>
      </w:r>
      <w:r w:rsidR="002533C1">
        <w:rPr>
          <w:sz w:val="22"/>
          <w:szCs w:val="22"/>
        </w:rPr>
        <w:t xml:space="preserve">Mouritz, A.P., et al., Review of applications for advanced three-dimensional fibre textile composites. </w:t>
      </w:r>
      <w:r w:rsidR="002533C1">
        <w:rPr>
          <w:i/>
          <w:sz w:val="22"/>
          <w:szCs w:val="22"/>
        </w:rPr>
        <w:t>Composites Part A: Applied Science and Manufacturing,</w:t>
      </w:r>
      <w:r w:rsidR="002533C1">
        <w:rPr>
          <w:sz w:val="22"/>
          <w:szCs w:val="22"/>
        </w:rPr>
        <w:t xml:space="preserve"> 1999. </w:t>
      </w:r>
      <w:r w:rsidR="002533C1">
        <w:rPr>
          <w:b/>
          <w:sz w:val="22"/>
          <w:szCs w:val="22"/>
        </w:rPr>
        <w:t>30</w:t>
      </w:r>
      <w:r w:rsidR="002533C1">
        <w:rPr>
          <w:sz w:val="22"/>
          <w:szCs w:val="22"/>
        </w:rPr>
        <w:t>(12): p. 1445-1461.</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[9]  </w:t>
      </w:r>
      <w:r w:rsidR="002533C1">
        <w:rPr>
          <w:sz w:val="22"/>
          <w:szCs w:val="22"/>
        </w:rPr>
        <w:t>Wang, B.-C., X. Zhou, and K.-M. Ma, Fabrication and properties of CNTs/carbon fabric hybrid multiscale composites processed via resin transfer molding technique</w:t>
      </w:r>
      <w:r w:rsidR="002533C1">
        <w:rPr>
          <w:i/>
          <w:sz w:val="22"/>
          <w:szCs w:val="22"/>
        </w:rPr>
        <w:t>.</w:t>
      </w:r>
      <w:r w:rsidR="002533C1">
        <w:rPr>
          <w:sz w:val="22"/>
          <w:szCs w:val="22"/>
        </w:rPr>
        <w:t xml:space="preserve"> </w:t>
      </w:r>
      <w:r w:rsidR="002533C1">
        <w:rPr>
          <w:i/>
          <w:sz w:val="22"/>
          <w:szCs w:val="22"/>
        </w:rPr>
        <w:t>Composites Part B: Engineering,</w:t>
      </w:r>
      <w:r w:rsidR="002533C1">
        <w:rPr>
          <w:sz w:val="22"/>
          <w:szCs w:val="22"/>
        </w:rPr>
        <w:t xml:space="preserve"> 2013. </w:t>
      </w:r>
      <w:r w:rsidR="002533C1">
        <w:rPr>
          <w:b/>
          <w:sz w:val="22"/>
          <w:szCs w:val="22"/>
        </w:rPr>
        <w:t>46</w:t>
      </w:r>
      <w:r w:rsidR="002533C1">
        <w:rPr>
          <w:sz w:val="22"/>
          <w:szCs w:val="22"/>
        </w:rPr>
        <w:t>: p. 123-129</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[10] </w:t>
      </w:r>
      <w:r w:rsidR="002533C1">
        <w:rPr>
          <w:sz w:val="22"/>
          <w:szCs w:val="22"/>
        </w:rPr>
        <w:t>White, K.L. and H.-J. Sue, Delamination toughness of fiber-reinforced composites containing a carbon nanotube/polyamide-12 epoxy thin film interlayer</w:t>
      </w:r>
      <w:r w:rsidR="002533C1">
        <w:rPr>
          <w:i/>
          <w:sz w:val="22"/>
          <w:szCs w:val="22"/>
        </w:rPr>
        <w:t>. Polymer</w:t>
      </w:r>
      <w:r w:rsidR="002533C1">
        <w:rPr>
          <w:sz w:val="22"/>
          <w:szCs w:val="22"/>
        </w:rPr>
        <w:t xml:space="preserve">, 2012. </w:t>
      </w:r>
      <w:r w:rsidR="002533C1">
        <w:rPr>
          <w:b/>
          <w:sz w:val="22"/>
          <w:szCs w:val="22"/>
        </w:rPr>
        <w:t>53</w:t>
      </w:r>
      <w:r w:rsidR="002533C1">
        <w:rPr>
          <w:sz w:val="22"/>
          <w:szCs w:val="22"/>
        </w:rPr>
        <w:t>(1): p. 37-42.</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[11]  </w:t>
      </w:r>
      <w:r w:rsidR="002533C1">
        <w:rPr>
          <w:sz w:val="22"/>
          <w:szCs w:val="22"/>
        </w:rPr>
        <w:t>Zhou, H., et al., Delamination toughening of carbon fiber/epoxy laminates by hierarchical carbon nanotube-short carbon fiber interleaves</w:t>
      </w:r>
      <w:r w:rsidR="002533C1">
        <w:rPr>
          <w:i/>
          <w:sz w:val="22"/>
          <w:szCs w:val="22"/>
        </w:rPr>
        <w:t>.</w:t>
      </w:r>
      <w:r w:rsidR="002533C1">
        <w:rPr>
          <w:sz w:val="22"/>
          <w:szCs w:val="22"/>
        </w:rPr>
        <w:t xml:space="preserve"> </w:t>
      </w:r>
      <w:r w:rsidR="002533C1">
        <w:rPr>
          <w:i/>
          <w:sz w:val="22"/>
          <w:szCs w:val="22"/>
        </w:rPr>
        <w:t>Composites Science and Technology</w:t>
      </w:r>
      <w:r w:rsidR="002533C1">
        <w:rPr>
          <w:sz w:val="22"/>
          <w:szCs w:val="22"/>
        </w:rPr>
        <w:t xml:space="preserve">, 2017. </w:t>
      </w:r>
      <w:r w:rsidR="002533C1">
        <w:rPr>
          <w:b/>
          <w:sz w:val="22"/>
          <w:szCs w:val="22"/>
        </w:rPr>
        <w:t>140</w:t>
      </w:r>
      <w:r w:rsidR="002533C1">
        <w:rPr>
          <w:sz w:val="22"/>
          <w:szCs w:val="22"/>
        </w:rPr>
        <w:t>: p. 46-53.</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[12] </w:t>
      </w:r>
      <w:r w:rsidR="002533C1">
        <w:rPr>
          <w:sz w:val="22"/>
          <w:szCs w:val="22"/>
        </w:rPr>
        <w:t>Marcos,</w:t>
      </w:r>
      <w:r w:rsidR="007272DC">
        <w:rPr>
          <w:sz w:val="22"/>
          <w:szCs w:val="22"/>
        </w:rPr>
        <w:t xml:space="preserve"> F.,</w:t>
      </w:r>
      <w:r w:rsidR="002533C1">
        <w:rPr>
          <w:sz w:val="22"/>
          <w:szCs w:val="22"/>
        </w:rPr>
        <w:t xml:space="preserve"> Tzounis, </w:t>
      </w:r>
      <w:r w:rsidR="007272DC">
        <w:rPr>
          <w:sz w:val="22"/>
          <w:szCs w:val="22"/>
        </w:rPr>
        <w:t xml:space="preserve">L., </w:t>
      </w:r>
      <w:r w:rsidR="002533C1">
        <w:rPr>
          <w:sz w:val="22"/>
          <w:szCs w:val="22"/>
        </w:rPr>
        <w:t>Sacco,</w:t>
      </w:r>
      <w:r w:rsidR="007272DC">
        <w:rPr>
          <w:sz w:val="22"/>
          <w:szCs w:val="22"/>
        </w:rPr>
        <w:t xml:space="preserve"> L., </w:t>
      </w:r>
      <w:r w:rsidR="002533C1">
        <w:rPr>
          <w:sz w:val="22"/>
          <w:szCs w:val="22"/>
        </w:rPr>
        <w:t xml:space="preserve">Stamm, </w:t>
      </w:r>
      <w:r w:rsidR="007272DC">
        <w:rPr>
          <w:sz w:val="22"/>
          <w:szCs w:val="22"/>
        </w:rPr>
        <w:t xml:space="preserve">M. </w:t>
      </w:r>
      <w:r w:rsidR="002533C1">
        <w:rPr>
          <w:sz w:val="22"/>
          <w:szCs w:val="22"/>
        </w:rPr>
        <w:t>Candal,</w:t>
      </w:r>
      <w:r w:rsidR="007272DC">
        <w:rPr>
          <w:sz w:val="22"/>
          <w:szCs w:val="22"/>
        </w:rPr>
        <w:t xml:space="preserve"> R., </w:t>
      </w:r>
      <w:r w:rsidR="002533C1">
        <w:rPr>
          <w:sz w:val="22"/>
          <w:szCs w:val="22"/>
        </w:rPr>
        <w:t>Rubiolo</w:t>
      </w:r>
      <w:r w:rsidR="007272DC">
        <w:rPr>
          <w:sz w:val="22"/>
          <w:szCs w:val="22"/>
        </w:rPr>
        <w:t xml:space="preserve"> G.H., and </w:t>
      </w:r>
      <w:r w:rsidR="002533C1">
        <w:rPr>
          <w:sz w:val="22"/>
          <w:szCs w:val="22"/>
        </w:rPr>
        <w:t>Goyanes</w:t>
      </w:r>
      <w:r w:rsidR="007272DC">
        <w:rPr>
          <w:sz w:val="22"/>
          <w:szCs w:val="22"/>
        </w:rPr>
        <w:t>, S</w:t>
      </w:r>
      <w:r w:rsidR="002533C1">
        <w:rPr>
          <w:sz w:val="22"/>
          <w:szCs w:val="22"/>
        </w:rPr>
        <w:t xml:space="preserve">. "Carbon nanotubes grown on carbon fiber yarns by a low temperature CVD method: A significant enhancement of the interfacial adhesion between carbon fiber/epoxy matrix hierarchical composites." </w:t>
      </w:r>
      <w:r w:rsidR="002533C1">
        <w:rPr>
          <w:i/>
          <w:sz w:val="22"/>
          <w:szCs w:val="22"/>
        </w:rPr>
        <w:t>Composites Communications</w:t>
      </w:r>
      <w:r w:rsidR="002533C1">
        <w:rPr>
          <w:sz w:val="22"/>
          <w:szCs w:val="22"/>
        </w:rPr>
        <w:t xml:space="preserve"> 3 (2017): 33-37.</w:t>
      </w:r>
    </w:p>
    <w:p w:rsidR="00E8152E" w:rsidRDefault="007272DC"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[13] Richard, L., Lachman, N., </w:t>
      </w:r>
      <w:r w:rsidR="002533C1">
        <w:rPr>
          <w:sz w:val="22"/>
          <w:szCs w:val="22"/>
        </w:rPr>
        <w:t xml:space="preserve">Florin, </w:t>
      </w:r>
      <w:r>
        <w:rPr>
          <w:sz w:val="22"/>
          <w:szCs w:val="22"/>
        </w:rPr>
        <w:t xml:space="preserve">P., </w:t>
      </w:r>
      <w:r w:rsidR="002533C1">
        <w:rPr>
          <w:sz w:val="22"/>
          <w:szCs w:val="22"/>
        </w:rPr>
        <w:t>Wagner</w:t>
      </w:r>
      <w:r>
        <w:rPr>
          <w:sz w:val="22"/>
          <w:szCs w:val="22"/>
        </w:rPr>
        <w:t xml:space="preserve">, D., and </w:t>
      </w:r>
      <w:r w:rsidR="002533C1">
        <w:rPr>
          <w:sz w:val="22"/>
          <w:szCs w:val="22"/>
        </w:rPr>
        <w:t>Wardle</w:t>
      </w:r>
      <w:r>
        <w:rPr>
          <w:sz w:val="22"/>
          <w:szCs w:val="22"/>
        </w:rPr>
        <w:t>, B.L</w:t>
      </w:r>
      <w:r w:rsidR="002533C1">
        <w:rPr>
          <w:sz w:val="22"/>
          <w:szCs w:val="22"/>
        </w:rPr>
        <w:t xml:space="preserve">. "Hierarchical carbon nanotube carbon fiber unidirectional composites with preserved tensile and interfacial properties." </w:t>
      </w:r>
      <w:r w:rsidR="002533C1">
        <w:rPr>
          <w:i/>
          <w:sz w:val="22"/>
          <w:szCs w:val="22"/>
        </w:rPr>
        <w:t>Composites Science and Technology 117</w:t>
      </w:r>
      <w:r w:rsidR="002533C1">
        <w:rPr>
          <w:sz w:val="22"/>
          <w:szCs w:val="22"/>
        </w:rPr>
        <w:t xml:space="preserve"> (2015): 139-145.</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lastRenderedPageBreak/>
        <w:t xml:space="preserve">[14] </w:t>
      </w:r>
      <w:r w:rsidR="007272DC">
        <w:rPr>
          <w:sz w:val="22"/>
          <w:szCs w:val="22"/>
        </w:rPr>
        <w:t xml:space="preserve">Chandrasekaran, V.C.S., </w:t>
      </w:r>
      <w:r w:rsidR="002533C1">
        <w:rPr>
          <w:sz w:val="22"/>
          <w:szCs w:val="22"/>
        </w:rPr>
        <w:t>Advani</w:t>
      </w:r>
      <w:r w:rsidR="007272DC">
        <w:rPr>
          <w:sz w:val="22"/>
          <w:szCs w:val="22"/>
        </w:rPr>
        <w:t xml:space="preserve"> S.G., and </w:t>
      </w:r>
      <w:r w:rsidR="002533C1">
        <w:rPr>
          <w:sz w:val="22"/>
          <w:szCs w:val="22"/>
        </w:rPr>
        <w:t>Santare</w:t>
      </w:r>
      <w:r w:rsidR="007272DC">
        <w:rPr>
          <w:sz w:val="22"/>
          <w:szCs w:val="22"/>
        </w:rPr>
        <w:t>, M.H.</w:t>
      </w:r>
      <w:r w:rsidR="002533C1">
        <w:rPr>
          <w:sz w:val="22"/>
          <w:szCs w:val="22"/>
        </w:rPr>
        <w:t>, Role of processing on interlaminar shear strength enhancement of epoxy/glass fiber/multi-walled carbon nanotube hybrid composites</w:t>
      </w:r>
      <w:r w:rsidR="002533C1">
        <w:rPr>
          <w:i/>
          <w:sz w:val="22"/>
          <w:szCs w:val="22"/>
        </w:rPr>
        <w:t>.</w:t>
      </w:r>
      <w:r w:rsidR="002533C1">
        <w:rPr>
          <w:sz w:val="22"/>
          <w:szCs w:val="22"/>
        </w:rPr>
        <w:t xml:space="preserve"> </w:t>
      </w:r>
      <w:r w:rsidR="002533C1">
        <w:rPr>
          <w:i/>
          <w:sz w:val="22"/>
          <w:szCs w:val="22"/>
        </w:rPr>
        <w:t>Carbon</w:t>
      </w:r>
      <w:r w:rsidR="002533C1">
        <w:rPr>
          <w:sz w:val="22"/>
          <w:szCs w:val="22"/>
        </w:rPr>
        <w:t xml:space="preserve">, 2010. </w:t>
      </w:r>
      <w:r w:rsidR="002533C1">
        <w:rPr>
          <w:b/>
          <w:sz w:val="22"/>
          <w:szCs w:val="22"/>
        </w:rPr>
        <w:t>48</w:t>
      </w:r>
      <w:r w:rsidR="002533C1">
        <w:rPr>
          <w:sz w:val="22"/>
          <w:szCs w:val="22"/>
        </w:rPr>
        <w:t>(13): p. 3692-3699.</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[15] </w:t>
      </w:r>
      <w:r w:rsidR="002533C1">
        <w:rPr>
          <w:sz w:val="22"/>
          <w:szCs w:val="22"/>
        </w:rPr>
        <w:t xml:space="preserve">Jingjing, Q., </w:t>
      </w:r>
      <w:r w:rsidR="007272DC" w:rsidRPr="007272DC">
        <w:rPr>
          <w:sz w:val="22"/>
          <w:szCs w:val="22"/>
        </w:rPr>
        <w:t>Zhang</w:t>
      </w:r>
      <w:r w:rsidR="007272DC">
        <w:rPr>
          <w:sz w:val="22"/>
          <w:szCs w:val="22"/>
        </w:rPr>
        <w:t xml:space="preserve">, C., </w:t>
      </w:r>
      <w:r w:rsidR="007272DC" w:rsidRPr="007272DC">
        <w:rPr>
          <w:sz w:val="22"/>
          <w:szCs w:val="22"/>
        </w:rPr>
        <w:t>Wang</w:t>
      </w:r>
      <w:r w:rsidR="007272DC">
        <w:rPr>
          <w:sz w:val="22"/>
          <w:szCs w:val="22"/>
        </w:rPr>
        <w:t xml:space="preserve">, B. and </w:t>
      </w:r>
      <w:r w:rsidR="007272DC" w:rsidRPr="007272DC">
        <w:rPr>
          <w:sz w:val="22"/>
          <w:szCs w:val="22"/>
        </w:rPr>
        <w:t>Liang</w:t>
      </w:r>
      <w:r w:rsidR="002533C1">
        <w:rPr>
          <w:sz w:val="22"/>
          <w:szCs w:val="22"/>
        </w:rPr>
        <w:t>et</w:t>
      </w:r>
      <w:r w:rsidR="007272DC">
        <w:rPr>
          <w:sz w:val="22"/>
          <w:szCs w:val="22"/>
        </w:rPr>
        <w:t>, R.</w:t>
      </w:r>
      <w:r w:rsidR="002533C1">
        <w:rPr>
          <w:sz w:val="22"/>
          <w:szCs w:val="22"/>
        </w:rPr>
        <w:t xml:space="preserve"> Carbon nanotube integrated multifunctional multiscale composites. Nanotechnology, 2007. </w:t>
      </w:r>
      <w:r w:rsidR="002533C1">
        <w:rPr>
          <w:b/>
          <w:sz w:val="22"/>
          <w:szCs w:val="22"/>
        </w:rPr>
        <w:t>18</w:t>
      </w:r>
      <w:r w:rsidR="002533C1">
        <w:rPr>
          <w:sz w:val="22"/>
          <w:szCs w:val="22"/>
        </w:rPr>
        <w:t>(27): p. 275708.</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[16] </w:t>
      </w:r>
      <w:r w:rsidR="007272DC">
        <w:rPr>
          <w:sz w:val="22"/>
          <w:szCs w:val="22"/>
        </w:rPr>
        <w:t xml:space="preserve">Asadi, A., </w:t>
      </w:r>
      <w:r w:rsidR="002533C1">
        <w:rPr>
          <w:sz w:val="22"/>
          <w:szCs w:val="22"/>
        </w:rPr>
        <w:t>Miller</w:t>
      </w:r>
      <w:r w:rsidR="007272DC">
        <w:rPr>
          <w:sz w:val="22"/>
          <w:szCs w:val="22"/>
        </w:rPr>
        <w:t xml:space="preserve">, M., </w:t>
      </w:r>
      <w:r w:rsidR="002533C1">
        <w:rPr>
          <w:sz w:val="22"/>
          <w:szCs w:val="22"/>
        </w:rPr>
        <w:t xml:space="preserve">Moon, </w:t>
      </w:r>
      <w:r w:rsidR="007272DC">
        <w:rPr>
          <w:sz w:val="22"/>
          <w:szCs w:val="22"/>
        </w:rPr>
        <w:t xml:space="preserve">R.J. and </w:t>
      </w:r>
      <w:r w:rsidR="002533C1">
        <w:rPr>
          <w:sz w:val="22"/>
          <w:szCs w:val="22"/>
        </w:rPr>
        <w:t>Kalaitzidou</w:t>
      </w:r>
      <w:r w:rsidR="007272DC">
        <w:rPr>
          <w:sz w:val="22"/>
          <w:szCs w:val="22"/>
        </w:rPr>
        <w:t>, K</w:t>
      </w:r>
      <w:r w:rsidR="002533C1">
        <w:rPr>
          <w:sz w:val="22"/>
          <w:szCs w:val="22"/>
        </w:rPr>
        <w:t xml:space="preserve">. "Improving the interfacial and mechanical properties of short glass fiber/epoxy composites by coating the glass fibers with cellulose nanocrystals." </w:t>
      </w:r>
      <w:r w:rsidR="002533C1">
        <w:rPr>
          <w:i/>
          <w:sz w:val="22"/>
          <w:szCs w:val="22"/>
        </w:rPr>
        <w:t>Express Polymer Letters</w:t>
      </w:r>
      <w:r w:rsidR="002533C1">
        <w:rPr>
          <w:sz w:val="22"/>
          <w:szCs w:val="22"/>
        </w:rPr>
        <w:t xml:space="preserve"> 10, no. 7 (2016): 587.</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[17] </w:t>
      </w:r>
      <w:r w:rsidR="002533C1">
        <w:rPr>
          <w:sz w:val="22"/>
          <w:szCs w:val="22"/>
        </w:rPr>
        <w:t>Asadi, A</w:t>
      </w:r>
      <w:r w:rsidR="007272DC">
        <w:rPr>
          <w:sz w:val="22"/>
          <w:szCs w:val="22"/>
        </w:rPr>
        <w:t xml:space="preserve">., </w:t>
      </w:r>
      <w:r w:rsidR="002533C1">
        <w:rPr>
          <w:sz w:val="22"/>
          <w:szCs w:val="22"/>
        </w:rPr>
        <w:t>Miller,</w:t>
      </w:r>
      <w:r w:rsidR="007272DC">
        <w:rPr>
          <w:sz w:val="22"/>
          <w:szCs w:val="22"/>
        </w:rPr>
        <w:t xml:space="preserve"> M., </w:t>
      </w:r>
      <w:r w:rsidR="002533C1">
        <w:rPr>
          <w:sz w:val="22"/>
          <w:szCs w:val="22"/>
        </w:rPr>
        <w:t>Sanzida</w:t>
      </w:r>
      <w:r w:rsidR="007272DC">
        <w:rPr>
          <w:sz w:val="22"/>
          <w:szCs w:val="22"/>
        </w:rPr>
        <w:t xml:space="preserve">, S., </w:t>
      </w:r>
      <w:r w:rsidR="002533C1">
        <w:rPr>
          <w:sz w:val="22"/>
          <w:szCs w:val="22"/>
        </w:rPr>
        <w:t>Moon,</w:t>
      </w:r>
      <w:r w:rsidR="007272DC">
        <w:rPr>
          <w:sz w:val="22"/>
          <w:szCs w:val="22"/>
        </w:rPr>
        <w:t xml:space="preserve"> R.J. and </w:t>
      </w:r>
      <w:r w:rsidR="002533C1">
        <w:rPr>
          <w:sz w:val="22"/>
          <w:szCs w:val="22"/>
        </w:rPr>
        <w:t>Kalaitzidou</w:t>
      </w:r>
      <w:r w:rsidR="007272DC">
        <w:rPr>
          <w:sz w:val="22"/>
          <w:szCs w:val="22"/>
        </w:rPr>
        <w:t xml:space="preserve"> ,K.</w:t>
      </w:r>
      <w:r w:rsidR="002533C1">
        <w:rPr>
          <w:sz w:val="22"/>
          <w:szCs w:val="22"/>
        </w:rPr>
        <w:t xml:space="preserve">. "Introducing cellulose nanocrystals in sheet molding compounds (SMC)." </w:t>
      </w:r>
      <w:r w:rsidR="002533C1">
        <w:rPr>
          <w:i/>
          <w:sz w:val="22"/>
          <w:szCs w:val="22"/>
        </w:rPr>
        <w:t>Composites Part A: Applied Science and Manufacturing</w:t>
      </w:r>
      <w:r w:rsidR="002533C1">
        <w:rPr>
          <w:sz w:val="22"/>
          <w:szCs w:val="22"/>
        </w:rPr>
        <w:t xml:space="preserve"> 88 (2016): 206-215.</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[18] </w:t>
      </w:r>
      <w:r w:rsidR="002533C1">
        <w:rPr>
          <w:sz w:val="22"/>
          <w:szCs w:val="22"/>
        </w:rPr>
        <w:t>Lubineau G, Rahaman A. A review of strategies for improving the degradation properties of laminated continuous-fiber/epoxy composites with carbon-based nanoreinforcements.</w:t>
      </w:r>
      <w:r w:rsidR="002533C1">
        <w:rPr>
          <w:i/>
          <w:sz w:val="22"/>
          <w:szCs w:val="22"/>
        </w:rPr>
        <w:t xml:space="preserve"> Carbon.</w:t>
      </w:r>
      <w:r w:rsidR="002533C1">
        <w:rPr>
          <w:sz w:val="22"/>
          <w:szCs w:val="22"/>
        </w:rPr>
        <w:t xml:space="preserve"> 2012;50(7):2377-2395.</w:t>
      </w:r>
    </w:p>
    <w:p w:rsidR="00E8152E"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[19] </w:t>
      </w:r>
      <w:r w:rsidR="002533C1">
        <w:rPr>
          <w:sz w:val="22"/>
          <w:szCs w:val="22"/>
        </w:rPr>
        <w:t xml:space="preserve">S.A. Hawkins, H. Yao, H. Wang, H.J. Sue.  Tensile properties and electrical conductivity of epoxy composite thin films containing zinc oxide quantum dots and multi-walled carbon nanotubes, </w:t>
      </w:r>
      <w:r w:rsidR="002533C1">
        <w:rPr>
          <w:i/>
          <w:sz w:val="22"/>
          <w:szCs w:val="22"/>
        </w:rPr>
        <w:t>Carbon</w:t>
      </w:r>
      <w:r w:rsidR="002533C1">
        <w:rPr>
          <w:sz w:val="22"/>
          <w:szCs w:val="22"/>
        </w:rPr>
        <w:t>, 115:18-27, 2017.</w:t>
      </w:r>
    </w:p>
    <w:p w:rsidR="005A4789" w:rsidRDefault="00E8152E" w:rsidP="00906C9E">
      <w:pPr>
        <w:pBdr>
          <w:top w:val="nil"/>
          <w:left w:val="nil"/>
          <w:bottom w:val="nil"/>
          <w:right w:val="nil"/>
          <w:between w:val="nil"/>
        </w:pBdr>
        <w:tabs>
          <w:tab w:val="left" w:pos="180"/>
        </w:tabs>
        <w:spacing w:before="60" w:after="60"/>
        <w:ind w:left="450" w:hanging="450"/>
        <w:jc w:val="both"/>
        <w:rPr>
          <w:sz w:val="22"/>
          <w:szCs w:val="22"/>
        </w:rPr>
      </w:pPr>
      <w:r>
        <w:rPr>
          <w:sz w:val="22"/>
          <w:szCs w:val="22"/>
        </w:rPr>
        <w:t xml:space="preserve">[20] </w:t>
      </w:r>
      <w:r w:rsidR="002533C1">
        <w:rPr>
          <w:sz w:val="22"/>
          <w:szCs w:val="22"/>
        </w:rPr>
        <w:t>Liu, Y., et al., Aqueous Dispersion of Carbon Fibers and Expanded Graphite Stabilized from the Addition of Cellulose Nanocrystals to Produce Highly Conductive Cellulose Composites</w:t>
      </w:r>
      <w:r w:rsidR="002533C1">
        <w:rPr>
          <w:i/>
          <w:sz w:val="22"/>
          <w:szCs w:val="22"/>
        </w:rPr>
        <w:t>.</w:t>
      </w:r>
      <w:r w:rsidR="002533C1">
        <w:rPr>
          <w:sz w:val="22"/>
          <w:szCs w:val="22"/>
        </w:rPr>
        <w:t xml:space="preserve"> </w:t>
      </w:r>
      <w:r w:rsidR="002533C1">
        <w:rPr>
          <w:i/>
          <w:sz w:val="22"/>
          <w:szCs w:val="22"/>
        </w:rPr>
        <w:t>ACS Sustainable Chemistry &amp; Engineering,</w:t>
      </w:r>
      <w:r w:rsidR="002533C1">
        <w:rPr>
          <w:sz w:val="22"/>
          <w:szCs w:val="22"/>
        </w:rPr>
        <w:t xml:space="preserve"> 2018. </w:t>
      </w:r>
      <w:r w:rsidR="002533C1">
        <w:rPr>
          <w:b/>
          <w:sz w:val="22"/>
          <w:szCs w:val="22"/>
        </w:rPr>
        <w:t>6</w:t>
      </w:r>
      <w:r w:rsidR="002533C1">
        <w:rPr>
          <w:sz w:val="22"/>
          <w:szCs w:val="22"/>
        </w:rPr>
        <w:t>(3): p. 3291-3298.</w:t>
      </w:r>
    </w:p>
    <w:p w:rsidR="005A4789" w:rsidRDefault="005A4789">
      <w:pPr>
        <w:pBdr>
          <w:top w:val="nil"/>
          <w:left w:val="nil"/>
          <w:bottom w:val="nil"/>
          <w:right w:val="nil"/>
          <w:between w:val="nil"/>
        </w:pBdr>
        <w:jc w:val="both"/>
        <w:rPr>
          <w:color w:val="000000"/>
          <w:sz w:val="22"/>
          <w:szCs w:val="22"/>
        </w:rPr>
      </w:pPr>
    </w:p>
    <w:sectPr w:rsidR="005A4789">
      <w:headerReference w:type="even" r:id="rId13"/>
      <w:headerReference w:type="default" r:id="rId14"/>
      <w:footerReference w:type="default" r:id="rId15"/>
      <w:pgSz w:w="11909" w:h="16834"/>
      <w:pgMar w:top="1701" w:right="1418" w:bottom="14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B0" w:rsidRDefault="00483BB0">
      <w:r>
        <w:separator/>
      </w:r>
    </w:p>
  </w:endnote>
  <w:endnote w:type="continuationSeparator" w:id="0">
    <w:p w:rsidR="00483BB0" w:rsidRDefault="0048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89" w:rsidRDefault="002533C1">
    <w:pPr>
      <w:pBdr>
        <w:top w:val="nil"/>
        <w:left w:val="nil"/>
        <w:bottom w:val="nil"/>
        <w:right w:val="nil"/>
        <w:between w:val="nil"/>
      </w:pBdr>
      <w:tabs>
        <w:tab w:val="center" w:pos="4536"/>
        <w:tab w:val="right" w:pos="9072"/>
      </w:tabs>
      <w:jc w:val="center"/>
      <w:rPr>
        <w:color w:val="000000"/>
      </w:rPr>
    </w:pPr>
    <w:r>
      <w:rPr>
        <w:color w:val="000000"/>
        <w:sz w:val="18"/>
        <w:szCs w:val="18"/>
      </w:rPr>
      <w:t>A.V. Kumar, A. Budhani, M. Tran and A. Asadi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B0" w:rsidRDefault="00483BB0">
      <w:r>
        <w:separator/>
      </w:r>
    </w:p>
  </w:footnote>
  <w:footnote w:type="continuationSeparator" w:id="0">
    <w:p w:rsidR="00483BB0" w:rsidRDefault="0048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89" w:rsidRDefault="002533C1">
    <w:pPr>
      <w:pBdr>
        <w:top w:val="nil"/>
        <w:left w:val="nil"/>
        <w:bottom w:val="nil"/>
        <w:right w:val="nil"/>
        <w:between w:val="nil"/>
      </w:pBdr>
      <w:tabs>
        <w:tab w:val="center" w:pos="4320"/>
        <w:tab w:val="right" w:pos="8640"/>
      </w:tabs>
      <w:rPr>
        <w:color w:val="000000"/>
        <w:sz w:val="18"/>
        <w:szCs w:val="18"/>
      </w:rPr>
    </w:pPr>
    <w:r>
      <w:rPr>
        <w:color w:val="000000"/>
        <w:sz w:val="18"/>
        <w:szCs w:val="18"/>
      </w:rPr>
      <w:tab/>
      <w:t xml:space="preserve">First A. Author, Second B. Author and Third C. Author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89" w:rsidRDefault="002533C1">
    <w:pPr>
      <w:pBdr>
        <w:top w:val="nil"/>
        <w:left w:val="nil"/>
        <w:bottom w:val="nil"/>
        <w:right w:val="nil"/>
        <w:between w:val="nil"/>
      </w:pBdr>
      <w:tabs>
        <w:tab w:val="right" w:pos="9360"/>
      </w:tabs>
      <w:rPr>
        <w:color w:val="000000"/>
        <w:sz w:val="18"/>
        <w:szCs w:val="18"/>
      </w:rPr>
    </w:pPr>
    <w:r>
      <w:rPr>
        <w:color w:val="000000"/>
        <w:sz w:val="18"/>
        <w:szCs w:val="18"/>
      </w:rPr>
      <w:t>ECCM18 - 18</w:t>
    </w:r>
    <w:r>
      <w:rPr>
        <w:color w:val="000000"/>
        <w:sz w:val="18"/>
        <w:szCs w:val="18"/>
        <w:vertAlign w:val="superscript"/>
      </w:rPr>
      <w:t>th</w:t>
    </w:r>
    <w:r>
      <w:rPr>
        <w:color w:val="000000"/>
        <w:sz w:val="18"/>
        <w:szCs w:val="18"/>
      </w:rPr>
      <w:t xml:space="preserve"> European Conference on Composite Materials</w:t>
    </w:r>
    <w:r>
      <w:rPr>
        <w:color w:val="000000"/>
        <w:sz w:val="18"/>
        <w:szCs w:val="18"/>
      </w:rPr>
      <w:tab/>
    </w:r>
  </w:p>
  <w:p w:rsidR="005A4789" w:rsidRDefault="002533C1">
    <w:pPr>
      <w:pBdr>
        <w:top w:val="nil"/>
        <w:left w:val="nil"/>
        <w:bottom w:val="nil"/>
        <w:right w:val="nil"/>
        <w:between w:val="nil"/>
      </w:pBdr>
      <w:tabs>
        <w:tab w:val="right" w:pos="9072"/>
      </w:tabs>
      <w:rPr>
        <w:color w:val="000000"/>
        <w:sz w:val="18"/>
        <w:szCs w:val="18"/>
      </w:rPr>
    </w:pPr>
    <w:r>
      <w:rPr>
        <w:color w:val="000000"/>
        <w:sz w:val="18"/>
        <w:szCs w:val="18"/>
      </w:rPr>
      <w:t>Athens, Greece, 24-28</w:t>
    </w:r>
    <w:r>
      <w:rPr>
        <w:color w:val="000000"/>
        <w:sz w:val="18"/>
        <w:szCs w:val="18"/>
        <w:vertAlign w:val="superscript"/>
      </w:rPr>
      <w:t>th</w:t>
    </w:r>
    <w:r>
      <w:rPr>
        <w:color w:val="000000"/>
        <w:sz w:val="18"/>
        <w:szCs w:val="18"/>
      </w:rPr>
      <w:t xml:space="preserve"> June 2018</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454EDC">
      <w:rPr>
        <w:noProof/>
        <w:color w:val="000000"/>
        <w:sz w:val="18"/>
        <w:szCs w:val="18"/>
      </w:rPr>
      <w:t>4</w:t>
    </w:r>
    <w:r>
      <w:rPr>
        <w:color w:val="000000"/>
        <w:sz w:val="18"/>
        <w:szCs w:val="18"/>
      </w:rPr>
      <w:fldChar w:fldCharType="end"/>
    </w:r>
  </w:p>
  <w:p w:rsidR="005A4789" w:rsidRDefault="005A4789">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89"/>
    <w:rsid w:val="000D4AC5"/>
    <w:rsid w:val="00242CDE"/>
    <w:rsid w:val="002533C1"/>
    <w:rsid w:val="003B14C0"/>
    <w:rsid w:val="00454EDC"/>
    <w:rsid w:val="00483BB0"/>
    <w:rsid w:val="005A4789"/>
    <w:rsid w:val="007272DC"/>
    <w:rsid w:val="00906C9E"/>
    <w:rsid w:val="009514BD"/>
    <w:rsid w:val="00A57E9D"/>
    <w:rsid w:val="00A9230C"/>
    <w:rsid w:val="00B472CA"/>
    <w:rsid w:val="00E81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8669"/>
  <w15:docId w15:val="{9297ED0E-D5BB-42A4-B660-7F52B4AE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nhjerry@tamu.edu"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Asadi</dc:creator>
  <cp:lastModifiedBy>Amir Asadi</cp:lastModifiedBy>
  <cp:revision>5</cp:revision>
  <dcterms:created xsi:type="dcterms:W3CDTF">2018-05-25T15:46:00Z</dcterms:created>
  <dcterms:modified xsi:type="dcterms:W3CDTF">2018-05-26T02:12:00Z</dcterms:modified>
</cp:coreProperties>
</file>