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3" w14:textId="5FE1222D" w:rsidR="00CB39CA" w:rsidRDefault="008C7464">
      <w:pPr>
        <w:pStyle w:val="a3"/>
        <w:ind w:firstLine="0"/>
      </w:pPr>
      <w:r>
        <w:t>Journeys to Participatory Digital Preservation:</w:t>
      </w:r>
    </w:p>
    <w:p w14:paraId="00000014" w14:textId="766B3141" w:rsidR="00CB39CA" w:rsidRDefault="00021578">
      <w:pPr>
        <w:pStyle w:val="a5"/>
      </w:pPr>
      <w:r>
        <w:t>Challeng</w:t>
      </w:r>
      <w:r w:rsidR="00325444">
        <w:t>es</w:t>
      </w:r>
      <w:r>
        <w:t xml:space="preserve"> for the</w:t>
      </w:r>
      <w:r w:rsidR="008C7464" w:rsidRPr="008C7464">
        <w:t xml:space="preserve"> Gold Museum </w:t>
      </w:r>
      <w:r>
        <w:t>as a Public Museum Engaging Communities with</w:t>
      </w:r>
      <w:r w:rsidR="008C7464" w:rsidRPr="008C7464">
        <w:t xml:space="preserve"> Geopark</w:t>
      </w:r>
    </w:p>
    <w:p w14:paraId="00000015" w14:textId="77777777" w:rsidR="00CB39CA" w:rsidRDefault="00CB39CA"/>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D86E86" w14:paraId="6FB5498C" w14:textId="77777777" w:rsidTr="005F1B90">
        <w:tc>
          <w:tcPr>
            <w:tcW w:w="9072" w:type="dxa"/>
          </w:tcPr>
          <w:p w14:paraId="3BF98D7A" w14:textId="77777777" w:rsidR="00D86E86" w:rsidRDefault="00D86E86" w:rsidP="005F1B90">
            <w:pPr>
              <w:pBdr>
                <w:top w:val="nil"/>
                <w:left w:val="nil"/>
                <w:bottom w:val="nil"/>
                <w:right w:val="nil"/>
                <w:between w:val="nil"/>
              </w:pBdr>
              <w:spacing w:line="276" w:lineRule="auto"/>
              <w:ind w:firstLine="0"/>
              <w:jc w:val="center"/>
              <w:rPr>
                <w:rFonts w:eastAsia="Open Sans"/>
                <w:b/>
                <w:color w:val="000000"/>
                <w:sz w:val="24"/>
                <w:szCs w:val="24"/>
              </w:rPr>
            </w:pPr>
            <w:r w:rsidRPr="00D10CBD">
              <w:rPr>
                <w:rFonts w:eastAsia="Open Sans"/>
                <w:b/>
                <w:color w:val="000000"/>
                <w:sz w:val="24"/>
                <w:szCs w:val="24"/>
              </w:rPr>
              <w:t>Yi-Ting Lin</w:t>
            </w:r>
          </w:p>
        </w:tc>
      </w:tr>
      <w:tr w:rsidR="00D86E86" w14:paraId="637E5B26" w14:textId="77777777" w:rsidTr="005F1B90">
        <w:trPr>
          <w:trHeight w:val="578"/>
        </w:trPr>
        <w:tc>
          <w:tcPr>
            <w:tcW w:w="9072" w:type="dxa"/>
          </w:tcPr>
          <w:p w14:paraId="18D383F6" w14:textId="77777777" w:rsidR="00D86E86" w:rsidRDefault="00D86E86" w:rsidP="005F1B90">
            <w:pPr>
              <w:pBdr>
                <w:top w:val="nil"/>
                <w:left w:val="nil"/>
                <w:bottom w:val="nil"/>
                <w:right w:val="nil"/>
                <w:between w:val="nil"/>
              </w:pBdr>
              <w:ind w:firstLine="0"/>
              <w:jc w:val="center"/>
              <w:rPr>
                <w:rFonts w:eastAsia="Open Sans"/>
                <w:i/>
                <w:color w:val="000000"/>
              </w:rPr>
            </w:pPr>
            <w:r w:rsidRPr="00D10CBD">
              <w:rPr>
                <w:rFonts w:eastAsia="Open Sans"/>
                <w:i/>
                <w:color w:val="000000"/>
              </w:rPr>
              <w:t>Information Studies</w:t>
            </w:r>
            <w:r>
              <w:rPr>
                <w:rFonts w:eastAsia="Open Sans"/>
                <w:i/>
                <w:color w:val="000000"/>
              </w:rPr>
              <w:t xml:space="preserve">, </w:t>
            </w:r>
            <w:r w:rsidRPr="00D10CBD">
              <w:rPr>
                <w:rFonts w:eastAsia="Open Sans"/>
                <w:i/>
                <w:color w:val="000000"/>
              </w:rPr>
              <w:t>University of Glasgow</w:t>
            </w:r>
          </w:p>
          <w:p w14:paraId="057A30D7" w14:textId="77777777" w:rsidR="00D86E86" w:rsidRDefault="00D86E86" w:rsidP="005F1B90">
            <w:pPr>
              <w:pBdr>
                <w:top w:val="nil"/>
                <w:left w:val="nil"/>
                <w:bottom w:val="nil"/>
                <w:right w:val="nil"/>
                <w:between w:val="nil"/>
              </w:pBdr>
              <w:ind w:firstLine="0"/>
              <w:jc w:val="center"/>
              <w:rPr>
                <w:rFonts w:eastAsia="Open Sans"/>
                <w:i/>
                <w:color w:val="000000"/>
              </w:rPr>
            </w:pPr>
            <w:r>
              <w:rPr>
                <w:rFonts w:eastAsia="Open Sans"/>
                <w:i/>
                <w:color w:val="000000"/>
              </w:rPr>
              <w:t>United Kingdom</w:t>
            </w:r>
          </w:p>
          <w:p w14:paraId="3BB04B9F" w14:textId="77777777" w:rsidR="00D86E86" w:rsidRPr="00D10CBD" w:rsidRDefault="00D86E86" w:rsidP="005F1B90">
            <w:pPr>
              <w:pBdr>
                <w:top w:val="nil"/>
                <w:left w:val="nil"/>
                <w:bottom w:val="nil"/>
                <w:right w:val="nil"/>
                <w:between w:val="nil"/>
              </w:pBdr>
              <w:ind w:firstLine="0"/>
              <w:jc w:val="center"/>
              <w:rPr>
                <w:rFonts w:eastAsia="Open Sans"/>
                <w:i/>
                <w:color w:val="000000"/>
              </w:rPr>
            </w:pPr>
            <w:r w:rsidRPr="00D10CBD">
              <w:rPr>
                <w:rFonts w:eastAsia="Open Sans"/>
                <w:i/>
                <w:color w:val="000000"/>
              </w:rPr>
              <w:t>2542320L@student.gla.ac.uk</w:t>
            </w:r>
          </w:p>
          <w:p w14:paraId="7551F058" w14:textId="77777777" w:rsidR="00D86E86" w:rsidRDefault="00D86E86" w:rsidP="005F1B90">
            <w:pPr>
              <w:pBdr>
                <w:top w:val="nil"/>
                <w:left w:val="nil"/>
                <w:bottom w:val="nil"/>
                <w:right w:val="nil"/>
                <w:between w:val="nil"/>
              </w:pBdr>
              <w:ind w:firstLine="0"/>
              <w:jc w:val="center"/>
              <w:rPr>
                <w:rFonts w:eastAsia="Open Sans"/>
                <w:i/>
                <w:color w:val="000000"/>
              </w:rPr>
            </w:pPr>
            <w:r w:rsidRPr="004750FF">
              <w:rPr>
                <w:rFonts w:eastAsia="Open Sans"/>
                <w:i/>
                <w:color w:val="000000"/>
              </w:rPr>
              <w:t>https://orcid.org/0000-0001-9605-0296</w:t>
            </w:r>
          </w:p>
        </w:tc>
      </w:tr>
      <w:tr w:rsidR="00D86E86" w14:paraId="0174D4C0" w14:textId="77777777" w:rsidTr="005F1B90">
        <w:trPr>
          <w:trHeight w:val="399"/>
        </w:trPr>
        <w:tc>
          <w:tcPr>
            <w:tcW w:w="9072" w:type="dxa"/>
          </w:tcPr>
          <w:p w14:paraId="017BB253" w14:textId="77777777" w:rsidR="00D86E86" w:rsidRDefault="00D86E86" w:rsidP="005F1B90">
            <w:pPr>
              <w:pBdr>
                <w:top w:val="nil"/>
                <w:left w:val="nil"/>
                <w:bottom w:val="nil"/>
                <w:right w:val="nil"/>
                <w:between w:val="nil"/>
              </w:pBdr>
              <w:jc w:val="center"/>
              <w:rPr>
                <w:rFonts w:eastAsia="Open Sans"/>
                <w:i/>
                <w:color w:val="000000"/>
              </w:rPr>
            </w:pPr>
          </w:p>
        </w:tc>
      </w:tr>
    </w:tbl>
    <w:p w14:paraId="00000028" w14:textId="77777777" w:rsidR="00CB39CA" w:rsidRPr="00D86E86" w:rsidRDefault="00CB39CA">
      <w:pPr>
        <w:sectPr w:rsidR="00CB39CA" w:rsidRPr="00D86E86">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00000029" w14:textId="41721211"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t>
      </w:r>
      <w:r w:rsidR="00353A22" w:rsidRPr="00353A22">
        <w:rPr>
          <w:rFonts w:eastAsia="Open Sans"/>
          <w:b/>
          <w:color w:val="000000"/>
          <w:sz w:val="18"/>
          <w:szCs w:val="18"/>
        </w:rPr>
        <w:t>Using the Gold Museum in the Shui-Chin-Chiu Geopark as an example, this research simulated user journey maps to unpack usability issues and related problems in participatory digital preservation. This is in response to the Taiwanese government attempts to integrate digital content across museums.</w:t>
      </w:r>
    </w:p>
    <w:p w14:paraId="0000002A" w14:textId="6B3894E6"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03510D" w:rsidRPr="0003510D">
        <w:rPr>
          <w:rFonts w:eastAsia="Open Sans"/>
          <w:b/>
          <w:color w:val="000000"/>
          <w:sz w:val="18"/>
          <w:szCs w:val="18"/>
        </w:rPr>
        <w:t>Community-Engagement, Geopark, Sustainability, Participatory-Digital-Archive, Museum-Communication</w:t>
      </w:r>
    </w:p>
    <w:p w14:paraId="0000002B" w14:textId="5E75117C" w:rsidR="00CB39CA" w:rsidRDefault="00523B2E">
      <w:pPr>
        <w:pBdr>
          <w:top w:val="nil"/>
          <w:left w:val="nil"/>
          <w:bottom w:val="nil"/>
          <w:right w:val="nil"/>
          <w:between w:val="nil"/>
        </w:pBdr>
        <w:rPr>
          <w:rFonts w:eastAsia="Open Sans"/>
          <w:b/>
          <w:color w:val="000000"/>
          <w:sz w:val="18"/>
          <w:szCs w:val="18"/>
        </w:rPr>
      </w:pPr>
      <w:r>
        <w:rPr>
          <w:rFonts w:eastAsia="Open Sans"/>
          <w:b/>
          <w:color w:val="000000"/>
          <w:sz w:val="18"/>
          <w:szCs w:val="18"/>
        </w:rPr>
        <w:t>Conference Topics</w:t>
      </w:r>
      <w:r w:rsidR="003B24BB">
        <w:rPr>
          <w:rFonts w:eastAsia="Open Sans"/>
          <w:b/>
          <w:color w:val="000000"/>
          <w:sz w:val="18"/>
          <w:szCs w:val="18"/>
        </w:rPr>
        <w:t xml:space="preserve"> – </w:t>
      </w:r>
      <w:r w:rsidR="0003510D" w:rsidRPr="0003510D">
        <w:rPr>
          <w:rFonts w:eastAsia="Open Sans"/>
          <w:b/>
          <w:color w:val="000000"/>
          <w:sz w:val="18"/>
          <w:szCs w:val="18"/>
        </w:rPr>
        <w:t>Community</w:t>
      </w:r>
    </w:p>
    <w:p w14:paraId="0000002C" w14:textId="5E4132DD" w:rsidR="00CB39CA" w:rsidRDefault="00523B2E">
      <w:pPr>
        <w:pStyle w:val="1"/>
        <w:numPr>
          <w:ilvl w:val="0"/>
          <w:numId w:val="3"/>
        </w:numPr>
      </w:pPr>
      <w:r>
        <w:t>Introduction</w:t>
      </w:r>
    </w:p>
    <w:p w14:paraId="68898E76" w14:textId="7A3FA145" w:rsidR="00DD48D9" w:rsidRPr="00E721FA" w:rsidRDefault="00077D3C" w:rsidP="0081708C">
      <w:pPr>
        <w:rPr>
          <w:color w:val="000000" w:themeColor="text1"/>
          <w:lang w:val="en-GB"/>
        </w:rPr>
      </w:pPr>
      <w:r w:rsidRPr="00077D3C">
        <w:rPr>
          <w:color w:val="000000" w:themeColor="text1"/>
          <w:lang w:val="en-GB"/>
        </w:rPr>
        <w:t>The participation of community members in the digital preservation process can potentially change the policies and decision-making system in a museum. The community-based exhibit has been in museum practice since the 1990s</w:t>
      </w:r>
      <w:r w:rsidR="005F24EB" w:rsidRPr="00F10E98">
        <w:rPr>
          <w:color w:val="000000" w:themeColor="text1"/>
          <w:lang w:val="en-GB"/>
        </w:rPr>
        <w:t xml:space="preserve"> </w:t>
      </w:r>
      <w:r w:rsidR="005F24EB" w:rsidRPr="00F10E98">
        <w:rPr>
          <w:color w:val="000000" w:themeColor="text1"/>
          <w:lang w:val="en-GB"/>
        </w:rPr>
        <w:fldChar w:fldCharType="begin" w:fldLock="1"/>
      </w:r>
      <w:r w:rsidR="00E6587A">
        <w:rPr>
          <w:color w:val="000000" w:themeColor="text1"/>
          <w:lang w:val="en-GB"/>
        </w:rPr>
        <w:instrText>ADDIN CSL_CITATION {"citationItems":[{"id":"ITEM-1","itemData":{"ISBN":"9780415280525","abstract":"This book brings together hitherto uncollected work on one of the most important developments in museology in the past century: collaborative research involving museums and members of ethnographic source communities, and the development of a new curatorial praxis which incorporates source community needs and perspectives. Using case studies of research projects as well as overview essays exploring the issues, common problems, and lessons of this type of research, this book will provide the first overview of work in this emerging field. Yup'ik elders in museums: fieldwork turned on its head -- The object in view: Aborigines, Melanesians, and museums -- The Arts of the Sikh Kingdoms: collaborating with a community -- Integrating Native views into museum procedures: hope and practice at the National Museum of the American Indian -- Taking the photographs home: the recovery of a Mãori history -- Looking to see: reflections on visual repatriation in the Purari Delta, Gulf Province, Papua New Guinea, Remebering our namesakes: audience reactions to archival film of King Island, Alaska -- Snapshots on the dreaming: photographs of the past and present -- How to decorate a house: the renegotiaition of cultural representations at the University of British Columbia Museum of Anthropology -- Curating African Worlds -- Objects, agency and museums: continuing dialogues between the Torres Strait and Cambridge -- Transforming archaeology through practice: strategies for collaborative archaeology and the Community Archaeology Project at Quseir, Egypt -- Glenbow's Blackfoot Gallery: working towards co-existence.","author":[{"dropping-particle":"","family":"Phillips","given":"Ruth B","non-dropping-particle":"","parse-names":false,"suffix":""}],"container-title":"Museums and source communities : a Routledge reader","editor":[{"dropping-particle":"","family":"Peers","given":"Laura L.","non-dropping-particle":"","parse-names":false,"suffix":""},{"dropping-particle":"","family":"Brown","given":"Alison K.","non-dropping-particle":"","parse-names":false,"suffix":""}],"id":"ITEM-1","issued":{"date-parts":[["2003","6","26"]]},"page":"280","publisher":"Routledge","publisher-place":"New York","title":"Part 3: Community Collaboration in Exhibitions Section Introduction","type":"chapter"},"uris":["http://www.mendeley.com/documents/?uuid=de508ab9-71a9-3ca0-9f08-56f4c20bb9df"]}],"mendeley":{"formattedCitation":"[1]","plainTextFormattedCitation":"[1]","previouslyFormattedCitation":"[1]"},"properties":{"noteIndex":0},"schema":"https://github.com/citation-style-language/schema/raw/master/csl-citation.json"}</w:instrText>
      </w:r>
      <w:r w:rsidR="005F24EB" w:rsidRPr="00F10E98">
        <w:rPr>
          <w:color w:val="000000" w:themeColor="text1"/>
          <w:lang w:val="en-GB"/>
        </w:rPr>
        <w:fldChar w:fldCharType="separate"/>
      </w:r>
      <w:r w:rsidR="001809E7" w:rsidRPr="001809E7">
        <w:rPr>
          <w:noProof/>
          <w:color w:val="000000" w:themeColor="text1"/>
          <w:lang w:val="en-GB"/>
        </w:rPr>
        <w:t>[1]</w:t>
      </w:r>
      <w:r w:rsidR="005F24EB" w:rsidRPr="00F10E98">
        <w:rPr>
          <w:color w:val="000000" w:themeColor="text1"/>
          <w:lang w:val="en-GB"/>
        </w:rPr>
        <w:fldChar w:fldCharType="end"/>
      </w:r>
      <w:r w:rsidR="005F24EB" w:rsidRPr="00F10E98">
        <w:rPr>
          <w:color w:val="000000" w:themeColor="text1"/>
          <w:lang w:val="en-GB"/>
        </w:rPr>
        <w:t>,</w:t>
      </w:r>
      <w:r w:rsidR="00F3703E">
        <w:rPr>
          <w:color w:val="000000" w:themeColor="text1"/>
          <w:lang w:val="en-GB"/>
        </w:rPr>
        <w:t xml:space="preserve"> but</w:t>
      </w:r>
      <w:r w:rsidR="005F24EB" w:rsidRPr="00F10E98">
        <w:rPr>
          <w:rFonts w:hint="eastAsia"/>
          <w:color w:val="000000" w:themeColor="text1"/>
          <w:lang w:val="en-GB"/>
        </w:rPr>
        <w:t xml:space="preserve"> </w:t>
      </w:r>
      <w:r w:rsidR="0081708C" w:rsidRPr="0081708C">
        <w:rPr>
          <w:color w:val="000000" w:themeColor="text1"/>
          <w:lang w:val="en-GB"/>
        </w:rPr>
        <w:t xml:space="preserve">museums have been improving community engagement strategies. For example, the Gold Museum in Taiwan has been a member of the </w:t>
      </w:r>
      <w:proofErr w:type="spellStart"/>
      <w:r w:rsidR="0081708C" w:rsidRPr="0081708C">
        <w:rPr>
          <w:color w:val="000000" w:themeColor="text1"/>
          <w:lang w:val="en-GB"/>
        </w:rPr>
        <w:t>Chiufen-Chinkuashih-Shueinandong</w:t>
      </w:r>
      <w:proofErr w:type="spellEnd"/>
      <w:r w:rsidR="0081708C" w:rsidRPr="0081708C">
        <w:rPr>
          <w:color w:val="000000" w:themeColor="text1"/>
          <w:lang w:val="en-GB"/>
        </w:rPr>
        <w:t xml:space="preserve"> Geopark (a.k.a. Shui-Chin-Chiu Geopark) since 2020</w:t>
      </w:r>
      <w:r w:rsidR="0081708C">
        <w:rPr>
          <w:color w:val="000000" w:themeColor="text1"/>
          <w:lang w:val="en-GB"/>
        </w:rPr>
        <w:t xml:space="preserve"> </w:t>
      </w:r>
      <w:r w:rsidR="0081708C">
        <w:rPr>
          <w:color w:val="000000" w:themeColor="text1"/>
          <w:lang w:val="en-GB"/>
        </w:rPr>
        <w:fldChar w:fldCharType="begin" w:fldLock="1"/>
      </w:r>
      <w:r w:rsidR="00A21020">
        <w:rPr>
          <w:rFonts w:hint="eastAsia"/>
          <w:color w:val="000000" w:themeColor="text1"/>
          <w:lang w:val="en-GB"/>
        </w:rPr>
        <w:instrText>ADDIN CSL_CITATION {"citationItems":[{"id":"ITEM-1","itemData":{"DOI":"10.29879/TNS","ISBN":"1026-2393","abstract":"</w:instrText>
      </w:r>
      <w:r w:rsidR="00A21020">
        <w:rPr>
          <w:rFonts w:hint="eastAsia"/>
          <w:color w:val="000000" w:themeColor="text1"/>
          <w:lang w:val="en-GB"/>
        </w:rPr>
        <w:instrText>本文探討黃金博物館在申請指定「九份金瓜石水湳洞地質公園」、進行水金九地區地</w:instrText>
      </w:r>
      <w:r w:rsidR="00A21020">
        <w:rPr>
          <w:rFonts w:hint="eastAsia"/>
          <w:color w:val="000000" w:themeColor="text1"/>
          <w:lang w:val="en-GB"/>
        </w:rPr>
        <w:instrText xml:space="preserve"> </w:instrText>
      </w:r>
      <w:r w:rsidR="00A21020">
        <w:rPr>
          <w:rFonts w:hint="eastAsia"/>
          <w:color w:val="000000" w:themeColor="text1"/>
          <w:lang w:val="en-GB"/>
        </w:rPr>
        <w:instrText>質保育的步驟與策略，並探討地質公園成立前後，黃金博物館在其中扮演的角色。</w:instrText>
      </w:r>
      <w:r w:rsidR="00A21020">
        <w:rPr>
          <w:rFonts w:hint="eastAsia"/>
          <w:color w:val="000000" w:themeColor="text1"/>
          <w:lang w:val="en-GB"/>
        </w:rPr>
        <w:instrText>","author":[{"dropping-particle":"","family":"Huang","given":"Chia-Chun (</w:instrText>
      </w:r>
      <w:r w:rsidR="00A21020">
        <w:rPr>
          <w:rFonts w:hint="eastAsia"/>
          <w:color w:val="000000" w:themeColor="text1"/>
          <w:lang w:val="en-GB"/>
        </w:rPr>
        <w:instrText>黃家俊</w:instrText>
      </w:r>
      <w:r w:rsidR="00A21020">
        <w:rPr>
          <w:rFonts w:hint="eastAsia"/>
          <w:color w:val="000000" w:themeColor="text1"/>
          <w:lang w:val="en-GB"/>
        </w:rPr>
        <w:instrText>)","non-dropping-particle":"","parse-names":false,"suffix":""}],"container-title":"</w:instrText>
      </w:r>
      <w:r w:rsidR="00A21020">
        <w:rPr>
          <w:rFonts w:hint="eastAsia"/>
          <w:color w:val="000000" w:themeColor="text1"/>
          <w:lang w:val="en-GB"/>
        </w:rPr>
        <w:instrText>臺灣博物季刊</w:instrText>
      </w:r>
      <w:r w:rsidR="00A21020">
        <w:rPr>
          <w:rFonts w:hint="eastAsia"/>
          <w:color w:val="000000" w:themeColor="text1"/>
          <w:lang w:val="en-GB"/>
        </w:rPr>
        <w:instrText>:</w:instrText>
      </w:r>
      <w:r w:rsidR="00A21020">
        <w:rPr>
          <w:rFonts w:hint="eastAsia"/>
          <w:color w:val="000000" w:themeColor="text1"/>
          <w:lang w:val="en-GB"/>
        </w:rPr>
        <w:instrText>大地的變奏曲─譜寫人與自然的新關係／</w:instrText>
      </w:r>
      <w:r w:rsidR="00A21020">
        <w:rPr>
          <w:rFonts w:hint="eastAsia"/>
          <w:color w:val="000000" w:themeColor="text1"/>
          <w:lang w:val="en-GB"/>
        </w:rPr>
        <w:instrText xml:space="preserve"> Variations on a Theme of Earth: Composing the New Human-Nature Relationship </w:instrText>
      </w:r>
      <w:r w:rsidR="00A21020">
        <w:rPr>
          <w:rFonts w:hint="eastAsia"/>
          <w:color w:val="000000" w:themeColor="text1"/>
          <w:lang w:val="en-GB"/>
        </w:rPr>
        <w:instrText>｜</w:instrText>
      </w:r>
      <w:r w:rsidR="00A21020">
        <w:rPr>
          <w:rFonts w:hint="eastAsia"/>
          <w:color w:val="000000" w:themeColor="text1"/>
          <w:lang w:val="en-GB"/>
        </w:rPr>
        <w:instrText>","id":"ITEM-1","issue":"40","issued":{"date-parts":[["2021"]]},"page":"12-21","title":"The Role of Gold Museum in the Chiufen-Chinkuashih-Shueinandong Geopark (</w:instrText>
      </w:r>
      <w:r w:rsidR="00A21020">
        <w:rPr>
          <w:rFonts w:hint="eastAsia"/>
          <w:color w:val="000000" w:themeColor="text1"/>
          <w:lang w:val="en-GB"/>
        </w:rPr>
        <w:instrText>黃金博物館在九份金瓜石水湳洞地質公園的角色定位</w:instrText>
      </w:r>
      <w:r w:rsidR="00A21020">
        <w:rPr>
          <w:rFonts w:hint="eastAsia"/>
          <w:color w:val="000000" w:themeColor="text1"/>
          <w:lang w:val="en-GB"/>
        </w:rPr>
        <w:instrText>)","type":"article-journal","volume":"150"},"uris":["http://www.mendeley.com/documents/?uuid=704ee548-7ac0-4eda-8a1d-0bd81774ebcb</w:instrText>
      </w:r>
      <w:r w:rsidR="00A21020">
        <w:rPr>
          <w:color w:val="000000" w:themeColor="text1"/>
          <w:lang w:val="en-GB"/>
        </w:rPr>
        <w:instrText>"]}],"mendeley":{"formattedCitation":"[2]","plainTextFormattedCitation":"[2]","previouslyFormattedCitation":"[2]"},"properties":{"noteIndex":0},"schema":"https://github.com/citation-style-language/schema/raw/master/csl-citation.json"}</w:instrText>
      </w:r>
      <w:r w:rsidR="0081708C">
        <w:rPr>
          <w:color w:val="000000" w:themeColor="text1"/>
          <w:lang w:val="en-GB"/>
        </w:rPr>
        <w:fldChar w:fldCharType="separate"/>
      </w:r>
      <w:r w:rsidR="0081708C" w:rsidRPr="0081708C">
        <w:rPr>
          <w:noProof/>
          <w:color w:val="000000" w:themeColor="text1"/>
          <w:lang w:val="en-GB"/>
        </w:rPr>
        <w:t>[2]</w:t>
      </w:r>
      <w:r w:rsidR="0081708C">
        <w:rPr>
          <w:color w:val="000000" w:themeColor="text1"/>
          <w:lang w:val="en-GB"/>
        </w:rPr>
        <w:fldChar w:fldCharType="end"/>
      </w:r>
      <w:r w:rsidR="0081708C" w:rsidRPr="0081708C">
        <w:rPr>
          <w:color w:val="000000" w:themeColor="text1"/>
          <w:lang w:val="en-GB"/>
        </w:rPr>
        <w:t xml:space="preserve">. </w:t>
      </w:r>
      <w:r w:rsidR="00353A22" w:rsidRPr="0081708C">
        <w:rPr>
          <w:color w:val="000000" w:themeColor="text1"/>
          <w:lang w:val="en-GB"/>
        </w:rPr>
        <w:t xml:space="preserve">Before this, the Gold Museum has been practising </w:t>
      </w:r>
      <w:r w:rsidR="00353A22">
        <w:rPr>
          <w:color w:val="000000" w:themeColor="text1"/>
          <w:lang w:val="en-GB"/>
        </w:rPr>
        <w:t xml:space="preserve">a </w:t>
      </w:r>
      <w:r w:rsidR="00353A22" w:rsidRPr="0081708C">
        <w:rPr>
          <w:color w:val="000000" w:themeColor="text1"/>
          <w:lang w:val="en-GB"/>
        </w:rPr>
        <w:t>participatory budget</w:t>
      </w:r>
      <w:r w:rsidR="0081708C" w:rsidRPr="0081708C">
        <w:rPr>
          <w:color w:val="000000" w:themeColor="text1"/>
          <w:lang w:val="en-GB"/>
        </w:rPr>
        <w:t xml:space="preserve">, allowing local people to </w:t>
      </w:r>
      <w:r w:rsidR="00F3703E" w:rsidRPr="0081708C">
        <w:rPr>
          <w:color w:val="000000" w:themeColor="text1"/>
          <w:lang w:val="en-GB"/>
        </w:rPr>
        <w:t>proffer</w:t>
      </w:r>
      <w:r w:rsidR="0081708C" w:rsidRPr="0081708C">
        <w:rPr>
          <w:color w:val="000000" w:themeColor="text1"/>
          <w:lang w:val="en-GB"/>
        </w:rPr>
        <w:t xml:space="preserve"> their opinion on budget distribution since 2016. </w:t>
      </w:r>
      <w:r w:rsidR="00203C7C" w:rsidRPr="0081708C">
        <w:rPr>
          <w:color w:val="000000" w:themeColor="text1"/>
          <w:lang w:val="en-GB"/>
        </w:rPr>
        <w:t>These new strategies bring new challenges to digital preservation</w:t>
      </w:r>
      <w:r w:rsidR="0063022E">
        <w:rPr>
          <w:color w:val="000000" w:themeColor="text1"/>
          <w:lang w:val="en-GB"/>
        </w:rPr>
        <w:t>, and</w:t>
      </w:r>
      <w:r w:rsidR="0063022E" w:rsidRPr="0081708C">
        <w:rPr>
          <w:color w:val="000000" w:themeColor="text1"/>
          <w:lang w:val="en-GB"/>
        </w:rPr>
        <w:t xml:space="preserve"> </w:t>
      </w:r>
      <w:r w:rsidR="0063022E">
        <w:rPr>
          <w:color w:val="000000" w:themeColor="text1"/>
          <w:lang w:val="en-GB"/>
        </w:rPr>
        <w:t>t</w:t>
      </w:r>
      <w:r w:rsidR="0081708C" w:rsidRPr="0081708C">
        <w:rPr>
          <w:color w:val="000000" w:themeColor="text1"/>
          <w:lang w:val="en-GB"/>
        </w:rPr>
        <w:t xml:space="preserve">his research aims to </w:t>
      </w:r>
      <w:r w:rsidR="00F944E3" w:rsidRPr="0081708C">
        <w:rPr>
          <w:color w:val="000000" w:themeColor="text1"/>
          <w:lang w:val="en-GB"/>
        </w:rPr>
        <w:t xml:space="preserve">detect </w:t>
      </w:r>
      <w:r w:rsidR="00F944E3">
        <w:rPr>
          <w:color w:val="000000" w:themeColor="text1"/>
          <w:lang w:val="en-GB"/>
        </w:rPr>
        <w:t>them</w:t>
      </w:r>
      <w:r w:rsidR="00F944E3" w:rsidRPr="0081708C">
        <w:rPr>
          <w:color w:val="000000" w:themeColor="text1"/>
          <w:lang w:val="en-GB"/>
        </w:rPr>
        <w:t xml:space="preserve"> by </w:t>
      </w:r>
      <w:r w:rsidR="003D13F1">
        <w:rPr>
          <w:color w:val="000000" w:themeColor="text1"/>
          <w:lang w:val="en-GB"/>
        </w:rPr>
        <w:t>simula</w:t>
      </w:r>
      <w:r w:rsidR="00F944E3" w:rsidRPr="0081708C">
        <w:rPr>
          <w:color w:val="000000" w:themeColor="text1"/>
          <w:lang w:val="en-GB"/>
        </w:rPr>
        <w:t>ting user journey maps.</w:t>
      </w:r>
    </w:p>
    <w:p w14:paraId="0000002F" w14:textId="7B9A62E8" w:rsidR="00CB39CA" w:rsidRDefault="00A50C17" w:rsidP="00B55347">
      <w:pPr>
        <w:pStyle w:val="1"/>
        <w:numPr>
          <w:ilvl w:val="0"/>
          <w:numId w:val="3"/>
        </w:numPr>
      </w:pPr>
      <w:r w:rsidRPr="00A50C17">
        <w:rPr>
          <w:lang w:val="en-GB"/>
        </w:rPr>
        <w:t>Background</w:t>
      </w:r>
    </w:p>
    <w:p w14:paraId="20986752" w14:textId="66A5D116" w:rsidR="008E1636" w:rsidRDefault="008E1636" w:rsidP="008E1636">
      <w:pPr>
        <w:pStyle w:val="iPRESparagraphs"/>
      </w:pPr>
      <w:r w:rsidRPr="009C5D1F">
        <w:rPr>
          <w:lang w:val="en-GB"/>
        </w:rPr>
        <w:t xml:space="preserve">It is possible to conduct digital preservation in a geopark. </w:t>
      </w:r>
      <w:r w:rsidR="00203C7C">
        <w:rPr>
          <w:lang w:val="en-GB"/>
        </w:rPr>
        <w:t>S</w:t>
      </w:r>
      <w:r w:rsidR="00203C7C" w:rsidRPr="009C5D1F">
        <w:rPr>
          <w:rFonts w:hint="eastAsia"/>
          <w:lang w:val="en-GB"/>
        </w:rPr>
        <w:t>u</w:t>
      </w:r>
      <w:r w:rsidR="00203C7C" w:rsidRPr="009C5D1F">
        <w:rPr>
          <w:lang w:val="en-GB"/>
        </w:rPr>
        <w:t>ccessful cases</w:t>
      </w:r>
      <w:r w:rsidR="00203C7C">
        <w:rPr>
          <w:lang w:val="en-GB"/>
        </w:rPr>
        <w:t xml:space="preserve"> have been seen in Britain</w:t>
      </w:r>
      <w:r w:rsidRPr="009C5D1F">
        <w:rPr>
          <w:lang w:val="en-GB"/>
        </w:rPr>
        <w:t>, such as the Shetland Museum and Archives. Located in Geopark Shetland, a global geopark in Scotland, the Shetland Museum and Archives annually welcomes 83,000 visitors</w:t>
      </w:r>
      <w:r w:rsidRPr="008A0D96">
        <w:t xml:space="preserve"> </w:t>
      </w:r>
      <w:r w:rsidRPr="008A0D96">
        <w:fldChar w:fldCharType="begin" w:fldLock="1"/>
      </w:r>
      <w:r w:rsidR="00855388">
        <w:instrText>ADDIN CSL_CITATION {"citationItems":[{"id":"ITEM-1","itemData":{"URL":"https://www.shetlandamenity.org/shetland-museum-and-archives","accessed":{"date-parts":[["2022","3","7"]]},"author":[{"dropping-particle":"","family":"Shetland Amenity Trust","given":"","non-dropping-particle":"","parse-names":false,"suffix":""}],"container-title":"Official Website of the Shetland Amenity Trust","id":"ITEM-1","issued":{"date-parts":[["2022"]]},"title":"Shetland Museum and Archives","type":"webpage"},"uris":["http://www.mendeley.com/documents/?uuid=40f692a5-0b4e-3ff0-9677-899dc6e3974d"]}],"mendeley":{"formattedCitation":"[3]","plainTextFormattedCitation":"[3]","previouslyFormattedCitation":"[3]"},"properties":{"noteIndex":0},"schema":"https://github.com/citation-style-language/schema/raw/master/csl-citation.json"}</w:instrText>
      </w:r>
      <w:r w:rsidRPr="008A0D96">
        <w:fldChar w:fldCharType="separate"/>
      </w:r>
      <w:r w:rsidR="00A21020" w:rsidRPr="00A21020">
        <w:rPr>
          <w:noProof/>
        </w:rPr>
        <w:t>[3]</w:t>
      </w:r>
      <w:r w:rsidRPr="008A0D96">
        <w:fldChar w:fldCharType="end"/>
      </w:r>
      <w:r w:rsidRPr="008A0D96">
        <w:t xml:space="preserve"> </w:t>
      </w:r>
      <w:r w:rsidRPr="008E1636">
        <w:t>and has built an online catalogue. Its online catalogue currently contains more than 100,000 entries and still growing</w:t>
      </w:r>
      <w:r w:rsidRPr="008A0D96">
        <w:t xml:space="preserve"> </w:t>
      </w:r>
      <w:r w:rsidRPr="008A0D96">
        <w:fldChar w:fldCharType="begin" w:fldLock="1"/>
      </w:r>
      <w:r w:rsidR="00855388">
        <w:instrText>ADDIN CSL_CITATION {"citationItems":[{"id":"ITEM-1","itemData":{"URL":"https://www.shetlandmuseumandarchives.org.uk/collections/archive/resources","accessed":{"date-parts":[["2022","3","7"]]},"author":[{"dropping-particle":"","family":"Shetland Museum &amp; Archives","given":"","non-dropping-particle":"","parse-names":false,"suffix":""}],"container-title":"Official Website of Shetland Museum &amp; Archives","id":"ITEM-1","issued":{"date-parts":[["2022"]]},"title":"Online Resources","type":"webpage"},"uris":["http://www.mendeley.com/documents/?uuid=c83e3857-03df-37a3-a7fd-2a8902466491"]}],"mendeley":{"formattedCitation":"[4]","plainTextFormattedCitation":"[4]","previouslyFormattedCitation":"[4]"},"properties":{"noteIndex":0},"schema":"https://github.com/citation-style-language/schema/raw/master/csl-citation.json"}</w:instrText>
      </w:r>
      <w:r w:rsidRPr="008A0D96">
        <w:fldChar w:fldCharType="separate"/>
      </w:r>
      <w:r w:rsidR="00A21020" w:rsidRPr="00A21020">
        <w:rPr>
          <w:noProof/>
        </w:rPr>
        <w:t>[4]</w:t>
      </w:r>
      <w:r w:rsidRPr="008A0D96">
        <w:fldChar w:fldCharType="end"/>
      </w:r>
      <w:r w:rsidRPr="008A0D96">
        <w:t xml:space="preserve">. </w:t>
      </w:r>
    </w:p>
    <w:p w14:paraId="5C7556C6" w14:textId="7DDC1B46" w:rsidR="00B55347" w:rsidRDefault="00B55347" w:rsidP="00B55347">
      <w:pPr>
        <w:pStyle w:val="iPRESparagraphs"/>
      </w:pPr>
      <w:r>
        <w:rPr>
          <w:lang w:val="en-GB"/>
        </w:rPr>
        <w:t>The Gold Museum has digitis</w:t>
      </w:r>
      <w:r w:rsidR="008D105E">
        <w:rPr>
          <w:lang w:val="en-GB"/>
        </w:rPr>
        <w:t>ed</w:t>
      </w:r>
      <w:r>
        <w:rPr>
          <w:lang w:val="en-GB"/>
        </w:rPr>
        <w:t xml:space="preserve"> its collection since 2010 </w:t>
      </w:r>
      <w:r>
        <w:rPr>
          <w:lang w:val="en-GB"/>
        </w:rPr>
        <w:fldChar w:fldCharType="begin" w:fldLock="1"/>
      </w:r>
      <w:r w:rsidR="00732526">
        <w:rPr>
          <w:rFonts w:hint="eastAsia"/>
          <w:lang w:val="en-GB"/>
        </w:rPr>
        <w:instrText>ADDIN CSL_CITATION {"citationItems":[{"id":"ITEM-1","itemData":{"author":[{"dropping-particle":"","family":"Gold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)","non-dropping-particle":"","parse-names":false,"suffix":""}],"id":"ITEM-1","issued":{"date-parts":[["2020"]]},"number-of-pages":"64","publisher-place":"New Taipei City","title":"The Annual Report of the Gold Museum: 2020(2020</w:instrText>
      </w:r>
      <w:r w:rsidR="00732526">
        <w:rPr>
          <w:rFonts w:hint="eastAsia"/>
          <w:lang w:val="en-GB"/>
        </w:rPr>
        <w:instrText>新北市黃金博物館年報</w:instrText>
      </w:r>
      <w:r w:rsidR="00732526">
        <w:rPr>
          <w:rFonts w:hint="eastAsia"/>
          <w:lang w:val="en-GB"/>
        </w:rPr>
        <w:instrText>)","type":"report"},"uris":["http://www.mendeley.com/documents/?uuid=6335dcea-4a1a-4e17-8874-e496d2867a84"]},{"id":"ITEM-2","itemData":{"author":[{"dropping-particle":"","family":"Gold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)","non-dropping-particle":"","parse-names":false,"suffix":""}],"id":"ITEM-2","issued":{"date-parts":[["2019"]]},"number-of-pages":"62","publisher-place":"New Taipei City","title":"The Annual Report of the Gold Museum: 2019 (2019</w:instrText>
      </w:r>
      <w:r w:rsidR="00732526">
        <w:rPr>
          <w:rFonts w:hint="eastAsia"/>
          <w:lang w:val="en-GB"/>
        </w:rPr>
        <w:instrText>新北市黃金博物館年報</w:instrText>
      </w:r>
      <w:r w:rsidR="00732526">
        <w:rPr>
          <w:rFonts w:hint="eastAsia"/>
          <w:lang w:val="en-GB"/>
        </w:rPr>
        <w:instrText>)","type":"report"},"uris":["http://www.mendeley.com/documents/?uuid=5b9ddf6f-6a25-4d3c-8bac-1dfb3b674113"]}],"mendeley":{"formattedCitat</w:instrText>
      </w:r>
      <w:r w:rsidR="00732526">
        <w:rPr>
          <w:lang w:val="en-GB"/>
        </w:rPr>
        <w:instrText>ion":"[5], [6]","plainTextFormattedCitation":"[5], [6]","previouslyFormattedCitation":"[5], [6]"},"properties":{"noteIndex":0},"schema":"https://github.com/citation-style-language/schema/raw/master/csl-citation.json"}</w:instrText>
      </w:r>
      <w:r>
        <w:rPr>
          <w:lang w:val="en-GB"/>
        </w:rPr>
        <w:fldChar w:fldCharType="separate"/>
      </w:r>
      <w:r w:rsidR="00A21020" w:rsidRPr="00A21020">
        <w:rPr>
          <w:noProof/>
          <w:lang w:val="en-GB"/>
        </w:rPr>
        <w:t>[5], [6]</w:t>
      </w:r>
      <w:r>
        <w:rPr>
          <w:lang w:val="en-GB"/>
        </w:rPr>
        <w:fldChar w:fldCharType="end"/>
      </w:r>
      <w:r w:rsidR="005C7D3E">
        <w:rPr>
          <w:lang w:val="en-GB"/>
        </w:rPr>
        <w:t xml:space="preserve"> as well</w:t>
      </w:r>
      <w:r>
        <w:rPr>
          <w:lang w:val="en-GB"/>
        </w:rPr>
        <w:t>.</w:t>
      </w:r>
      <w:r w:rsidRPr="00E92C70">
        <w:rPr>
          <w:lang w:val="en-GB"/>
        </w:rPr>
        <w:t xml:space="preserve"> </w:t>
      </w:r>
      <w:r>
        <w:rPr>
          <w:lang w:val="en-GB"/>
        </w:rPr>
        <w:t>Until 2020, the Gold Museum had</w:t>
      </w:r>
      <w:r w:rsidR="00620940">
        <w:rPr>
          <w:lang w:val="en-GB"/>
        </w:rPr>
        <w:t xml:space="preserve"> 3D scanned </w:t>
      </w:r>
      <w:r w:rsidR="00620940">
        <w:t>12</w:t>
      </w:r>
      <w:r w:rsidR="00620940" w:rsidRPr="00C43FA9">
        <w:t xml:space="preserve"> contemporary</w:t>
      </w:r>
      <w:r w:rsidR="00620940">
        <w:t xml:space="preserve"> </w:t>
      </w:r>
      <w:r w:rsidR="00620940" w:rsidRPr="00C43FA9">
        <w:t>metal crafts</w:t>
      </w:r>
      <w:r w:rsidR="00620940">
        <w:rPr>
          <w:lang w:val="en-GB"/>
        </w:rPr>
        <w:t xml:space="preserve"> </w:t>
      </w:r>
      <w:r w:rsidR="00620940">
        <w:rPr>
          <w:lang w:val="en-GB"/>
        </w:rPr>
        <w:fldChar w:fldCharType="begin" w:fldLock="1"/>
      </w:r>
      <w:r w:rsidR="00732526">
        <w:rPr>
          <w:rFonts w:hint="eastAsia"/>
          <w:lang w:val="en-GB"/>
        </w:rPr>
        <w:instrText>ADDIN CSL_CITATION {"citationItems":[{"id":"ITEM-1","itemData":{"author":[{"dropping-particle":"","family":"Gold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)","non-dropping-particle":"","parse-names":false,"suffix":""}],"id":"ITEM-1","issued":{"date-parts":[["2019"]]},"number-of-pages":"62","publisher-place":"New Taipei City","title":"The Annual Report of the Gold Museum: 2019 (2019</w:instrText>
      </w:r>
      <w:r w:rsidR="00732526">
        <w:rPr>
          <w:rFonts w:hint="eastAsia"/>
          <w:lang w:val="en-GB"/>
        </w:rPr>
        <w:instrText>新北市黃金博物館年報</w:instrText>
      </w:r>
      <w:r w:rsidR="00732526">
        <w:rPr>
          <w:rFonts w:hint="eastAsia"/>
          <w:lang w:val="en-GB"/>
        </w:rPr>
        <w:instrText>)","type":"report"},"uris":["http://www.mendeley.com/documents/?uuid=5b9ddf6f-6a25-4d3c-8bac-1dfb3b67411</w:instrText>
      </w:r>
      <w:r w:rsidR="00732526">
        <w:rPr>
          <w:lang w:val="en-GB"/>
        </w:rPr>
        <w:instrText>3"]}],"mendeley":{"formattedCitation":"[6]","plainTextFormattedCitation":"[6]","previouslyFormattedCitation":"[6]"},"properties":{"noteIndex":0},"schema":"https://github.com/citation-style-language/schema/raw/master/csl-citation.json"}</w:instrText>
      </w:r>
      <w:r w:rsidR="00620940">
        <w:rPr>
          <w:lang w:val="en-GB"/>
        </w:rPr>
        <w:fldChar w:fldCharType="separate"/>
      </w:r>
      <w:r w:rsidR="00620940" w:rsidRPr="00A21020">
        <w:rPr>
          <w:noProof/>
          <w:lang w:val="en-GB"/>
        </w:rPr>
        <w:t>[6]</w:t>
      </w:r>
      <w:r w:rsidR="00620940">
        <w:rPr>
          <w:lang w:val="en-GB"/>
        </w:rPr>
        <w:fldChar w:fldCharType="end"/>
      </w:r>
      <w:r w:rsidR="00620940">
        <w:rPr>
          <w:lang w:val="en-GB"/>
        </w:rPr>
        <w:t xml:space="preserve"> and </w:t>
      </w:r>
      <w:r>
        <w:rPr>
          <w:lang w:val="en-GB"/>
        </w:rPr>
        <w:t xml:space="preserve">digitised </w:t>
      </w:r>
      <w:r w:rsidRPr="009B426A">
        <w:rPr>
          <w:rFonts w:hint="eastAsia"/>
        </w:rPr>
        <w:t>1,045</w:t>
      </w:r>
      <w:r>
        <w:t xml:space="preserve"> items with </w:t>
      </w:r>
      <w:r w:rsidRPr="009B426A">
        <w:rPr>
          <w:rFonts w:hint="eastAsia"/>
        </w:rPr>
        <w:t>2,907</w:t>
      </w:r>
      <w:r>
        <w:t xml:space="preserve"> images and </w:t>
      </w:r>
      <w:r w:rsidRPr="009B426A">
        <w:rPr>
          <w:rFonts w:hint="eastAsia"/>
        </w:rPr>
        <w:t>192</w:t>
      </w:r>
      <w:r>
        <w:t xml:space="preserve"> historical documents, including </w:t>
      </w:r>
      <w:r w:rsidRPr="009B426A">
        <w:rPr>
          <w:rFonts w:hint="eastAsia"/>
        </w:rPr>
        <w:t>20,375</w:t>
      </w:r>
      <w:r>
        <w:t xml:space="preserve"> pages and 25 individual pictures </w:t>
      </w:r>
      <w:r>
        <w:rPr>
          <w:lang w:val="en-GB"/>
        </w:rPr>
        <w:fldChar w:fldCharType="begin" w:fldLock="1"/>
      </w:r>
      <w:r w:rsidR="00732526">
        <w:rPr>
          <w:rFonts w:hint="eastAsia"/>
          <w:lang w:val="en-GB"/>
        </w:rPr>
        <w:instrText>ADDIN CSL_CITATION {"citationItems":[{"id":"ITEM-1","itemData":{"author":[{"dropping-particle":"","family":"Gold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)","non-dropping-particle":"","parse-names":false,"suffix":""}],"id":"ITEM-1","issued":{"date-parts":[["2020"]]},"number-of-pages":"64","publisher-place":"New Taipei City","title":"The Annual Report of the Gold Museum: 2020(2020</w:instrText>
      </w:r>
      <w:r w:rsidR="00732526">
        <w:rPr>
          <w:rFonts w:hint="eastAsia"/>
          <w:lang w:val="en-GB"/>
        </w:rPr>
        <w:instrText>新北市黃金博物館年報</w:instrText>
      </w:r>
      <w:r w:rsidR="00732526">
        <w:rPr>
          <w:rFonts w:hint="eastAsia"/>
          <w:lang w:val="en-GB"/>
        </w:rPr>
        <w:instrText>)","type":"report"},"uris":["http://www.mendeley.com/documents/?uuid=6335dcea-4a1a-4e17-8874-e496d2867a84</w:instrText>
      </w:r>
      <w:r w:rsidR="00732526">
        <w:rPr>
          <w:lang w:val="en-GB"/>
        </w:rPr>
        <w:instrText>"]}],"mendeley":{"formattedCitation":"[5]","plainTextFormattedCitation":"[5]","previouslyFormattedCitation":"[5]"},"properties":{"noteIndex":0},"schema":"https://github.com/citation-style-language/schema/raw/master/csl-citation.json"}</w:instrText>
      </w:r>
      <w:r>
        <w:rPr>
          <w:lang w:val="en-GB"/>
        </w:rPr>
        <w:fldChar w:fldCharType="separate"/>
      </w:r>
      <w:r w:rsidR="00A21020" w:rsidRPr="00A21020">
        <w:rPr>
          <w:noProof/>
          <w:lang w:val="en-GB"/>
        </w:rPr>
        <w:t>[5]</w:t>
      </w:r>
      <w:r>
        <w:rPr>
          <w:lang w:val="en-GB"/>
        </w:rPr>
        <w:fldChar w:fldCharType="end"/>
      </w:r>
      <w:r>
        <w:t>.</w:t>
      </w:r>
    </w:p>
    <w:p w14:paraId="1C8EE1BF" w14:textId="6AF4342A" w:rsidR="001809E7" w:rsidRPr="005C7D3E" w:rsidRDefault="00711E6D" w:rsidP="005C7D3E">
      <w:pPr>
        <w:pStyle w:val="iPRESparagraphs"/>
      </w:pPr>
      <w:r w:rsidRPr="00711E6D">
        <w:t xml:space="preserve">However, the preservation in </w:t>
      </w:r>
      <w:r w:rsidR="003D13F1">
        <w:t xml:space="preserve">the </w:t>
      </w:r>
      <w:r w:rsidRPr="00711E6D">
        <w:t>Gold Museum is a governmental instituted process. These created a delicate situation for the Gold Museum to participate in the Shui-Chin-Chiu Geopark. On the one hand, developing a participatory archival platform in the Gold Museum is difficult with limited funding. On the other hand, the Gold Museum needs to follow national policies, delivering digital collections to the public via the Consolidated Cultural Archives System (CCAS</w:t>
      </w:r>
      <w:r>
        <w:t>)</w:t>
      </w:r>
      <w:r w:rsidR="005C7D3E">
        <w:rPr>
          <w:lang w:val="en-GB"/>
        </w:rPr>
        <w:t xml:space="preserve"> </w:t>
      </w:r>
      <w:r w:rsidR="00B55347">
        <w:fldChar w:fldCharType="begin" w:fldLock="1"/>
      </w:r>
      <w:r w:rsidR="00732526">
        <w:rPr>
          <w:rFonts w:hint="eastAsia"/>
        </w:rPr>
        <w:instrText>ADDIN CSL_CITATION {"citationItems":[{"id":"ITEM-1","itemData":{"author":[{"dropping-particle":"","family":"Gold Museum","given":"New Taipei City Gevernment (</w:instrText>
      </w:r>
      <w:r w:rsidR="00732526">
        <w:rPr>
          <w:rFonts w:hint="eastAsia"/>
        </w:rPr>
        <w:instrText>新北市立黃金博物館</w:instrText>
      </w:r>
      <w:r w:rsidR="00732526">
        <w:rPr>
          <w:rFonts w:hint="eastAsia"/>
        </w:rPr>
        <w:instrText>)","non-dropping-particle":"","parse-names":false,"suffix":""}],"id":"ITEM-1","issued":{"date-parts":[["2019"]]},"number-of-pages":"62","publisher-place":"New Taipei City","title":"The Annual Report of the Gold Museum: 2019 (2019</w:instrText>
      </w:r>
      <w:r w:rsidR="00732526">
        <w:rPr>
          <w:rFonts w:hint="eastAsia"/>
        </w:rPr>
        <w:instrText>新北市黃金博物館年報</w:instrText>
      </w:r>
      <w:r w:rsidR="00732526">
        <w:rPr>
          <w:rFonts w:hint="eastAsia"/>
        </w:rPr>
        <w:instrText>)","type":"report"},"locator":"19","uris":["http://www.mendeley.com/documents/?uuid=5b9ddf6f-6a25-4d3c-8</w:instrText>
      </w:r>
      <w:r w:rsidR="00732526">
        <w:instrText>bac-1dfb3b674113"]}],"mendeley":{"formattedCitation":"[6, p. 19]","plainTextFormattedCitation":"[6, p. 19]","previouslyFormattedCitation":"[6, p. 19]"},"properties":{"noteIndex":0},"schema":"https://github.com/citation-style-language/schema/raw/master/csl-citation.json"}</w:instrText>
      </w:r>
      <w:r w:rsidR="00B55347">
        <w:fldChar w:fldCharType="separate"/>
      </w:r>
      <w:r w:rsidR="00A21020" w:rsidRPr="00A21020">
        <w:rPr>
          <w:noProof/>
        </w:rPr>
        <w:t>[6, p. 19]</w:t>
      </w:r>
      <w:r w:rsidR="00B55347">
        <w:fldChar w:fldCharType="end"/>
      </w:r>
      <w:r w:rsidR="00A3319C">
        <w:t>, which</w:t>
      </w:r>
      <w:r w:rsidR="00680E88">
        <w:rPr>
          <w:lang w:val="en-GB"/>
        </w:rPr>
        <w:t xml:space="preserve"> has </w:t>
      </w:r>
      <w:r w:rsidR="00392CD2">
        <w:rPr>
          <w:rFonts w:hint="eastAsia"/>
          <w:lang w:val="en-GB"/>
        </w:rPr>
        <w:t>p</w:t>
      </w:r>
      <w:r w:rsidR="00392CD2">
        <w:rPr>
          <w:lang w:val="en-GB"/>
        </w:rPr>
        <w:t xml:space="preserve">oor </w:t>
      </w:r>
      <w:r w:rsidR="00680E88" w:rsidRPr="00392CD2">
        <w:rPr>
          <w:rFonts w:hint="eastAsia"/>
          <w:color w:val="000000" w:themeColor="text1"/>
          <w:lang w:val="en-GB"/>
        </w:rPr>
        <w:t>u</w:t>
      </w:r>
      <w:r w:rsidR="00680E88" w:rsidRPr="00392CD2">
        <w:rPr>
          <w:color w:val="000000" w:themeColor="text1"/>
          <w:lang w:val="en-GB"/>
        </w:rPr>
        <w:t>sability</w:t>
      </w:r>
      <w:r w:rsidR="00A21020">
        <w:rPr>
          <w:color w:val="000000" w:themeColor="text1"/>
          <w:lang w:val="en-GB"/>
        </w:rPr>
        <w:t xml:space="preserve"> </w:t>
      </w:r>
      <w:r w:rsidR="00A21020">
        <w:rPr>
          <w:color w:val="000000" w:themeColor="text1"/>
          <w:lang w:val="en-GB"/>
        </w:rPr>
        <w:fldChar w:fldCharType="begin" w:fldLock="1"/>
      </w:r>
      <w:r w:rsidR="003B24BB">
        <w:rPr>
          <w:rFonts w:hint="eastAsia"/>
          <w:color w:val="000000" w:themeColor="text1"/>
          <w:lang w:val="en-GB"/>
        </w:rPr>
        <w:instrText>ADDIN CSL_CITATION {"citationItems":[{"id":"ITEM-1","itemData":{"DOI":"10.6686/MuseQ.201807_32(3).0004","ISSN":"1029-3140","abstract":"</w:instrText>
      </w:r>
      <w:r w:rsidR="003B24BB">
        <w:rPr>
          <w:rFonts w:hint="eastAsia"/>
          <w:color w:val="000000" w:themeColor="text1"/>
          <w:lang w:val="en-GB"/>
        </w:rPr>
        <w:instrText>藏品編目為藏品管理重要的一環，藏品自捐贈、購藏、移轉等管道進入博物館之後，藏品相關資料（包括基本資料、詮釋資料、研究資料）正確性的管控決定了藏品的價值，也是日後如何應用藏品的重要關鍵。然而對比圖書編目已發展出一套行之多年的編目規則及相關規範，臺灣的博物館卻尚未發展出關於藏品、文物通則性的編目規則，以作為共通的管理語言，因此本文試圖透過文獻回顧與分析，瞭解美國博物館文物詮釋資料標準發展的脈絡與特色，藉以理解藏品編目所涉及的內涵。其次進一步以國立臺灣歷史博物館為例，介紹該館藏品編目的發展歷程與相關規則。最後以實務操作面臨到的問題，分享經驗，並作為討論的基礎，提出建議，探討博物館的藏品編目是否需要一套共用的編目規則或標準，以求描述的一致性，進而作為推動藏品編目專業化的開端。</w:instrText>
      </w:r>
      <w:r w:rsidR="003B24BB">
        <w:rPr>
          <w:rFonts w:hint="eastAsia"/>
          <w:color w:val="000000" w:themeColor="text1"/>
          <w:lang w:val="en-GB"/>
        </w:rPr>
        <w:instrText>","author":[{"dropping-particle":"","family":"Chang","given":"Shu-Ching(</w:instrText>
      </w:r>
      <w:r w:rsidR="003B24BB">
        <w:rPr>
          <w:rFonts w:hint="eastAsia"/>
          <w:color w:val="000000" w:themeColor="text1"/>
          <w:lang w:val="en-GB"/>
        </w:rPr>
        <w:instrText>張淑卿</w:instrText>
      </w:r>
      <w:r w:rsidR="003B24BB">
        <w:rPr>
          <w:rFonts w:hint="eastAsia"/>
          <w:color w:val="000000" w:themeColor="text1"/>
          <w:lang w:val="en-GB"/>
        </w:rPr>
        <w:instrText>)","non-dropping-particle":"","parse-names":false,"suffix":""}],"container-title":"</w:instrText>
      </w:r>
      <w:r w:rsidR="003B24BB">
        <w:rPr>
          <w:rFonts w:hint="eastAsia"/>
          <w:color w:val="000000" w:themeColor="text1"/>
          <w:lang w:val="en-GB"/>
        </w:rPr>
        <w:instrText>博物館學季刊</w:instrText>
      </w:r>
      <w:r w:rsidR="003B24BB">
        <w:rPr>
          <w:rFonts w:hint="eastAsia"/>
          <w:color w:val="000000" w:themeColor="text1"/>
          <w:lang w:val="en-GB"/>
        </w:rPr>
        <w:instrText>","id":"ITEM-1","issue":"3","issued":{"date-parts":[["2018"]]},"language":"</w:instrText>
      </w:r>
      <w:r w:rsidR="003B24BB">
        <w:rPr>
          <w:rFonts w:hint="eastAsia"/>
          <w:color w:val="000000" w:themeColor="text1"/>
          <w:lang w:val="en-GB"/>
        </w:rPr>
        <w:instrText>繁體中文</w:instrText>
      </w:r>
      <w:r w:rsidR="003B24BB">
        <w:rPr>
          <w:rFonts w:hint="eastAsia"/>
          <w:color w:val="000000" w:themeColor="text1"/>
          <w:lang w:val="en-GB"/>
        </w:rPr>
        <w:instrText>","page":"63-79","publisher":"</w:instrText>
      </w:r>
      <w:r w:rsidR="003B24BB">
        <w:rPr>
          <w:rFonts w:hint="eastAsia"/>
          <w:color w:val="000000" w:themeColor="text1"/>
          <w:lang w:val="en-GB"/>
        </w:rPr>
        <w:instrText>國立自然科學博物館</w:instrText>
      </w:r>
      <w:r w:rsidR="003B24BB">
        <w:rPr>
          <w:rFonts w:hint="eastAsia"/>
          <w:color w:val="000000" w:themeColor="text1"/>
          <w:lang w:val="en-GB"/>
        </w:rPr>
        <w:instrText>","title":"Cataloging of Cultural Objects - Issues and Suggestions for Improvement: Example of the National Museum of Taiwan History (</w:instrText>
      </w:r>
      <w:r w:rsidR="003B24BB">
        <w:rPr>
          <w:rFonts w:hint="eastAsia"/>
          <w:color w:val="000000" w:themeColor="text1"/>
          <w:lang w:val="en-GB"/>
        </w:rPr>
        <w:instrText>博物館藏品編目實務面向的問題與改善建議－以國立臺灣歷史博物館為例</w:instrText>
      </w:r>
      <w:r w:rsidR="003B24BB">
        <w:rPr>
          <w:rFonts w:hint="eastAsia"/>
          <w:color w:val="000000" w:themeColor="text1"/>
          <w:lang w:val="en-GB"/>
        </w:rPr>
        <w:instrText>)","type":"article-journal","volume":"32"},"uris":["http://www.mendeley.com/documents/?uuid=f58386ee-5d63-4c92-bcd0-8183baf2c819"]},{"id":"ITEM-2","itemData":{"author":[{"dropping-particle":"","family":"Chen","given":"Shu-Juo (</w:instrText>
      </w:r>
      <w:r w:rsidR="003B24BB">
        <w:rPr>
          <w:rFonts w:hint="eastAsia"/>
          <w:color w:val="000000" w:themeColor="text1"/>
          <w:lang w:val="en-GB"/>
        </w:rPr>
        <w:instrText>陳叔倬</w:instrText>
      </w:r>
      <w:r w:rsidR="003B24BB">
        <w:rPr>
          <w:rFonts w:hint="eastAsia"/>
          <w:color w:val="000000" w:themeColor="text1"/>
          <w:lang w:val="en-GB"/>
        </w:rPr>
        <w:instrText>)","non-dropping-particle":"","parse-names":false,"suffix":""}],"container-title":"</w:instrText>
      </w:r>
      <w:r w:rsidR="003B24BB">
        <w:rPr>
          <w:rFonts w:hint="eastAsia"/>
          <w:color w:val="000000" w:themeColor="text1"/>
          <w:lang w:val="en-GB"/>
        </w:rPr>
        <w:instrText>國立自然科學博物館館訊</w:instrText>
      </w:r>
      <w:r w:rsidR="003B24BB">
        <w:rPr>
          <w:rFonts w:hint="eastAsia"/>
          <w:color w:val="000000" w:themeColor="text1"/>
          <w:lang w:val="en-GB"/>
        </w:rPr>
        <w:instrText>","id":"ITEM-2","issued":{"date-parts":[["2020","4"]]},"page":"4-5","title":"</w:instrText>
      </w:r>
      <w:r w:rsidR="003B24BB">
        <w:rPr>
          <w:rFonts w:hint="eastAsia"/>
          <w:color w:val="000000" w:themeColor="text1"/>
          <w:lang w:val="en-GB"/>
        </w:rPr>
        <w:instrText>文化部文物典藏共構系統中分類欄位的標準化問題</w:instrText>
      </w:r>
      <w:r w:rsidR="003B24BB">
        <w:rPr>
          <w:rFonts w:hint="eastAsia"/>
          <w:color w:val="000000" w:themeColor="text1"/>
          <w:lang w:val="en-GB"/>
        </w:rPr>
        <w:instrText>","type":"article-journal","volume":"389"},"uris":["http://www.mendeley.com/documents/?uuid=8ebeafea-5fbc-3f30-9fb5-934569cc18b7"]}],"mendeley":{"formattedCitation":"[7], [8]","plainText</w:instrText>
      </w:r>
      <w:r w:rsidR="003B24BB">
        <w:rPr>
          <w:color w:val="000000" w:themeColor="text1"/>
          <w:lang w:val="en-GB"/>
        </w:rPr>
        <w:instrText>FormattedCitation":"[7], [8]","previouslyFormattedCitation":"[7], [8]"},"properties":{"noteIndex":0},"schema":"https://github.com/citation-style-language/schema/raw/master/csl-citation.json"}</w:instrText>
      </w:r>
      <w:r w:rsidR="00A21020">
        <w:rPr>
          <w:color w:val="000000" w:themeColor="text1"/>
          <w:lang w:val="en-GB"/>
        </w:rPr>
        <w:fldChar w:fldCharType="separate"/>
      </w:r>
      <w:r w:rsidR="00855388" w:rsidRPr="00855388">
        <w:rPr>
          <w:noProof/>
          <w:color w:val="000000" w:themeColor="text1"/>
          <w:lang w:val="en-GB"/>
        </w:rPr>
        <w:t>[7], [8]</w:t>
      </w:r>
      <w:r w:rsidR="00A21020">
        <w:rPr>
          <w:color w:val="000000" w:themeColor="text1"/>
          <w:lang w:val="en-GB"/>
        </w:rPr>
        <w:fldChar w:fldCharType="end"/>
      </w:r>
      <w:r w:rsidR="00A3319C">
        <w:rPr>
          <w:color w:val="000000" w:themeColor="text1"/>
          <w:lang w:val="en-GB"/>
        </w:rPr>
        <w:t xml:space="preserve">. </w:t>
      </w:r>
      <w:r w:rsidR="00E80855" w:rsidRPr="00E80855">
        <w:rPr>
          <w:color w:val="000000" w:themeColor="text1"/>
          <w:lang w:val="en-GB"/>
        </w:rPr>
        <w:t>Th</w:t>
      </w:r>
      <w:r w:rsidR="003D13F1">
        <w:rPr>
          <w:color w:val="000000" w:themeColor="text1"/>
          <w:lang w:val="en-GB"/>
        </w:rPr>
        <w:t>is arrangement</w:t>
      </w:r>
      <w:r w:rsidR="00E80855" w:rsidRPr="00E80855">
        <w:rPr>
          <w:color w:val="000000" w:themeColor="text1"/>
          <w:lang w:val="en-GB"/>
        </w:rPr>
        <w:t xml:space="preserve"> might be</w:t>
      </w:r>
      <w:r w:rsidR="00680E88" w:rsidRPr="00392CD2">
        <w:rPr>
          <w:color w:val="000000" w:themeColor="text1"/>
          <w:lang w:val="en-GB"/>
        </w:rPr>
        <w:t xml:space="preserve"> why the </w:t>
      </w:r>
      <w:r w:rsidR="00680E88" w:rsidRPr="00392CD2">
        <w:rPr>
          <w:color w:val="000000" w:themeColor="text1"/>
          <w:lang w:val="en-GB"/>
        </w:rPr>
        <w:lastRenderedPageBreak/>
        <w:t xml:space="preserve">Gold Museum </w:t>
      </w:r>
      <w:r w:rsidR="008D105E" w:rsidRPr="00392CD2">
        <w:rPr>
          <w:color w:val="000000" w:themeColor="text1"/>
          <w:lang w:val="en-GB"/>
        </w:rPr>
        <w:t>only</w:t>
      </w:r>
      <w:r w:rsidR="008D105E">
        <w:rPr>
          <w:lang w:val="en-GB"/>
        </w:rPr>
        <w:t xml:space="preserve"> authorised seven cases </w:t>
      </w:r>
      <w:r w:rsidR="00EE0882">
        <w:rPr>
          <w:lang w:val="en-GB"/>
        </w:rPr>
        <w:t>to use</w:t>
      </w:r>
      <w:r w:rsidR="008D105E">
        <w:rPr>
          <w:lang w:val="en-GB"/>
        </w:rPr>
        <w:t xml:space="preserve"> their collection from 2018 to 2020 </w:t>
      </w:r>
      <w:r w:rsidR="008D105E">
        <w:rPr>
          <w:lang w:val="en-GB"/>
        </w:rPr>
        <w:fldChar w:fldCharType="begin" w:fldLock="1"/>
      </w:r>
      <w:r w:rsidR="00732526">
        <w:rPr>
          <w:rFonts w:hint="eastAsia"/>
          <w:lang w:val="en-GB"/>
        </w:rPr>
        <w:instrText>ADDIN CSL_CITATION {"citationItems":[{"id":"ITEM-1","itemData":{"author":[{"dropping-particle":"","family":"Gold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)","non-dropping-particle":"","parse-names":false,"suffix":""}],"id":"ITEM-1","issued":{"date-parts":[["2020"]]},"number-of-pages":"64","publisher-place":"New Taipei City","title":"The Annual Report of the Gold Museum: 2020(2020</w:instrText>
      </w:r>
      <w:r w:rsidR="00732526">
        <w:rPr>
          <w:rFonts w:hint="eastAsia"/>
          <w:lang w:val="en-GB"/>
        </w:rPr>
        <w:instrText>新北市黃金博物館年報</w:instrText>
      </w:r>
      <w:r w:rsidR="00732526">
        <w:rPr>
          <w:rFonts w:hint="eastAsia"/>
          <w:lang w:val="en-GB"/>
        </w:rPr>
        <w:instrText>)","type":"report"},"uris":["http://www.mendeley.com/documents/?uuid=6335dcea-4a1a-4e17-8874-e496d2867a84"]},{"id":"ITEM-2","itemData":{"author":[{"dropping-particle":"","family":"Gold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)","non-dropping-particle":"","parse-names":false,"suffix":""}],"id":"ITEM-2","issued":{"date-parts":[["2019"]]},"number-of-pages":"62","publisher-place":"New Taipei City","title":"The Annual Report of the Gold Museum: 2019 (2019</w:instrText>
      </w:r>
      <w:r w:rsidR="00732526">
        <w:rPr>
          <w:rFonts w:hint="eastAsia"/>
          <w:lang w:val="en-GB"/>
        </w:rPr>
        <w:instrText>新北市黃金博物館年報</w:instrText>
      </w:r>
      <w:r w:rsidR="00732526">
        <w:rPr>
          <w:rFonts w:hint="eastAsia"/>
          <w:lang w:val="en-GB"/>
        </w:rPr>
        <w:instrText>)","type":"report"},"uris":["http://www.mendeley.com/documents/?uuid=5b9ddf6f-6a25-4d3c-8bac-1dfb3b674113"]},{"id":"ITEM-3","itemData":{"author":[{"dropping-particle":"","family":"Gold Museum","given":"New Taipei City Gevernment (</w:instrText>
      </w:r>
      <w:r w:rsidR="00732526">
        <w:rPr>
          <w:rFonts w:hint="eastAsia"/>
          <w:lang w:val="en-GB"/>
        </w:rPr>
        <w:instrText>新北市立黃金博物館</w:instrText>
      </w:r>
      <w:r w:rsidR="00732526">
        <w:rPr>
          <w:rFonts w:hint="eastAsia"/>
          <w:lang w:val="en-GB"/>
        </w:rPr>
        <w:instrText>)","non-dropping-particle":"","parse-names":false,"suffix":""}],"id":"ITEM-3","issued":{"date-parts":[["2018"]]},"publisher-place":"New Taipe City","title":"The Annual Report of the Gold Museum: 2018 (2018</w:instrText>
      </w:r>
      <w:r w:rsidR="00732526">
        <w:rPr>
          <w:rFonts w:hint="eastAsia"/>
          <w:lang w:val="en-GB"/>
        </w:rPr>
        <w:instrText>新北市黃金博物館年報</w:instrText>
      </w:r>
      <w:r w:rsidR="00732526">
        <w:rPr>
          <w:rFonts w:hint="eastAsia"/>
          <w:lang w:val="en-GB"/>
        </w:rPr>
        <w:instrText xml:space="preserve">)","type":"report"},"uris":["http://www.mendeley.com/documents/?uuid=f04dadb6-6670-4ca9-8816-3acdf71e6a63"]}],"mendeley":{"formattedCitation":"[5], [6], [9]","plainTextFormattedCitation":"[5], </w:instrText>
      </w:r>
      <w:r w:rsidR="00732526">
        <w:rPr>
          <w:lang w:val="en-GB"/>
        </w:rPr>
        <w:instrText>[6], [9]","previouslyFormattedCitation":"[5], [6], [9]"},"properties":{"noteIndex":0},"schema":"https://github.com/citation-style-language/schema/raw/master/csl-citation.json"}</w:instrText>
      </w:r>
      <w:r w:rsidR="008D105E">
        <w:rPr>
          <w:lang w:val="en-GB"/>
        </w:rPr>
        <w:fldChar w:fldCharType="separate"/>
      </w:r>
      <w:r w:rsidR="00855388" w:rsidRPr="00855388">
        <w:rPr>
          <w:noProof/>
          <w:lang w:val="en-GB"/>
        </w:rPr>
        <w:t>[5], [6], [9]</w:t>
      </w:r>
      <w:r w:rsidR="008D105E">
        <w:rPr>
          <w:lang w:val="en-GB"/>
        </w:rPr>
        <w:fldChar w:fldCharType="end"/>
      </w:r>
      <w:r w:rsidR="001809E7">
        <w:rPr>
          <w:lang w:val="en-GB"/>
        </w:rPr>
        <w:t>.</w:t>
      </w:r>
    </w:p>
    <w:p w14:paraId="3C270B4E" w14:textId="71D767A7" w:rsidR="00B00CCE" w:rsidRPr="00B00CCE" w:rsidRDefault="00B00CCE" w:rsidP="00B00CCE">
      <w:pPr>
        <w:pStyle w:val="1"/>
        <w:numPr>
          <w:ilvl w:val="0"/>
          <w:numId w:val="3"/>
        </w:numPr>
      </w:pPr>
      <w:r>
        <w:rPr>
          <w:lang w:val="en-GB"/>
        </w:rPr>
        <w:t>Methodology</w:t>
      </w:r>
    </w:p>
    <w:p w14:paraId="0358AA04" w14:textId="71C5E713" w:rsidR="00FD54FC" w:rsidRPr="00B55347" w:rsidRDefault="00E740BA" w:rsidP="00B00CCE">
      <w:pPr>
        <w:pStyle w:val="iPRESparagraphs"/>
        <w:rPr>
          <w:lang w:val="en-GB"/>
        </w:rPr>
      </w:pPr>
      <w:r w:rsidRPr="00E740BA">
        <w:rPr>
          <w:lang w:val="en-GB"/>
        </w:rPr>
        <w:t>This research adopted the DCC curation lifecycle model</w:t>
      </w:r>
      <w:r w:rsidR="00B55347">
        <w:t xml:space="preserve"> </w:t>
      </w:r>
      <w:r w:rsidR="00B55347">
        <w:fldChar w:fldCharType="begin" w:fldLock="1"/>
      </w:r>
      <w:r w:rsidR="0081708C">
        <w:instrText>ADDIN CSL_CITATION {"citationItems":[{"id":"ITEM-1","itemData":{"DOI":"10.2218/IJDC.V3I1.48","abstract":"Lifecycle management of digital materials is necessary to ensure their continuity. The DCC Curation Lifecycle Model has been developed as a generic, curation-specific, tool which can be used, in conjunction with relevant standards, to plan curation and preservation activities to different levels of granularity. The DCC will use the model: as a training tool for data creators, data curators and data users; to organise and plan their resources; and to help organisations identify risks to their digital assets and plan management strategies for their successful curation.","author":[{"dropping-particle":"","family":"Higgins","given":"Sarah","non-dropping-particle":"","parse-names":false,"suffix":""}],"container-title":"International Journal of Digital Curation","id":"ITEM-1","issue":"1","issued":{"date-parts":[["2008","12","2"]]},"page":"134-140","publisher":"Edinburgh University Library","title":"The DCC Curation Lifecycle Model","type":"article-journal","volume":"3"},"uris":["http://www.mendeley.com/documents/?uuid=c474722f-8ad3-3191-b795-0a05da66aadc"]}],"mendeley":{"formattedCitation":"[10]","plainTextFormattedCitation":"[10]","previouslyFormattedCitation":"[10]"},"properties":{"noteIndex":0},"schema":"https://github.com/citation-style-language/schema/raw/master/csl-citation.json"}</w:instrText>
      </w:r>
      <w:r w:rsidR="00B55347">
        <w:fldChar w:fldCharType="separate"/>
      </w:r>
      <w:r w:rsidR="00E6587A" w:rsidRPr="00E6587A">
        <w:rPr>
          <w:noProof/>
        </w:rPr>
        <w:t>[10]</w:t>
      </w:r>
      <w:r w:rsidR="00B55347">
        <w:fldChar w:fldCharType="end"/>
      </w:r>
      <w:r w:rsidR="00EE0882" w:rsidRPr="00EE0882">
        <w:t xml:space="preserve"> </w:t>
      </w:r>
      <w:r w:rsidR="00711E6D" w:rsidRPr="00711E6D">
        <w:t>to illustrate how controversies developed while the museum balanced the need to engage with the public and follow the policies.</w:t>
      </w:r>
      <w:r w:rsidRPr="00E740BA">
        <w:t xml:space="preserve"> In terms of detecting potential challenges in usability issues, this research borrowed the persona created by the National Archives to simulate user journey maps.</w:t>
      </w:r>
    </w:p>
    <w:p w14:paraId="00000036" w14:textId="599B6AE8" w:rsidR="00CB39CA" w:rsidRDefault="00B00CCE">
      <w:pPr>
        <w:pStyle w:val="1"/>
        <w:numPr>
          <w:ilvl w:val="0"/>
          <w:numId w:val="3"/>
        </w:numPr>
      </w:pPr>
      <w:r>
        <w:t>Conclusion</w:t>
      </w:r>
    </w:p>
    <w:p w14:paraId="00000038" w14:textId="7BF143E0" w:rsidR="00CB39CA" w:rsidRPr="0033452E" w:rsidRDefault="00711E6D" w:rsidP="00E740BA">
      <w:pPr>
        <w:pStyle w:val="iPRESparagraphs"/>
      </w:pPr>
      <w:r w:rsidRPr="00711E6D">
        <w:t>This study is a pilot study in my PhD research. By scoping the problem with user journey</w:t>
      </w:r>
      <w:r w:rsidR="006C2FBE">
        <w:t>s</w:t>
      </w:r>
      <w:r w:rsidRPr="00711E6D">
        <w:t>, this study provided a basis to understand users from the source community and the role of the museum. The result will continue to be examined in subsequent interviews. The observation from this study can assist museums in avoiding risk and conflict while developing a socially sustainable digital preservation plan. Specifically, this study discovered a range of subjects for museums to communicate with stakeholders and investigate in user research. In this way, the museum can effectively respond to conflicting requests from the local communities and the governmental agencies in the context of a geopark.</w:t>
      </w:r>
    </w:p>
    <w:p w14:paraId="00000039" w14:textId="77777777" w:rsidR="00CB39CA" w:rsidRDefault="00523B2E" w:rsidP="00A50C17">
      <w:pPr>
        <w:pStyle w:val="1"/>
        <w:numPr>
          <w:ilvl w:val="0"/>
          <w:numId w:val="0"/>
        </w:numPr>
      </w:pPr>
      <w:r>
        <w:t>REFERENCES</w:t>
      </w:r>
    </w:p>
    <w:p w14:paraId="39C59587" w14:textId="174513B2" w:rsidR="00732526" w:rsidRPr="00732526" w:rsidRDefault="002C7CFF" w:rsidP="00732526">
      <w:pPr>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732526" w:rsidRPr="00732526">
        <w:rPr>
          <w:noProof/>
        </w:rPr>
        <w:t>[1]</w:t>
      </w:r>
      <w:r w:rsidR="00732526" w:rsidRPr="00732526">
        <w:rPr>
          <w:noProof/>
        </w:rPr>
        <w:tab/>
        <w:t xml:space="preserve">R. B. Phillips, “Part 3: Community Collaboration in Exhibitions Section Introduction,” in </w:t>
      </w:r>
      <w:r w:rsidR="00732526" w:rsidRPr="00732526">
        <w:rPr>
          <w:i/>
          <w:iCs/>
          <w:noProof/>
        </w:rPr>
        <w:t>Museums and source communities</w:t>
      </w:r>
      <w:r w:rsidR="00732526" w:rsidRPr="00732526">
        <w:rPr>
          <w:rFonts w:ascii="Arial" w:hAnsi="Arial" w:cs="Arial"/>
          <w:i/>
          <w:iCs/>
          <w:noProof/>
        </w:rPr>
        <w:t> </w:t>
      </w:r>
      <w:r w:rsidR="00732526" w:rsidRPr="00732526">
        <w:rPr>
          <w:i/>
          <w:iCs/>
          <w:noProof/>
        </w:rPr>
        <w:t>: a Routledge reader</w:t>
      </w:r>
      <w:r w:rsidR="00732526" w:rsidRPr="00732526">
        <w:rPr>
          <w:noProof/>
        </w:rPr>
        <w:t>, L. L. Peers and A. K. Brown, Eds. New York: Routledge, 2003, p. 280.</w:t>
      </w:r>
    </w:p>
    <w:p w14:paraId="6C0622C6" w14:textId="77777777" w:rsidR="00732526" w:rsidRPr="00732526" w:rsidRDefault="00732526" w:rsidP="00732526">
      <w:pPr>
        <w:autoSpaceDE w:val="0"/>
        <w:autoSpaceDN w:val="0"/>
        <w:adjustRightInd w:val="0"/>
        <w:ind w:left="640" w:hanging="640"/>
        <w:rPr>
          <w:noProof/>
        </w:rPr>
      </w:pPr>
      <w:r w:rsidRPr="00732526">
        <w:rPr>
          <w:noProof/>
        </w:rPr>
        <w:t>[2]</w:t>
      </w:r>
      <w:r w:rsidRPr="00732526">
        <w:rPr>
          <w:noProof/>
        </w:rPr>
        <w:tab/>
        <w:t>C.-C. (</w:t>
      </w:r>
      <w:r w:rsidRPr="00732526">
        <w:rPr>
          <w:noProof/>
        </w:rPr>
        <w:t>黃家俊</w:t>
      </w:r>
      <w:r w:rsidRPr="00732526">
        <w:rPr>
          <w:noProof/>
        </w:rPr>
        <w:t>) Huang, “The Role of Gold Museum in the Chiufen-Chinkuashih-Shueinandong Geopark (</w:t>
      </w:r>
      <w:r w:rsidRPr="00732526">
        <w:rPr>
          <w:noProof/>
        </w:rPr>
        <w:t>黃金博物館在九份金瓜石水湳洞地質公園的角色定位</w:t>
      </w:r>
      <w:r w:rsidRPr="00732526">
        <w:rPr>
          <w:noProof/>
        </w:rPr>
        <w:t xml:space="preserve">),” </w:t>
      </w:r>
      <w:r w:rsidRPr="00732526">
        <w:rPr>
          <w:i/>
          <w:iCs/>
          <w:noProof/>
        </w:rPr>
        <w:t>臺灣博物季刊大地的變奏曲</w:t>
      </w:r>
      <w:r w:rsidRPr="00732526">
        <w:rPr>
          <w:rFonts w:ascii="Arial" w:hAnsi="Arial" w:cs="Arial"/>
          <w:i/>
          <w:iCs/>
          <w:noProof/>
        </w:rPr>
        <w:t>─</w:t>
      </w:r>
      <w:r w:rsidRPr="00732526">
        <w:rPr>
          <w:i/>
          <w:iCs/>
          <w:noProof/>
        </w:rPr>
        <w:t>譜寫人與自然的新關係／</w:t>
      </w:r>
      <w:r w:rsidRPr="00732526">
        <w:rPr>
          <w:i/>
          <w:iCs/>
          <w:noProof/>
        </w:rPr>
        <w:t xml:space="preserve"> Var. a Theme Earth Compos. New Human-Nature Relatsh. </w:t>
      </w:r>
      <w:r w:rsidRPr="00732526">
        <w:rPr>
          <w:i/>
          <w:iCs/>
          <w:noProof/>
        </w:rPr>
        <w:t>｜</w:t>
      </w:r>
      <w:r w:rsidRPr="00732526">
        <w:rPr>
          <w:noProof/>
        </w:rPr>
        <w:t>, vol. 150, no. 40, pp. 12–21, 2021, doi: 10.29879/TNS.</w:t>
      </w:r>
    </w:p>
    <w:p w14:paraId="4270F1C0" w14:textId="77777777" w:rsidR="00732526" w:rsidRPr="00732526" w:rsidRDefault="00732526" w:rsidP="00732526">
      <w:pPr>
        <w:autoSpaceDE w:val="0"/>
        <w:autoSpaceDN w:val="0"/>
        <w:adjustRightInd w:val="0"/>
        <w:ind w:left="640" w:hanging="640"/>
        <w:rPr>
          <w:noProof/>
        </w:rPr>
      </w:pPr>
      <w:r w:rsidRPr="00732526">
        <w:rPr>
          <w:noProof/>
        </w:rPr>
        <w:t>[3]</w:t>
      </w:r>
      <w:r w:rsidRPr="00732526">
        <w:rPr>
          <w:noProof/>
        </w:rPr>
        <w:tab/>
        <w:t xml:space="preserve">Shetland Amenity Trust, “Shetland Museum and Archives,” </w:t>
      </w:r>
      <w:r w:rsidRPr="00732526">
        <w:rPr>
          <w:i/>
          <w:iCs/>
          <w:noProof/>
        </w:rPr>
        <w:t>Official Website of the Shetland Amenity Trust</w:t>
      </w:r>
      <w:r w:rsidRPr="00732526">
        <w:rPr>
          <w:noProof/>
        </w:rPr>
        <w:t>, 2022. https://www.shetlandamenity.org/shetland-museum-and-archives (accessed Mar. 07, 2022).</w:t>
      </w:r>
    </w:p>
    <w:p w14:paraId="01F73B47" w14:textId="77777777" w:rsidR="00732526" w:rsidRPr="00732526" w:rsidRDefault="00732526" w:rsidP="00732526">
      <w:pPr>
        <w:autoSpaceDE w:val="0"/>
        <w:autoSpaceDN w:val="0"/>
        <w:adjustRightInd w:val="0"/>
        <w:ind w:left="640" w:hanging="640"/>
        <w:rPr>
          <w:noProof/>
        </w:rPr>
      </w:pPr>
      <w:r w:rsidRPr="00732526">
        <w:rPr>
          <w:noProof/>
        </w:rPr>
        <w:t>[4]</w:t>
      </w:r>
      <w:r w:rsidRPr="00732526">
        <w:rPr>
          <w:noProof/>
        </w:rPr>
        <w:tab/>
        <w:t xml:space="preserve">Shetland Museum &amp; Archives, “Online Resources,” </w:t>
      </w:r>
      <w:r w:rsidRPr="00732526">
        <w:rPr>
          <w:i/>
          <w:iCs/>
          <w:noProof/>
        </w:rPr>
        <w:t>Official Website of Shetland Museum &amp; Archives</w:t>
      </w:r>
      <w:r w:rsidRPr="00732526">
        <w:rPr>
          <w:noProof/>
        </w:rPr>
        <w:t>, 2022. https://www.shetlandmuseumandarchives.org.uk/collections/archive/resources (accessed Mar. 07, 2022).</w:t>
      </w:r>
    </w:p>
    <w:p w14:paraId="04A9D52F" w14:textId="77777777" w:rsidR="00732526" w:rsidRPr="00732526" w:rsidRDefault="00732526" w:rsidP="00732526">
      <w:pPr>
        <w:autoSpaceDE w:val="0"/>
        <w:autoSpaceDN w:val="0"/>
        <w:adjustRightInd w:val="0"/>
        <w:ind w:left="640" w:hanging="640"/>
        <w:rPr>
          <w:noProof/>
        </w:rPr>
      </w:pPr>
      <w:r w:rsidRPr="00732526">
        <w:rPr>
          <w:noProof/>
        </w:rPr>
        <w:t>[5]</w:t>
      </w:r>
      <w:r w:rsidRPr="00732526">
        <w:rPr>
          <w:noProof/>
        </w:rPr>
        <w:tab/>
        <w:t>N. T. C. G. (</w:t>
      </w:r>
      <w:r w:rsidRPr="00732526">
        <w:rPr>
          <w:noProof/>
        </w:rPr>
        <w:t>新北市立黃金博物館</w:t>
      </w:r>
      <w:r w:rsidRPr="00732526">
        <w:rPr>
          <w:noProof/>
        </w:rPr>
        <w:t>) Gold Museum, “The Annual Report of the Gold Museum: 2020(2020</w:t>
      </w:r>
      <w:r w:rsidRPr="00732526">
        <w:rPr>
          <w:noProof/>
        </w:rPr>
        <w:t>新北市黃金博物館年報</w:t>
      </w:r>
      <w:r w:rsidRPr="00732526">
        <w:rPr>
          <w:noProof/>
        </w:rPr>
        <w:t>),” New Taipei City, 2020. [Online]. Available: https://www.gep.ntpc.gov.tw/files/file_pool/1/0L167693925174268441/2020</w:t>
      </w:r>
      <w:r w:rsidRPr="00732526">
        <w:rPr>
          <w:noProof/>
        </w:rPr>
        <w:t>年新北市立黃金博物館年報</w:t>
      </w:r>
      <w:r w:rsidRPr="00732526">
        <w:rPr>
          <w:noProof/>
        </w:rPr>
        <w:t>.pdf.</w:t>
      </w:r>
    </w:p>
    <w:p w14:paraId="02641D02" w14:textId="77777777" w:rsidR="00732526" w:rsidRPr="00732526" w:rsidRDefault="00732526" w:rsidP="00732526">
      <w:pPr>
        <w:autoSpaceDE w:val="0"/>
        <w:autoSpaceDN w:val="0"/>
        <w:adjustRightInd w:val="0"/>
        <w:ind w:left="640" w:hanging="640"/>
        <w:rPr>
          <w:noProof/>
        </w:rPr>
      </w:pPr>
      <w:r w:rsidRPr="00732526">
        <w:rPr>
          <w:noProof/>
        </w:rPr>
        <w:t>[6]</w:t>
      </w:r>
      <w:r w:rsidRPr="00732526">
        <w:rPr>
          <w:noProof/>
        </w:rPr>
        <w:tab/>
        <w:t>N. T. C. G. (</w:t>
      </w:r>
      <w:r w:rsidRPr="00732526">
        <w:rPr>
          <w:noProof/>
        </w:rPr>
        <w:t>新北市立黃金博物館</w:t>
      </w:r>
      <w:r w:rsidRPr="00732526">
        <w:rPr>
          <w:noProof/>
        </w:rPr>
        <w:t>) Gold Museum, “The Annual Report of the Gold Museum: 2019 (2019</w:t>
      </w:r>
      <w:r w:rsidRPr="00732526">
        <w:rPr>
          <w:noProof/>
        </w:rPr>
        <w:t>新北市黃金博物館年報</w:t>
      </w:r>
      <w:r w:rsidRPr="00732526">
        <w:rPr>
          <w:noProof/>
        </w:rPr>
        <w:t>),” New Taipei City, 2019. [Online]. Available: https://www.gep.ntpc.gov.tw/files/file_pool/1/0L167694738610611595/</w:t>
      </w:r>
      <w:r w:rsidRPr="00732526">
        <w:rPr>
          <w:noProof/>
        </w:rPr>
        <w:t>新北市立黃金博物館</w:t>
      </w:r>
      <w:r w:rsidRPr="00732526">
        <w:rPr>
          <w:noProof/>
        </w:rPr>
        <w:t>2019</w:t>
      </w:r>
      <w:r w:rsidRPr="00732526">
        <w:rPr>
          <w:noProof/>
        </w:rPr>
        <w:t>年報</w:t>
      </w:r>
      <w:r w:rsidRPr="00732526">
        <w:rPr>
          <w:noProof/>
        </w:rPr>
        <w:t>.pdf.</w:t>
      </w:r>
    </w:p>
    <w:p w14:paraId="55B99149" w14:textId="77777777" w:rsidR="00732526" w:rsidRPr="00732526" w:rsidRDefault="00732526" w:rsidP="00732526">
      <w:pPr>
        <w:autoSpaceDE w:val="0"/>
        <w:autoSpaceDN w:val="0"/>
        <w:adjustRightInd w:val="0"/>
        <w:ind w:left="640" w:hanging="640"/>
        <w:rPr>
          <w:noProof/>
        </w:rPr>
      </w:pPr>
      <w:r w:rsidRPr="00732526">
        <w:rPr>
          <w:noProof/>
        </w:rPr>
        <w:t>[7]</w:t>
      </w:r>
      <w:r w:rsidRPr="00732526">
        <w:rPr>
          <w:noProof/>
        </w:rPr>
        <w:tab/>
        <w:t>S.-C. Chang, “Cataloging of Cultural Objects - Issues and Suggestions for Improvement: Example of the National Museum of Taiwan History (</w:t>
      </w:r>
      <w:r w:rsidRPr="00732526">
        <w:rPr>
          <w:noProof/>
        </w:rPr>
        <w:t>博物館藏品編目實務面向的問題與改善建議－以國立臺灣歷史博物館為例</w:t>
      </w:r>
      <w:r w:rsidRPr="00732526">
        <w:rPr>
          <w:noProof/>
        </w:rPr>
        <w:t xml:space="preserve">),” </w:t>
      </w:r>
      <w:r w:rsidRPr="00732526">
        <w:rPr>
          <w:noProof/>
        </w:rPr>
        <w:t>博物館學季刊</w:t>
      </w:r>
      <w:r w:rsidRPr="00732526">
        <w:rPr>
          <w:noProof/>
        </w:rPr>
        <w:t>, vol. 32, no. 3, pp. 63–79, 2018, doi: 10.6686/MuseQ.201807_32(3).0004.</w:t>
      </w:r>
    </w:p>
    <w:p w14:paraId="4B07779D" w14:textId="77777777" w:rsidR="00732526" w:rsidRPr="00732526" w:rsidRDefault="00732526" w:rsidP="00732526">
      <w:pPr>
        <w:autoSpaceDE w:val="0"/>
        <w:autoSpaceDN w:val="0"/>
        <w:adjustRightInd w:val="0"/>
        <w:ind w:left="640" w:hanging="640"/>
        <w:rPr>
          <w:noProof/>
        </w:rPr>
      </w:pPr>
      <w:r w:rsidRPr="00732526">
        <w:rPr>
          <w:noProof/>
        </w:rPr>
        <w:t>[8]</w:t>
      </w:r>
      <w:r w:rsidRPr="00732526">
        <w:rPr>
          <w:noProof/>
        </w:rPr>
        <w:tab/>
        <w:t>S.-J. (</w:t>
      </w:r>
      <w:r w:rsidRPr="00732526">
        <w:rPr>
          <w:noProof/>
        </w:rPr>
        <w:t>陳叔倬</w:t>
      </w:r>
      <w:r w:rsidRPr="00732526">
        <w:rPr>
          <w:noProof/>
        </w:rPr>
        <w:t>) Chen, “</w:t>
      </w:r>
      <w:r w:rsidRPr="00732526">
        <w:rPr>
          <w:noProof/>
        </w:rPr>
        <w:t>文化部文物典藏共構系統中分類欄位的標準化問題</w:t>
      </w:r>
      <w:r w:rsidRPr="00732526">
        <w:rPr>
          <w:noProof/>
        </w:rPr>
        <w:t xml:space="preserve">,” </w:t>
      </w:r>
      <w:r w:rsidRPr="00732526">
        <w:rPr>
          <w:noProof/>
        </w:rPr>
        <w:t>國立自然科學博物館館訊</w:t>
      </w:r>
      <w:r w:rsidRPr="00732526">
        <w:rPr>
          <w:noProof/>
        </w:rPr>
        <w:t>, vol. 389, pp. 4–5, Apr. 2020, Accessed: Jun. 14, 2022. [Online]. Available: http://edresource.nmns.edu.tw/ShowObject.aspx?id=0b81a1f8c90b82107e75.</w:t>
      </w:r>
    </w:p>
    <w:p w14:paraId="7884A0AB" w14:textId="77777777" w:rsidR="00732526" w:rsidRPr="00732526" w:rsidRDefault="00732526" w:rsidP="00732526">
      <w:pPr>
        <w:autoSpaceDE w:val="0"/>
        <w:autoSpaceDN w:val="0"/>
        <w:adjustRightInd w:val="0"/>
        <w:ind w:left="640" w:hanging="640"/>
        <w:rPr>
          <w:noProof/>
        </w:rPr>
      </w:pPr>
      <w:r w:rsidRPr="00732526">
        <w:rPr>
          <w:noProof/>
        </w:rPr>
        <w:t>[9]</w:t>
      </w:r>
      <w:r w:rsidRPr="00732526">
        <w:rPr>
          <w:noProof/>
        </w:rPr>
        <w:tab/>
        <w:t>N. T. C. G. (</w:t>
      </w:r>
      <w:r w:rsidRPr="00732526">
        <w:rPr>
          <w:noProof/>
        </w:rPr>
        <w:t>新北市立黃金博物館</w:t>
      </w:r>
      <w:r w:rsidRPr="00732526">
        <w:rPr>
          <w:noProof/>
        </w:rPr>
        <w:t>) Gold Museum, “The Annual Report of the Gold Museum: 2018 (2018</w:t>
      </w:r>
      <w:r w:rsidRPr="00732526">
        <w:rPr>
          <w:noProof/>
        </w:rPr>
        <w:t>新北市黃金博物館年報</w:t>
      </w:r>
      <w:r w:rsidRPr="00732526">
        <w:rPr>
          <w:noProof/>
        </w:rPr>
        <w:t>),” New Taipe City, 2018. [Online]. Available: https://www.culture.ntpc.gov.tw/files/file_pool/1/0L167698121208750637/</w:t>
      </w:r>
      <w:r w:rsidRPr="00732526">
        <w:rPr>
          <w:noProof/>
        </w:rPr>
        <w:t>新北市立黃金博物館年報</w:t>
      </w:r>
      <w:r w:rsidRPr="00732526">
        <w:rPr>
          <w:noProof/>
        </w:rPr>
        <w:t>2018.pdf.</w:t>
      </w:r>
    </w:p>
    <w:p w14:paraId="1314A9C6" w14:textId="77777777" w:rsidR="00732526" w:rsidRPr="00732526" w:rsidRDefault="00732526" w:rsidP="00732526">
      <w:pPr>
        <w:autoSpaceDE w:val="0"/>
        <w:autoSpaceDN w:val="0"/>
        <w:adjustRightInd w:val="0"/>
        <w:ind w:left="640" w:hanging="640"/>
        <w:rPr>
          <w:noProof/>
        </w:rPr>
      </w:pPr>
      <w:r w:rsidRPr="00732526">
        <w:rPr>
          <w:noProof/>
        </w:rPr>
        <w:t>[10]</w:t>
      </w:r>
      <w:r w:rsidRPr="00732526">
        <w:rPr>
          <w:noProof/>
        </w:rPr>
        <w:tab/>
        <w:t xml:space="preserve">S. Higgins, “The DCC Curation Lifecycle Model,” </w:t>
      </w:r>
      <w:r w:rsidRPr="00732526">
        <w:rPr>
          <w:i/>
          <w:iCs/>
          <w:noProof/>
        </w:rPr>
        <w:t>Int. J. Digit. Curation</w:t>
      </w:r>
      <w:r w:rsidRPr="00732526">
        <w:rPr>
          <w:noProof/>
        </w:rPr>
        <w:t>, vol. 3, no. 1, pp. 134–140, Dec. 2008, doi: 10.2218/IJDC.V3I1.48.</w:t>
      </w:r>
    </w:p>
    <w:p w14:paraId="0000003A" w14:textId="1AC1C8E7" w:rsidR="00CB39CA" w:rsidRDefault="002C7CFF" w:rsidP="00732526">
      <w:pPr>
        <w:autoSpaceDE w:val="0"/>
        <w:autoSpaceDN w:val="0"/>
        <w:adjustRightInd w:val="0"/>
        <w:ind w:left="640" w:hanging="640"/>
      </w:pPr>
      <w:r>
        <w:fldChar w:fldCharType="end"/>
      </w:r>
    </w:p>
    <w:sectPr w:rsidR="00CB39CA">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33F08" w14:textId="77777777" w:rsidR="005E245D" w:rsidRDefault="005E245D">
      <w:r>
        <w:separator/>
      </w:r>
    </w:p>
  </w:endnote>
  <w:endnote w:type="continuationSeparator" w:id="0">
    <w:p w14:paraId="31A8E6B8" w14:textId="77777777" w:rsidR="005E245D" w:rsidRDefault="005E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000000">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59F3" w14:textId="77777777" w:rsidR="005E245D" w:rsidRDefault="005E245D">
      <w:r>
        <w:separator/>
      </w:r>
    </w:p>
  </w:footnote>
  <w:footnote w:type="continuationSeparator" w:id="0">
    <w:p w14:paraId="619A1640" w14:textId="77777777" w:rsidR="005E245D" w:rsidRDefault="005E2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360932716">
    <w:abstractNumId w:val="3"/>
  </w:num>
  <w:num w:numId="2" w16cid:durableId="1189685019">
    <w:abstractNumId w:val="1"/>
  </w:num>
  <w:num w:numId="3" w16cid:durableId="999188459">
    <w:abstractNumId w:val="0"/>
  </w:num>
  <w:num w:numId="4" w16cid:durableId="36207160">
    <w:abstractNumId w:val="2"/>
  </w:num>
  <w:num w:numId="5" w16cid:durableId="713889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021578"/>
    <w:rsid w:val="0003510D"/>
    <w:rsid w:val="00064A94"/>
    <w:rsid w:val="000652BE"/>
    <w:rsid w:val="00077D3C"/>
    <w:rsid w:val="000E36B2"/>
    <w:rsid w:val="000F5415"/>
    <w:rsid w:val="00115551"/>
    <w:rsid w:val="001809E7"/>
    <w:rsid w:val="001F2CE6"/>
    <w:rsid w:val="001F42E4"/>
    <w:rsid w:val="001F58C4"/>
    <w:rsid w:val="0020339C"/>
    <w:rsid w:val="00203C7C"/>
    <w:rsid w:val="00207D9D"/>
    <w:rsid w:val="00230691"/>
    <w:rsid w:val="00233C3C"/>
    <w:rsid w:val="00265B63"/>
    <w:rsid w:val="002723FE"/>
    <w:rsid w:val="00273556"/>
    <w:rsid w:val="00280B36"/>
    <w:rsid w:val="002A0B53"/>
    <w:rsid w:val="002C7CFF"/>
    <w:rsid w:val="002E65EC"/>
    <w:rsid w:val="00302615"/>
    <w:rsid w:val="00325444"/>
    <w:rsid w:val="0033452E"/>
    <w:rsid w:val="00352A97"/>
    <w:rsid w:val="00353A22"/>
    <w:rsid w:val="00386FB9"/>
    <w:rsid w:val="00392CD2"/>
    <w:rsid w:val="00393EEB"/>
    <w:rsid w:val="003B24BB"/>
    <w:rsid w:val="003B639A"/>
    <w:rsid w:val="003D13F1"/>
    <w:rsid w:val="00472589"/>
    <w:rsid w:val="004A3C20"/>
    <w:rsid w:val="004C7D8D"/>
    <w:rsid w:val="004D1F06"/>
    <w:rsid w:val="004E6D45"/>
    <w:rsid w:val="004F5CA3"/>
    <w:rsid w:val="00523B2E"/>
    <w:rsid w:val="005562C3"/>
    <w:rsid w:val="00560567"/>
    <w:rsid w:val="00594AB9"/>
    <w:rsid w:val="005C7D3E"/>
    <w:rsid w:val="005E245D"/>
    <w:rsid w:val="005F24EB"/>
    <w:rsid w:val="00604B21"/>
    <w:rsid w:val="006138CB"/>
    <w:rsid w:val="00620940"/>
    <w:rsid w:val="00625811"/>
    <w:rsid w:val="0063022E"/>
    <w:rsid w:val="00632AC7"/>
    <w:rsid w:val="00680E88"/>
    <w:rsid w:val="00682381"/>
    <w:rsid w:val="006C0F79"/>
    <w:rsid w:val="006C2FBE"/>
    <w:rsid w:val="007074BA"/>
    <w:rsid w:val="00711E6D"/>
    <w:rsid w:val="00732526"/>
    <w:rsid w:val="00760F3E"/>
    <w:rsid w:val="007C7CB8"/>
    <w:rsid w:val="0081708C"/>
    <w:rsid w:val="00830BFB"/>
    <w:rsid w:val="008462F8"/>
    <w:rsid w:val="00855388"/>
    <w:rsid w:val="00857550"/>
    <w:rsid w:val="00874C8E"/>
    <w:rsid w:val="008C7464"/>
    <w:rsid w:val="008D105E"/>
    <w:rsid w:val="008E1636"/>
    <w:rsid w:val="008F51D0"/>
    <w:rsid w:val="00905BCB"/>
    <w:rsid w:val="0092216D"/>
    <w:rsid w:val="00924B6C"/>
    <w:rsid w:val="009300FC"/>
    <w:rsid w:val="00941019"/>
    <w:rsid w:val="00945D35"/>
    <w:rsid w:val="009638D2"/>
    <w:rsid w:val="009A0301"/>
    <w:rsid w:val="009A1D19"/>
    <w:rsid w:val="009C004F"/>
    <w:rsid w:val="009C5D1F"/>
    <w:rsid w:val="00A15C0C"/>
    <w:rsid w:val="00A21020"/>
    <w:rsid w:val="00A23DC7"/>
    <w:rsid w:val="00A3319C"/>
    <w:rsid w:val="00A41E3D"/>
    <w:rsid w:val="00A50C17"/>
    <w:rsid w:val="00A863B0"/>
    <w:rsid w:val="00AB6B83"/>
    <w:rsid w:val="00AD65F7"/>
    <w:rsid w:val="00AE77E3"/>
    <w:rsid w:val="00B00CCE"/>
    <w:rsid w:val="00B01FE3"/>
    <w:rsid w:val="00B11841"/>
    <w:rsid w:val="00B40DC6"/>
    <w:rsid w:val="00B44202"/>
    <w:rsid w:val="00B54F7C"/>
    <w:rsid w:val="00B55347"/>
    <w:rsid w:val="00BB503D"/>
    <w:rsid w:val="00BE2E7A"/>
    <w:rsid w:val="00BF13A0"/>
    <w:rsid w:val="00BF1DFD"/>
    <w:rsid w:val="00C02A48"/>
    <w:rsid w:val="00C0527A"/>
    <w:rsid w:val="00C360DB"/>
    <w:rsid w:val="00C377EF"/>
    <w:rsid w:val="00C526B5"/>
    <w:rsid w:val="00C56330"/>
    <w:rsid w:val="00C95DCA"/>
    <w:rsid w:val="00CB39CA"/>
    <w:rsid w:val="00CB4AEA"/>
    <w:rsid w:val="00CD79C2"/>
    <w:rsid w:val="00CE79E8"/>
    <w:rsid w:val="00D01F68"/>
    <w:rsid w:val="00D049DD"/>
    <w:rsid w:val="00D64546"/>
    <w:rsid w:val="00D86E86"/>
    <w:rsid w:val="00DD48D9"/>
    <w:rsid w:val="00DD5E92"/>
    <w:rsid w:val="00E4612A"/>
    <w:rsid w:val="00E6587A"/>
    <w:rsid w:val="00E70F74"/>
    <w:rsid w:val="00E721FA"/>
    <w:rsid w:val="00E7328F"/>
    <w:rsid w:val="00E740BA"/>
    <w:rsid w:val="00E80855"/>
    <w:rsid w:val="00E90D88"/>
    <w:rsid w:val="00EB07EA"/>
    <w:rsid w:val="00EE0882"/>
    <w:rsid w:val="00F10E98"/>
    <w:rsid w:val="00F36677"/>
    <w:rsid w:val="00F3703E"/>
    <w:rsid w:val="00F655FC"/>
    <w:rsid w:val="00F944E3"/>
    <w:rsid w:val="00FD108A"/>
    <w:rsid w:val="00FD54F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506D0"/>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EastAsia"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iPRES Normal"/>
    <w:qFormat/>
    <w:rsid w:val="003D4A2D"/>
    <w:rPr>
      <w:lang w:eastAsia="zh-TW"/>
    </w:rPr>
  </w:style>
  <w:style w:type="paragraph" w:styleId="1">
    <w:name w:val="heading 1"/>
    <w:basedOn w:val="a"/>
    <w:next w:val="iPRESparagraphs"/>
    <w:link w:val="10"/>
    <w:uiPriority w:val="9"/>
    <w:qFormat/>
    <w:rsid w:val="00DA047B"/>
    <w:pPr>
      <w:numPr>
        <w:numId w:val="4"/>
      </w:numPr>
      <w:spacing w:before="240" w:after="120"/>
      <w:jc w:val="center"/>
      <w:outlineLvl w:val="0"/>
    </w:pPr>
    <w:rPr>
      <w:rFonts w:cs="Times New Roman (Body CS)"/>
      <w:smallCaps/>
    </w:rPr>
  </w:style>
  <w:style w:type="paragraph" w:styleId="2">
    <w:name w:val="heading 2"/>
    <w:basedOn w:val="1"/>
    <w:next w:val="iPRESparagraphs"/>
    <w:link w:val="20"/>
    <w:uiPriority w:val="9"/>
    <w:unhideWhenUsed/>
    <w:qFormat/>
    <w:rsid w:val="00BC62AC"/>
    <w:pPr>
      <w:numPr>
        <w:ilvl w:val="1"/>
      </w:numPr>
      <w:spacing w:before="120"/>
      <w:ind w:left="0"/>
      <w:jc w:val="both"/>
      <w:outlineLvl w:val="1"/>
    </w:pPr>
    <w:rPr>
      <w:i/>
      <w:smallCaps w:val="0"/>
    </w:rPr>
  </w:style>
  <w:style w:type="paragraph" w:styleId="3">
    <w:name w:val="heading 3"/>
    <w:basedOn w:val="a"/>
    <w:next w:val="a"/>
    <w:link w:val="30"/>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4">
    <w:name w:val="heading 4"/>
    <w:basedOn w:val="1"/>
    <w:next w:val="a"/>
    <w:link w:val="40"/>
    <w:uiPriority w:val="9"/>
    <w:semiHidden/>
    <w:unhideWhenUsed/>
    <w:qFormat/>
    <w:rsid w:val="00722114"/>
    <w:pPr>
      <w:numPr>
        <w:numId w:val="0"/>
      </w:numPr>
      <w:outlineLvl w:val="3"/>
    </w:pPr>
  </w:style>
  <w:style w:type="paragraph" w:styleId="5">
    <w:name w:val="heading 5"/>
    <w:basedOn w:val="a"/>
    <w:next w:val="a"/>
    <w:link w:val="50"/>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iPRES Title"/>
    <w:basedOn w:val="1"/>
    <w:next w:val="a"/>
    <w:link w:val="a4"/>
    <w:uiPriority w:val="10"/>
    <w:qFormat/>
    <w:rsid w:val="001F74F3"/>
    <w:pPr>
      <w:numPr>
        <w:numId w:val="0"/>
      </w:numPr>
      <w:ind w:left="360" w:hanging="360"/>
    </w:pPr>
    <w:rPr>
      <w:sz w:val="48"/>
      <w:szCs w:val="48"/>
    </w:rPr>
  </w:style>
  <w:style w:type="paragraph" w:styleId="a5">
    <w:name w:val="Subtitle"/>
    <w:basedOn w:val="a"/>
    <w:next w:val="a"/>
    <w:link w:val="a6"/>
    <w:uiPriority w:val="11"/>
    <w:qFormat/>
    <w:pPr>
      <w:spacing w:before="120" w:after="180"/>
      <w:jc w:val="center"/>
    </w:pPr>
    <w:rPr>
      <w:i/>
      <w:color w:val="595959"/>
      <w:sz w:val="40"/>
      <w:szCs w:val="40"/>
    </w:rPr>
  </w:style>
  <w:style w:type="character" w:customStyle="1" w:styleId="a6">
    <w:name w:val="副標題 字元"/>
    <w:basedOn w:val="a0"/>
    <w:link w:val="a5"/>
    <w:uiPriority w:val="11"/>
    <w:rsid w:val="00DA238B"/>
    <w:rPr>
      <w:rFonts w:ascii="Lucida Grande" w:eastAsiaTheme="majorEastAsia" w:hAnsi="Lucida Grande" w:cstheme="majorBidi"/>
      <w:i/>
      <w:color w:val="595959" w:themeColor="text1" w:themeTint="A6"/>
      <w:sz w:val="40"/>
      <w:lang w:eastAsia="zh-TW"/>
    </w:rPr>
  </w:style>
  <w:style w:type="paragraph" w:styleId="a7">
    <w:name w:val="footer"/>
    <w:aliases w:val="iPRES Footer"/>
    <w:basedOn w:val="a"/>
    <w:link w:val="a8"/>
    <w:uiPriority w:val="99"/>
    <w:unhideWhenUsed/>
    <w:qFormat/>
    <w:rsid w:val="00AE5B2F"/>
    <w:pPr>
      <w:tabs>
        <w:tab w:val="center" w:pos="4680"/>
        <w:tab w:val="right" w:pos="9360"/>
      </w:tabs>
      <w:ind w:right="360" w:firstLine="0"/>
      <w:jc w:val="left"/>
    </w:pPr>
    <w:rPr>
      <w:noProof/>
      <w:sz w:val="16"/>
      <w:szCs w:val="16"/>
    </w:rPr>
  </w:style>
  <w:style w:type="character" w:customStyle="1" w:styleId="a8">
    <w:name w:val="頁尾 字元"/>
    <w:aliases w:val="iPRES Footer 字元"/>
    <w:basedOn w:val="a0"/>
    <w:link w:val="a7"/>
    <w:uiPriority w:val="99"/>
    <w:rsid w:val="00AE5B2F"/>
    <w:rPr>
      <w:rFonts w:ascii="Lucida Grande" w:eastAsiaTheme="minorEastAsia" w:hAnsi="Lucida Grande"/>
      <w:noProof/>
      <w:sz w:val="16"/>
      <w:szCs w:val="16"/>
      <w:lang w:eastAsia="zh-TW"/>
    </w:rPr>
  </w:style>
  <w:style w:type="character" w:styleId="a9">
    <w:name w:val="page number"/>
    <w:basedOn w:val="a0"/>
    <w:uiPriority w:val="99"/>
    <w:semiHidden/>
    <w:unhideWhenUsed/>
    <w:rsid w:val="00062D28"/>
    <w:rPr>
      <w:rFonts w:ascii="Lucida Grande" w:hAnsi="Lucida Grande"/>
    </w:rPr>
  </w:style>
  <w:style w:type="paragraph" w:styleId="aa">
    <w:name w:val="header"/>
    <w:basedOn w:val="a"/>
    <w:link w:val="ab"/>
    <w:uiPriority w:val="99"/>
    <w:unhideWhenUsed/>
    <w:rsid w:val="00062D28"/>
    <w:pPr>
      <w:tabs>
        <w:tab w:val="center" w:pos="4680"/>
        <w:tab w:val="right" w:pos="9360"/>
      </w:tabs>
    </w:pPr>
  </w:style>
  <w:style w:type="character" w:customStyle="1" w:styleId="ab">
    <w:name w:val="頁首 字元"/>
    <w:basedOn w:val="a0"/>
    <w:link w:val="aa"/>
    <w:uiPriority w:val="99"/>
    <w:rsid w:val="00062D28"/>
    <w:rPr>
      <w:rFonts w:ascii="Lucida Grande" w:eastAsiaTheme="minorEastAsia" w:hAnsi="Lucida Grande"/>
    </w:rPr>
  </w:style>
  <w:style w:type="character" w:customStyle="1" w:styleId="10">
    <w:name w:val="標題 1 字元"/>
    <w:basedOn w:val="a0"/>
    <w:link w:val="1"/>
    <w:uiPriority w:val="9"/>
    <w:rsid w:val="00DA047B"/>
    <w:rPr>
      <w:rFonts w:ascii="Open Sans" w:eastAsiaTheme="minorEastAsia" w:hAnsi="Open Sans" w:cs="Times New Roman (Body CS)"/>
      <w:smallCaps/>
      <w:sz w:val="20"/>
      <w:szCs w:val="20"/>
      <w:lang w:val="en-US" w:eastAsia="zh-TW"/>
    </w:rPr>
  </w:style>
  <w:style w:type="character" w:customStyle="1" w:styleId="a4">
    <w:name w:val="標題 字元"/>
    <w:aliases w:val="iPRES Title 字元"/>
    <w:basedOn w:val="a0"/>
    <w:link w:val="a3"/>
    <w:uiPriority w:val="10"/>
    <w:rsid w:val="001F74F3"/>
    <w:rPr>
      <w:rFonts w:ascii="Lucida Grande" w:eastAsiaTheme="minorEastAsia" w:hAnsi="Lucida Grande"/>
      <w:b/>
      <w:sz w:val="48"/>
      <w:szCs w:val="48"/>
      <w:lang w:eastAsia="zh-TW"/>
    </w:rPr>
  </w:style>
  <w:style w:type="table" w:styleId="ac">
    <w:name w:val="Table Grid"/>
    <w:basedOn w:val="a1"/>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B4441"/>
    <w:rPr>
      <w:rFonts w:ascii="Lucida Grande" w:hAnsi="Lucida Grande"/>
      <w:color w:val="auto"/>
      <w:u w:val="single"/>
    </w:rPr>
  </w:style>
  <w:style w:type="character" w:customStyle="1" w:styleId="UnresolvedMention1">
    <w:name w:val="Unresolved Mention1"/>
    <w:basedOn w:val="a0"/>
    <w:uiPriority w:val="99"/>
    <w:rsid w:val="00DA238B"/>
    <w:rPr>
      <w:rFonts w:ascii="Lucida Grande" w:hAnsi="Lucida Grande"/>
      <w:color w:val="605E5C"/>
      <w:shd w:val="clear" w:color="auto" w:fill="E1DFDD"/>
    </w:rPr>
  </w:style>
  <w:style w:type="paragraph" w:customStyle="1" w:styleId="iPRESAuthorInfo">
    <w:name w:val="iPRES Author Info"/>
    <w:basedOn w:val="a"/>
    <w:qFormat/>
    <w:rsid w:val="00FD073C"/>
    <w:pPr>
      <w:jc w:val="center"/>
    </w:pPr>
    <w:rPr>
      <w:i/>
    </w:rPr>
  </w:style>
  <w:style w:type="paragraph" w:customStyle="1" w:styleId="iPRESAuthorName">
    <w:name w:val="iPRES Author Name"/>
    <w:basedOn w:val="a"/>
    <w:qFormat/>
    <w:rsid w:val="00FD073C"/>
    <w:pPr>
      <w:spacing w:line="276" w:lineRule="auto"/>
      <w:jc w:val="center"/>
    </w:pPr>
    <w:rPr>
      <w:b/>
      <w:sz w:val="24"/>
      <w:szCs w:val="24"/>
    </w:rPr>
  </w:style>
  <w:style w:type="character" w:customStyle="1" w:styleId="20">
    <w:name w:val="標題 2 字元"/>
    <w:basedOn w:val="a0"/>
    <w:link w:val="2"/>
    <w:uiPriority w:val="9"/>
    <w:rsid w:val="00BC62AC"/>
    <w:rPr>
      <w:rFonts w:ascii="Lucida Sans" w:eastAsiaTheme="minorEastAsia" w:hAnsi="Lucida Sans" w:cs="Times New Roman (Body CS)"/>
      <w:i/>
      <w:sz w:val="20"/>
      <w:szCs w:val="20"/>
      <w:lang w:val="en-US" w:eastAsia="zh-TW"/>
    </w:rPr>
  </w:style>
  <w:style w:type="character" w:customStyle="1" w:styleId="30">
    <w:name w:val="標題 3 字元"/>
    <w:basedOn w:val="a0"/>
    <w:link w:val="3"/>
    <w:uiPriority w:val="9"/>
    <w:rsid w:val="00DA047B"/>
    <w:rPr>
      <w:rFonts w:ascii="Open Sans" w:eastAsiaTheme="majorEastAsia" w:hAnsi="Open Sans" w:cstheme="majorBidi"/>
      <w:i/>
      <w:sz w:val="20"/>
      <w:szCs w:val="20"/>
      <w:lang w:val="en-US" w:eastAsia="zh-TW"/>
    </w:rPr>
  </w:style>
  <w:style w:type="character" w:customStyle="1" w:styleId="40">
    <w:name w:val="標題 4 字元"/>
    <w:basedOn w:val="a0"/>
    <w:link w:val="4"/>
    <w:uiPriority w:val="9"/>
    <w:rsid w:val="00722114"/>
    <w:rPr>
      <w:rFonts w:ascii="Open Sans" w:eastAsiaTheme="minorEastAsia" w:hAnsi="Open Sans" w:cs="Times New Roman (Body CS)"/>
      <w:smallCaps/>
      <w:sz w:val="20"/>
      <w:szCs w:val="20"/>
      <w:lang w:val="en-US" w:eastAsia="zh-TW"/>
    </w:rPr>
  </w:style>
  <w:style w:type="character" w:customStyle="1" w:styleId="50">
    <w:name w:val="標題 5 字元"/>
    <w:basedOn w:val="a0"/>
    <w:link w:val="5"/>
    <w:uiPriority w:val="9"/>
    <w:semiHidden/>
    <w:rsid w:val="00A1344F"/>
    <w:rPr>
      <w:rFonts w:asciiTheme="majorHAnsi" w:eastAsiaTheme="majorEastAsia" w:hAnsiTheme="majorHAnsi" w:cstheme="majorBidi"/>
      <w:color w:val="2F5496" w:themeColor="accent1" w:themeShade="BF"/>
    </w:rPr>
  </w:style>
  <w:style w:type="character" w:customStyle="1" w:styleId="60">
    <w:name w:val="標題 6 字元"/>
    <w:basedOn w:val="a0"/>
    <w:link w:val="6"/>
    <w:uiPriority w:val="9"/>
    <w:semiHidden/>
    <w:rsid w:val="00A1344F"/>
    <w:rPr>
      <w:rFonts w:asciiTheme="majorHAnsi" w:eastAsiaTheme="majorEastAsia" w:hAnsiTheme="majorHAnsi" w:cstheme="majorBidi"/>
      <w:color w:val="1F3763" w:themeColor="accent1" w:themeShade="7F"/>
    </w:rPr>
  </w:style>
  <w:style w:type="character" w:customStyle="1" w:styleId="70">
    <w:name w:val="標題 7 字元"/>
    <w:basedOn w:val="a0"/>
    <w:link w:val="7"/>
    <w:uiPriority w:val="9"/>
    <w:semiHidden/>
    <w:rsid w:val="00A1344F"/>
    <w:rPr>
      <w:rFonts w:asciiTheme="majorHAnsi" w:eastAsiaTheme="majorEastAsia" w:hAnsiTheme="majorHAnsi" w:cstheme="majorBidi"/>
      <w:i/>
      <w:iCs/>
      <w:color w:val="1F3763" w:themeColor="accent1" w:themeShade="7F"/>
    </w:rPr>
  </w:style>
  <w:style w:type="character" w:customStyle="1" w:styleId="80">
    <w:name w:val="標題 8 字元"/>
    <w:basedOn w:val="a0"/>
    <w:link w:val="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90">
    <w:name w:val="標題 9 字元"/>
    <w:basedOn w:val="a0"/>
    <w:link w:val="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a"/>
    <w:next w:val="iPRESparagraphs"/>
    <w:qFormat/>
    <w:rsid w:val="00A62BDB"/>
    <w:rPr>
      <w:b/>
      <w:sz w:val="18"/>
      <w:szCs w:val="18"/>
    </w:rPr>
  </w:style>
  <w:style w:type="paragraph" w:customStyle="1" w:styleId="iPRESTableCaption">
    <w:name w:val="iPRES Table Caption"/>
    <w:basedOn w:val="a"/>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新細明體" w:cs="Times New Roman"/>
      <w:sz w:val="16"/>
      <w:szCs w:val="16"/>
    </w:rPr>
  </w:style>
  <w:style w:type="character" w:customStyle="1" w:styleId="iPRESTableCaptionChar">
    <w:name w:val="iPRES Table Caption Char"/>
    <w:link w:val="iPRESTableCaption"/>
    <w:rsid w:val="008E69BB"/>
    <w:rPr>
      <w:rFonts w:ascii="Open Sans" w:eastAsia="新細明體" w:hAnsi="Open Sans" w:cs="Times New Roman"/>
      <w:sz w:val="16"/>
      <w:szCs w:val="16"/>
      <w:lang w:val="en-US" w:eastAsia="zh-TW"/>
    </w:rPr>
  </w:style>
  <w:style w:type="paragraph" w:customStyle="1" w:styleId="iPRESparagraphs">
    <w:name w:val="iPRES paragraphs"/>
    <w:basedOn w:val="a"/>
    <w:qFormat/>
    <w:rsid w:val="00B43E66"/>
    <w:pPr>
      <w:spacing w:after="120"/>
    </w:pPr>
  </w:style>
  <w:style w:type="paragraph" w:customStyle="1" w:styleId="FigureCaption">
    <w:name w:val="Figure Caption"/>
    <w:basedOn w:val="a"/>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a"/>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ae">
    <w:name w:val="List Paragraph"/>
    <w:basedOn w:val="a"/>
    <w:uiPriority w:val="34"/>
    <w:qFormat/>
    <w:rsid w:val="002B5370"/>
    <w:pPr>
      <w:ind w:left="720"/>
      <w:contextualSpacing/>
    </w:pPr>
  </w:style>
  <w:style w:type="character" w:styleId="af">
    <w:name w:val="FollowedHyperlink"/>
    <w:basedOn w:val="a0"/>
    <w:uiPriority w:val="99"/>
    <w:semiHidden/>
    <w:unhideWhenUsed/>
    <w:rsid w:val="00014290"/>
    <w:rPr>
      <w:rFonts w:ascii="Open Sans" w:hAnsi="Open Sans"/>
      <w:color w:val="954F72" w:themeColor="followedHyperlink"/>
      <w:u w:val="single"/>
    </w:rPr>
  </w:style>
  <w:style w:type="paragraph" w:styleId="af0">
    <w:name w:val="caption"/>
    <w:aliases w:val="iPRES Caption"/>
    <w:basedOn w:val="a"/>
    <w:next w:val="a"/>
    <w:uiPriority w:val="35"/>
    <w:unhideWhenUsed/>
    <w:qFormat/>
    <w:rsid w:val="008E69BB"/>
    <w:pPr>
      <w:spacing w:after="200"/>
      <w:ind w:firstLine="0"/>
      <w:jc w:val="center"/>
    </w:pPr>
    <w:rPr>
      <w:iCs/>
      <w:sz w:val="16"/>
      <w:szCs w:val="16"/>
    </w:rPr>
  </w:style>
  <w:style w:type="paragraph" w:styleId="af1">
    <w:name w:val="Revision"/>
    <w:hidden/>
    <w:uiPriority w:val="99"/>
    <w:semiHidden/>
    <w:rsid w:val="00B01AFF"/>
    <w:rPr>
      <w:lang w:eastAsia="zh-TW"/>
    </w:rPr>
  </w:style>
  <w:style w:type="character" w:styleId="af2">
    <w:name w:val="footnote reference"/>
    <w:basedOn w:val="a0"/>
    <w:uiPriority w:val="99"/>
    <w:unhideWhenUsed/>
    <w:rsid w:val="00B01AFF"/>
    <w:rPr>
      <w:rFonts w:ascii="Open Sans" w:hAnsi="Open Sans"/>
      <w:vertAlign w:val="superscript"/>
    </w:rPr>
  </w:style>
  <w:style w:type="paragraph" w:styleId="af3">
    <w:name w:val="footnote text"/>
    <w:basedOn w:val="a"/>
    <w:link w:val="af4"/>
    <w:uiPriority w:val="99"/>
    <w:semiHidden/>
    <w:unhideWhenUsed/>
    <w:qFormat/>
    <w:rsid w:val="00B01AFF"/>
  </w:style>
  <w:style w:type="character" w:customStyle="1" w:styleId="af4">
    <w:name w:val="註腳文字 字元"/>
    <w:basedOn w:val="a0"/>
    <w:link w:val="af3"/>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a0"/>
    <w:uiPriority w:val="99"/>
    <w:semiHidden/>
    <w:unhideWhenUsed/>
    <w:rsid w:val="00A6334E"/>
    <w:rPr>
      <w:color w:val="605E5C"/>
      <w:shd w:val="clear" w:color="auto" w:fill="E1DFDD"/>
    </w:rPr>
  </w:style>
  <w:style w:type="table" w:customStyle="1" w:styleId="af5">
    <w:basedOn w:val="a1"/>
    <w:tblPr>
      <w:tblStyleRowBandSize w:val="1"/>
      <w:tblStyleColBandSize w:val="1"/>
    </w:tblPr>
  </w:style>
  <w:style w:type="paragraph" w:styleId="af6">
    <w:name w:val="annotation text"/>
    <w:basedOn w:val="a"/>
    <w:link w:val="af7"/>
    <w:uiPriority w:val="99"/>
    <w:unhideWhenUsed/>
  </w:style>
  <w:style w:type="character" w:customStyle="1" w:styleId="af7">
    <w:name w:val="註解文字 字元"/>
    <w:basedOn w:val="a0"/>
    <w:link w:val="af6"/>
    <w:uiPriority w:val="99"/>
    <w:rPr>
      <w:rFonts w:eastAsiaTheme="minorEastAsia"/>
      <w:lang w:eastAsia="zh-TW"/>
    </w:rPr>
  </w:style>
  <w:style w:type="character" w:styleId="af8">
    <w:name w:val="annotation reference"/>
    <w:basedOn w:val="a0"/>
    <w:uiPriority w:val="99"/>
    <w:semiHidden/>
    <w:unhideWhenUsed/>
    <w:rPr>
      <w:sz w:val="16"/>
      <w:szCs w:val="16"/>
    </w:rPr>
  </w:style>
  <w:style w:type="paragraph" w:styleId="af9">
    <w:name w:val="annotation subject"/>
    <w:basedOn w:val="af6"/>
    <w:next w:val="af6"/>
    <w:link w:val="afa"/>
    <w:uiPriority w:val="99"/>
    <w:semiHidden/>
    <w:unhideWhenUsed/>
    <w:rsid w:val="00DD5E92"/>
    <w:rPr>
      <w:b/>
      <w:bCs/>
    </w:rPr>
  </w:style>
  <w:style w:type="character" w:customStyle="1" w:styleId="afa">
    <w:name w:val="註解主旨 字元"/>
    <w:basedOn w:val="af7"/>
    <w:link w:val="af9"/>
    <w:uiPriority w:val="99"/>
    <w:semiHidden/>
    <w:rsid w:val="00DD5E92"/>
    <w:rPr>
      <w:rFonts w:eastAsiaTheme="minorEastAsia"/>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2728">
      <w:bodyDiv w:val="1"/>
      <w:marLeft w:val="0"/>
      <w:marRight w:val="0"/>
      <w:marTop w:val="0"/>
      <w:marBottom w:val="0"/>
      <w:divBdr>
        <w:top w:val="none" w:sz="0" w:space="0" w:color="auto"/>
        <w:left w:val="none" w:sz="0" w:space="0" w:color="auto"/>
        <w:bottom w:val="none" w:sz="0" w:space="0" w:color="auto"/>
        <w:right w:val="none" w:sz="0" w:space="0" w:color="auto"/>
      </w:divBdr>
    </w:div>
    <w:div w:id="534662109">
      <w:bodyDiv w:val="1"/>
      <w:marLeft w:val="0"/>
      <w:marRight w:val="0"/>
      <w:marTop w:val="0"/>
      <w:marBottom w:val="0"/>
      <w:divBdr>
        <w:top w:val="none" w:sz="0" w:space="0" w:color="auto"/>
        <w:left w:val="none" w:sz="0" w:space="0" w:color="auto"/>
        <w:bottom w:val="none" w:sz="0" w:space="0" w:color="auto"/>
        <w:right w:val="none" w:sz="0" w:space="0" w:color="auto"/>
      </w:divBdr>
    </w:div>
    <w:div w:id="1046025385">
      <w:bodyDiv w:val="1"/>
      <w:marLeft w:val="0"/>
      <w:marRight w:val="0"/>
      <w:marTop w:val="0"/>
      <w:marBottom w:val="0"/>
      <w:divBdr>
        <w:top w:val="none" w:sz="0" w:space="0" w:color="auto"/>
        <w:left w:val="none" w:sz="0" w:space="0" w:color="auto"/>
        <w:bottom w:val="none" w:sz="0" w:space="0" w:color="auto"/>
        <w:right w:val="none" w:sz="0" w:space="0" w:color="auto"/>
      </w:divBdr>
    </w:div>
    <w:div w:id="1308513469">
      <w:bodyDiv w:val="1"/>
      <w:marLeft w:val="0"/>
      <w:marRight w:val="0"/>
      <w:marTop w:val="0"/>
      <w:marBottom w:val="0"/>
      <w:divBdr>
        <w:top w:val="none" w:sz="0" w:space="0" w:color="auto"/>
        <w:left w:val="none" w:sz="0" w:space="0" w:color="auto"/>
        <w:bottom w:val="none" w:sz="0" w:space="0" w:color="auto"/>
        <w:right w:val="none" w:sz="0" w:space="0" w:color="auto"/>
      </w:divBdr>
    </w:div>
    <w:div w:id="1471628237">
      <w:bodyDiv w:val="1"/>
      <w:marLeft w:val="0"/>
      <w:marRight w:val="0"/>
      <w:marTop w:val="0"/>
      <w:marBottom w:val="0"/>
      <w:divBdr>
        <w:top w:val="none" w:sz="0" w:space="0" w:color="auto"/>
        <w:left w:val="none" w:sz="0" w:space="0" w:color="auto"/>
        <w:bottom w:val="none" w:sz="0" w:space="0" w:color="auto"/>
        <w:right w:val="none" w:sz="0" w:space="0" w:color="auto"/>
      </w:divBdr>
      <w:divsChild>
        <w:div w:id="1742365955">
          <w:marLeft w:val="0"/>
          <w:marRight w:val="0"/>
          <w:marTop w:val="0"/>
          <w:marBottom w:val="0"/>
          <w:divBdr>
            <w:top w:val="none" w:sz="0" w:space="0" w:color="auto"/>
            <w:left w:val="none" w:sz="0" w:space="0" w:color="auto"/>
            <w:bottom w:val="none" w:sz="0" w:space="0" w:color="auto"/>
            <w:right w:val="none" w:sz="0" w:space="0" w:color="auto"/>
          </w:divBdr>
        </w:div>
      </w:divsChild>
    </w:div>
    <w:div w:id="1497498925">
      <w:bodyDiv w:val="1"/>
      <w:marLeft w:val="0"/>
      <w:marRight w:val="0"/>
      <w:marTop w:val="0"/>
      <w:marBottom w:val="0"/>
      <w:divBdr>
        <w:top w:val="none" w:sz="0" w:space="0" w:color="auto"/>
        <w:left w:val="none" w:sz="0" w:space="0" w:color="auto"/>
        <w:bottom w:val="none" w:sz="0" w:space="0" w:color="auto"/>
        <w:right w:val="none" w:sz="0" w:space="0" w:color="auto"/>
      </w:divBdr>
    </w:div>
    <w:div w:id="1867133843">
      <w:bodyDiv w:val="1"/>
      <w:marLeft w:val="0"/>
      <w:marRight w:val="0"/>
      <w:marTop w:val="0"/>
      <w:marBottom w:val="0"/>
      <w:divBdr>
        <w:top w:val="none" w:sz="0" w:space="0" w:color="auto"/>
        <w:left w:val="none" w:sz="0" w:space="0" w:color="auto"/>
        <w:bottom w:val="none" w:sz="0" w:space="0" w:color="auto"/>
        <w:right w:val="none" w:sz="0" w:space="0" w:color="auto"/>
      </w:divBdr>
    </w:div>
    <w:div w:id="1927110646">
      <w:bodyDiv w:val="1"/>
      <w:marLeft w:val="0"/>
      <w:marRight w:val="0"/>
      <w:marTop w:val="0"/>
      <w:marBottom w:val="0"/>
      <w:divBdr>
        <w:top w:val="none" w:sz="0" w:space="0" w:color="auto"/>
        <w:left w:val="none" w:sz="0" w:space="0" w:color="auto"/>
        <w:bottom w:val="none" w:sz="0" w:space="0" w:color="auto"/>
        <w:right w:val="none" w:sz="0" w:space="0" w:color="auto"/>
      </w:divBdr>
    </w:div>
    <w:div w:id="213112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C6AD95-5F75-6449-AC6D-DB70BEB4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2964</Words>
  <Characters>16899</Characters>
  <Application>Microsoft Office Word</Application>
  <DocSecurity>0</DocSecurity>
  <Lines>140</Lines>
  <Paragraphs>39</Paragraphs>
  <ScaleCrop>false</ScaleCrop>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Yi-Ting Lin (PGR)</cp:lastModifiedBy>
  <cp:revision>2</cp:revision>
  <dcterms:created xsi:type="dcterms:W3CDTF">2022-06-22T11:11:00Z</dcterms:created>
  <dcterms:modified xsi:type="dcterms:W3CDTF">2022-06-22T11:11:00Z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d188a914-30f8-33bc-abc2-d2fca57a7901</vt:lpwstr>
  </property>
  <property fmtid="{D5CDD505-2E9C-101B-9397-08002B2CF9AE}" pid="24" name="Mendeley Citation Style_1">
    <vt:lpwstr>http://www.zotero.org/styles/ieee</vt:lpwstr>
  </property>
</Properties>
</file>