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360" w:right="0" w:firstLine="0"/>
        <w:jc w:val="center"/>
        <w:rPr>
          <w:rFonts w:ascii="Open Sans" w:cs="Open Sans" w:eastAsia="Open Sans" w:hAnsi="Open Sans"/>
          <w:b w:val="0"/>
          <w:i w:val="0"/>
          <w:smallCaps w:val="1"/>
          <w:strike w:val="0"/>
          <w:color w:val="000000"/>
          <w:sz w:val="48"/>
          <w:szCs w:val="48"/>
          <w:u w:val="none"/>
          <w:shd w:fill="auto" w:val="clear"/>
          <w:vertAlign w:val="baseline"/>
        </w:rPr>
      </w:pPr>
      <w:r w:rsidDel="00000000" w:rsidR="00000000" w:rsidRPr="00000000">
        <w:rPr>
          <w:smallCaps w:val="1"/>
          <w:sz w:val="48"/>
          <w:szCs w:val="48"/>
          <w:rtl w:val="0"/>
        </w:rPr>
        <w:t xml:space="preserve">Registering Our Preservation Intentions</w:t>
      </w:r>
      <w:r w:rsidDel="00000000" w:rsidR="00000000" w:rsidRPr="00000000">
        <w:rPr>
          <w:rtl w:val="0"/>
        </w:rPr>
      </w:r>
    </w:p>
    <w:p w:rsidR="00000000" w:rsidDel="00000000" w:rsidP="00000000" w:rsidRDefault="00000000" w:rsidRPr="00000000" w14:paraId="00000002">
      <w:pPr>
        <w:pStyle w:val="Subtitle"/>
        <w:rPr/>
      </w:pPr>
      <w:r w:rsidDel="00000000" w:rsidR="00000000" w:rsidRPr="00000000">
        <w:rPr>
          <w:rtl w:val="0"/>
        </w:rPr>
        <w:t xml:space="preserve">A collaborative workshop on digital preservation registries</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tbl>
      <w:tblPr>
        <w:tblStyle w:val="Table1"/>
        <w:tblW w:w="901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003"/>
        <w:gridCol w:w="3003"/>
        <w:gridCol w:w="3004"/>
        <w:tblGridChange w:id="0">
          <w:tblGrid>
            <w:gridCol w:w="3003"/>
            <w:gridCol w:w="3003"/>
            <w:gridCol w:w="3004"/>
          </w:tblGrid>
        </w:tblGridChange>
      </w:tblGrid>
      <w:tr>
        <w:trPr>
          <w:cantSplit w:val="0"/>
          <w:tblHeader w:val="0"/>
        </w:trPr>
        <w:tc>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40"/>
              <w:jc w:val="center"/>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Ross Spencer</w:t>
            </w:r>
            <w:r w:rsidDel="00000000" w:rsidR="00000000" w:rsidRPr="00000000">
              <w:rPr>
                <w:rtl w:val="0"/>
              </w:rPr>
            </w:r>
          </w:p>
        </w:tc>
        <w:tc>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40"/>
              <w:jc w:val="center"/>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Paul Wheatley</w:t>
            </w:r>
            <w:r w:rsidDel="00000000" w:rsidR="00000000" w:rsidRPr="00000000">
              <w:rPr>
                <w:rtl w:val="0"/>
              </w:rPr>
            </w:r>
          </w:p>
        </w:tc>
        <w:tc>
          <w:tcPr/>
          <w:p w:rsidR="00000000" w:rsidDel="00000000" w:rsidP="00000000" w:rsidRDefault="00000000" w:rsidRPr="00000000" w14:paraId="00000006">
            <w:pPr>
              <w:spacing w:line="276" w:lineRule="auto"/>
              <w:jc w:val="center"/>
              <w:rPr>
                <w:b w:val="1"/>
                <w:sz w:val="24"/>
                <w:szCs w:val="24"/>
              </w:rPr>
            </w:pPr>
            <w:r w:rsidDel="00000000" w:rsidR="00000000" w:rsidRPr="00000000">
              <w:rPr>
                <w:b w:val="1"/>
                <w:sz w:val="24"/>
                <w:szCs w:val="24"/>
                <w:rtl w:val="0"/>
              </w:rPr>
              <w:t xml:space="preserve">Euan Cochrane</w:t>
            </w:r>
          </w:p>
        </w:tc>
      </w:tr>
      <w:tr>
        <w:trPr>
          <w:cantSplit w:val="0"/>
          <w:trHeight w:val="578" w:hRule="atLeast"/>
          <w:tblHeader w:val="0"/>
        </w:trPr>
        <w:tc>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0"/>
              <w:jc w:val="center"/>
              <w:rPr>
                <w:rFonts w:ascii="Open Sans" w:cs="Open Sans" w:eastAsia="Open Sans" w:hAnsi="Open Sans"/>
                <w:b w:val="0"/>
                <w:i w:val="1"/>
                <w:smallCaps w:val="0"/>
                <w:strike w:val="0"/>
                <w:color w:val="000000"/>
                <w:sz w:val="20"/>
                <w:szCs w:val="20"/>
                <w:u w:val="none"/>
                <w:shd w:fill="auto" w:val="clear"/>
                <w:vertAlign w:val="baseline"/>
              </w:rPr>
            </w:pPr>
            <w:r w:rsidDel="00000000" w:rsidR="00000000" w:rsidRPr="00000000">
              <w:rPr>
                <w:i w:val="1"/>
                <w:rtl w:val="0"/>
              </w:rPr>
              <w:t xml:space="preserve">Ravensburger AG</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0"/>
              <w:jc w:val="center"/>
              <w:rPr>
                <w:rFonts w:ascii="Open Sans" w:cs="Open Sans" w:eastAsia="Open Sans" w:hAnsi="Open Sans"/>
                <w:b w:val="0"/>
                <w:i w:val="1"/>
                <w:smallCaps w:val="0"/>
                <w:strike w:val="0"/>
                <w:color w:val="000000"/>
                <w:sz w:val="20"/>
                <w:szCs w:val="20"/>
                <w:u w:val="none"/>
                <w:shd w:fill="auto" w:val="clear"/>
                <w:vertAlign w:val="baseline"/>
              </w:rPr>
            </w:pPr>
            <w:r w:rsidDel="00000000" w:rsidR="00000000" w:rsidRPr="00000000">
              <w:rPr>
                <w:i w:val="1"/>
                <w:rtl w:val="0"/>
              </w:rPr>
              <w:t xml:space="preserve">Germany</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0"/>
              <w:jc w:val="center"/>
              <w:rPr>
                <w:rFonts w:ascii="Open Sans" w:cs="Open Sans" w:eastAsia="Open Sans" w:hAnsi="Open Sans"/>
                <w:b w:val="0"/>
                <w:i w:val="1"/>
                <w:smallCaps w:val="0"/>
                <w:strike w:val="0"/>
                <w:color w:val="000000"/>
                <w:sz w:val="20"/>
                <w:szCs w:val="20"/>
                <w:u w:val="none"/>
                <w:shd w:fill="auto" w:val="clear"/>
                <w:vertAlign w:val="baseline"/>
              </w:rPr>
            </w:pPr>
            <w:hyperlink r:id="rId6">
              <w:r w:rsidDel="00000000" w:rsidR="00000000" w:rsidRPr="00000000">
                <w:rPr>
                  <w:i w:val="1"/>
                  <w:color w:val="1155cc"/>
                  <w:u w:val="single"/>
                  <w:rtl w:val="0"/>
                </w:rPr>
                <w:t xml:space="preserve">ross.spencer@ravensburger.ag</w:t>
              </w:r>
            </w:hyperlink>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0"/>
              <w:jc w:val="center"/>
              <w:rPr>
                <w:rFonts w:ascii="Open Sans" w:cs="Open Sans" w:eastAsia="Open Sans" w:hAnsi="Open Sans"/>
                <w:b w:val="0"/>
                <w:i w:val="1"/>
                <w:smallCaps w:val="0"/>
                <w:strike w:val="0"/>
                <w:color w:val="000000"/>
                <w:sz w:val="20"/>
                <w:szCs w:val="20"/>
                <w:u w:val="none"/>
                <w:shd w:fill="auto" w:val="clear"/>
                <w:vertAlign w:val="baseline"/>
              </w:rPr>
            </w:pPr>
            <w:r w:rsidDel="00000000" w:rsidR="00000000" w:rsidRPr="00000000">
              <w:rPr>
                <w:i w:val="1"/>
                <w:rtl w:val="0"/>
              </w:rPr>
              <w:t xml:space="preserve">0000-0002-5144-9794</w:t>
            </w:r>
            <w:r w:rsidDel="00000000" w:rsidR="00000000" w:rsidRPr="00000000">
              <w:rPr>
                <w:rtl w:val="0"/>
              </w:rPr>
            </w:r>
          </w:p>
        </w:tc>
        <w:tc>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0"/>
              <w:jc w:val="center"/>
              <w:rPr>
                <w:rFonts w:ascii="Open Sans" w:cs="Open Sans" w:eastAsia="Open Sans" w:hAnsi="Open Sans"/>
                <w:b w:val="0"/>
                <w:i w:val="1"/>
                <w:smallCaps w:val="0"/>
                <w:strike w:val="0"/>
                <w:color w:val="000000"/>
                <w:sz w:val="20"/>
                <w:szCs w:val="20"/>
                <w:u w:val="none"/>
                <w:shd w:fill="auto" w:val="clear"/>
                <w:vertAlign w:val="baseline"/>
              </w:rPr>
            </w:pPr>
            <w:r w:rsidDel="00000000" w:rsidR="00000000" w:rsidRPr="00000000">
              <w:rPr>
                <w:i w:val="1"/>
                <w:rtl w:val="0"/>
              </w:rPr>
              <w:t xml:space="preserve">Digital Preservation Coalition</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0"/>
              <w:jc w:val="center"/>
              <w:rPr>
                <w:rFonts w:ascii="Open Sans" w:cs="Open Sans" w:eastAsia="Open Sans" w:hAnsi="Open Sans"/>
                <w:b w:val="0"/>
                <w:i w:val="1"/>
                <w:smallCaps w:val="0"/>
                <w:strike w:val="0"/>
                <w:color w:val="000000"/>
                <w:sz w:val="20"/>
                <w:szCs w:val="20"/>
                <w:u w:val="none"/>
                <w:shd w:fill="auto" w:val="clear"/>
                <w:vertAlign w:val="baseline"/>
              </w:rPr>
            </w:pPr>
            <w:r w:rsidDel="00000000" w:rsidR="00000000" w:rsidRPr="00000000">
              <w:rPr>
                <w:i w:val="1"/>
                <w:rtl w:val="0"/>
              </w:rPr>
              <w:t xml:space="preserve">UK</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0"/>
              <w:jc w:val="center"/>
              <w:rPr>
                <w:i w:val="1"/>
              </w:rPr>
            </w:pPr>
            <w:hyperlink r:id="rId7">
              <w:r w:rsidDel="00000000" w:rsidR="00000000" w:rsidRPr="00000000">
                <w:rPr>
                  <w:i w:val="1"/>
                  <w:color w:val="1155cc"/>
                  <w:u w:val="single"/>
                  <w:rtl w:val="0"/>
                </w:rPr>
                <w:t xml:space="preserve">paul@dpconline.org</w:t>
              </w:r>
            </w:hyperlink>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0"/>
              <w:jc w:val="center"/>
              <w:rPr>
                <w:rFonts w:ascii="Open Sans" w:cs="Open Sans" w:eastAsia="Open Sans" w:hAnsi="Open Sans"/>
                <w:b w:val="0"/>
                <w:i w:val="1"/>
                <w:smallCaps w:val="0"/>
                <w:strike w:val="0"/>
                <w:color w:val="000000"/>
                <w:sz w:val="20"/>
                <w:szCs w:val="20"/>
                <w:u w:val="none"/>
                <w:shd w:fill="auto" w:val="clear"/>
                <w:vertAlign w:val="baseline"/>
              </w:rPr>
            </w:pPr>
            <w:r w:rsidDel="00000000" w:rsidR="00000000" w:rsidRPr="00000000">
              <w:rPr>
                <w:i w:val="1"/>
                <w:rtl w:val="0"/>
              </w:rPr>
              <w:t xml:space="preserve">0000-0002-3839-3298</w:t>
            </w:r>
            <w:r w:rsidDel="00000000" w:rsidR="00000000" w:rsidRPr="00000000">
              <w:rPr>
                <w:rtl w:val="0"/>
              </w:rPr>
            </w:r>
          </w:p>
        </w:tc>
        <w:tc>
          <w:tcPr/>
          <w:p w:rsidR="00000000" w:rsidDel="00000000" w:rsidP="00000000" w:rsidRDefault="00000000" w:rsidRPr="00000000" w14:paraId="0000000F">
            <w:pPr>
              <w:jc w:val="center"/>
              <w:rPr>
                <w:i w:val="1"/>
              </w:rPr>
            </w:pPr>
            <w:r w:rsidDel="00000000" w:rsidR="00000000" w:rsidRPr="00000000">
              <w:rPr>
                <w:i w:val="1"/>
                <w:rtl w:val="0"/>
              </w:rPr>
              <w:t xml:space="preserve">Yale University Library</w:t>
            </w:r>
          </w:p>
          <w:p w:rsidR="00000000" w:rsidDel="00000000" w:rsidP="00000000" w:rsidRDefault="00000000" w:rsidRPr="00000000" w14:paraId="00000010">
            <w:pPr>
              <w:jc w:val="center"/>
              <w:rPr>
                <w:i w:val="1"/>
              </w:rPr>
            </w:pPr>
            <w:r w:rsidDel="00000000" w:rsidR="00000000" w:rsidRPr="00000000">
              <w:rPr>
                <w:i w:val="1"/>
                <w:rtl w:val="0"/>
              </w:rPr>
              <w:t xml:space="preserve"> United States</w:t>
            </w:r>
          </w:p>
          <w:p w:rsidR="00000000" w:rsidDel="00000000" w:rsidP="00000000" w:rsidRDefault="00000000" w:rsidRPr="00000000" w14:paraId="00000011">
            <w:pPr>
              <w:jc w:val="center"/>
              <w:rPr>
                <w:i w:val="1"/>
              </w:rPr>
            </w:pPr>
            <w:hyperlink r:id="rId8">
              <w:r w:rsidDel="00000000" w:rsidR="00000000" w:rsidRPr="00000000">
                <w:rPr>
                  <w:i w:val="1"/>
                  <w:color w:val="1155cc"/>
                  <w:u w:val="single"/>
                  <w:rtl w:val="0"/>
                </w:rPr>
                <w:t xml:space="preserve">euan.cochrane@yale.edu</w:t>
              </w:r>
            </w:hyperlink>
            <w:r w:rsidDel="00000000" w:rsidR="00000000" w:rsidRPr="00000000">
              <w:rPr>
                <w:rtl w:val="0"/>
              </w:rPr>
            </w:r>
          </w:p>
          <w:p w:rsidR="00000000" w:rsidDel="00000000" w:rsidP="00000000" w:rsidRDefault="00000000" w:rsidRPr="00000000" w14:paraId="00000012">
            <w:pPr>
              <w:jc w:val="center"/>
              <w:rPr>
                <w:i w:val="1"/>
              </w:rPr>
            </w:pPr>
            <w:r w:rsidDel="00000000" w:rsidR="00000000" w:rsidRPr="00000000">
              <w:rPr>
                <w:i w:val="1"/>
                <w:rtl w:val="0"/>
              </w:rPr>
              <w:t xml:space="preserve">0000-0001-9772-9743</w:t>
            </w:r>
          </w:p>
          <w:p w:rsidR="00000000" w:rsidDel="00000000" w:rsidP="00000000" w:rsidRDefault="00000000" w:rsidRPr="00000000" w14:paraId="00000013">
            <w:pPr>
              <w:jc w:val="center"/>
              <w:rPr>
                <w:i w:val="1"/>
              </w:rPr>
            </w:pPr>
            <w:r w:rsidDel="00000000" w:rsidR="00000000" w:rsidRPr="00000000">
              <w:rPr>
                <w:rtl w:val="0"/>
              </w:rPr>
            </w:r>
          </w:p>
          <w:p w:rsidR="00000000" w:rsidDel="00000000" w:rsidP="00000000" w:rsidRDefault="00000000" w:rsidRPr="00000000" w14:paraId="00000014">
            <w:pPr>
              <w:jc w:val="center"/>
              <w:rPr>
                <w:i w:val="1"/>
              </w:rPr>
            </w:pPr>
            <w:r w:rsidDel="00000000" w:rsidR="00000000" w:rsidRPr="00000000">
              <w:rPr>
                <w:rtl w:val="0"/>
              </w:rPr>
            </w:r>
          </w:p>
        </w:tc>
      </w:tr>
      <w:tr>
        <w:trPr>
          <w:cantSplit w:val="0"/>
          <w:trHeight w:val="399" w:hRule="atLeast"/>
          <w:tblHeader w:val="0"/>
        </w:trPr>
        <w:tc>
          <w:tcPr/>
          <w:p w:rsidR="00000000" w:rsidDel="00000000" w:rsidP="00000000" w:rsidRDefault="00000000" w:rsidRPr="00000000" w14:paraId="00000015">
            <w:pPr>
              <w:spacing w:line="276" w:lineRule="auto"/>
              <w:jc w:val="center"/>
              <w:rPr>
                <w:b w:val="1"/>
                <w:sz w:val="24"/>
                <w:szCs w:val="24"/>
              </w:rPr>
            </w:pPr>
            <w:r w:rsidDel="00000000" w:rsidR="00000000" w:rsidRPr="00000000">
              <w:rPr>
                <w:b w:val="1"/>
                <w:sz w:val="24"/>
                <w:szCs w:val="24"/>
                <w:rtl w:val="0"/>
              </w:rPr>
              <w:t xml:space="preserve">Kate Murray</w:t>
            </w:r>
          </w:p>
        </w:tc>
        <w:tc>
          <w:tcPr/>
          <w:p w:rsidR="00000000" w:rsidDel="00000000" w:rsidP="00000000" w:rsidRDefault="00000000" w:rsidRPr="00000000" w14:paraId="00000016">
            <w:pPr>
              <w:spacing w:line="276" w:lineRule="auto"/>
              <w:jc w:val="center"/>
              <w:rPr>
                <w:b w:val="1"/>
                <w:sz w:val="24"/>
                <w:szCs w:val="24"/>
              </w:rPr>
            </w:pPr>
            <w:r w:rsidDel="00000000" w:rsidR="00000000" w:rsidRPr="00000000">
              <w:rPr>
                <w:b w:val="1"/>
                <w:sz w:val="24"/>
                <w:szCs w:val="24"/>
                <w:rtl w:val="0"/>
              </w:rPr>
              <w:t xml:space="preserve">Andrew N. Jackson</w:t>
            </w:r>
          </w:p>
        </w:tc>
        <w:tc>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0"/>
              <w:jc w:val="center"/>
              <w:rPr>
                <w:b w:val="1"/>
                <w:sz w:val="24"/>
                <w:szCs w:val="24"/>
              </w:rPr>
            </w:pPr>
            <w:r w:rsidDel="00000000" w:rsidR="00000000" w:rsidRPr="00000000">
              <w:rPr>
                <w:b w:val="1"/>
                <w:sz w:val="24"/>
                <w:szCs w:val="24"/>
                <w:rtl w:val="0"/>
              </w:rPr>
              <w:t xml:space="preserve">Francesca</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0"/>
              <w:jc w:val="center"/>
              <w:rPr>
                <w:b w:val="1"/>
                <w:smallCaps w:val="0"/>
                <w:strike w:val="0"/>
                <w:color w:val="000000"/>
                <w:sz w:val="24"/>
                <w:szCs w:val="24"/>
                <w:u w:val="none"/>
                <w:shd w:fill="auto" w:val="clear"/>
                <w:vertAlign w:val="baseline"/>
              </w:rPr>
            </w:pPr>
            <w:r w:rsidDel="00000000" w:rsidR="00000000" w:rsidRPr="00000000">
              <w:rPr>
                <w:b w:val="1"/>
                <w:sz w:val="24"/>
                <w:szCs w:val="24"/>
                <w:rtl w:val="0"/>
              </w:rPr>
              <w:t xml:space="preserve"> Mackenzie</w:t>
            </w:r>
            <w:r w:rsidDel="00000000" w:rsidR="00000000" w:rsidRPr="00000000">
              <w:rPr>
                <w:rtl w:val="0"/>
              </w:rPr>
            </w:r>
          </w:p>
        </w:tc>
      </w:tr>
      <w:tr>
        <w:trPr>
          <w:cantSplit w:val="0"/>
          <w:trHeight w:val="399" w:hRule="atLeast"/>
          <w:tblHeader w:val="0"/>
        </w:trPr>
        <w:tc>
          <w:tcPr/>
          <w:p w:rsidR="00000000" w:rsidDel="00000000" w:rsidP="00000000" w:rsidRDefault="00000000" w:rsidRPr="00000000" w14:paraId="00000019">
            <w:pPr>
              <w:jc w:val="center"/>
              <w:rPr>
                <w:i w:val="1"/>
              </w:rPr>
            </w:pPr>
            <w:r w:rsidDel="00000000" w:rsidR="00000000" w:rsidRPr="00000000">
              <w:rPr>
                <w:i w:val="1"/>
                <w:rtl w:val="0"/>
              </w:rPr>
              <w:t xml:space="preserve">Library of Congress</w:t>
            </w:r>
          </w:p>
          <w:p w:rsidR="00000000" w:rsidDel="00000000" w:rsidP="00000000" w:rsidRDefault="00000000" w:rsidRPr="00000000" w14:paraId="0000001A">
            <w:pPr>
              <w:jc w:val="center"/>
              <w:rPr>
                <w:i w:val="1"/>
              </w:rPr>
            </w:pPr>
            <w:r w:rsidDel="00000000" w:rsidR="00000000" w:rsidRPr="00000000">
              <w:rPr>
                <w:i w:val="1"/>
                <w:rtl w:val="0"/>
              </w:rPr>
              <w:t xml:space="preserve"> United States</w:t>
            </w:r>
          </w:p>
          <w:p w:rsidR="00000000" w:rsidDel="00000000" w:rsidP="00000000" w:rsidRDefault="00000000" w:rsidRPr="00000000" w14:paraId="0000001B">
            <w:pPr>
              <w:jc w:val="center"/>
              <w:rPr>
                <w:i w:val="1"/>
              </w:rPr>
            </w:pPr>
            <w:hyperlink r:id="rId9">
              <w:r w:rsidDel="00000000" w:rsidR="00000000" w:rsidRPr="00000000">
                <w:rPr>
                  <w:i w:val="1"/>
                  <w:color w:val="1155cc"/>
                  <w:u w:val="single"/>
                  <w:rtl w:val="0"/>
                </w:rPr>
                <w:t xml:space="preserve">kmur@loc.gov</w:t>
              </w:r>
            </w:hyperlink>
            <w:r w:rsidDel="00000000" w:rsidR="00000000" w:rsidRPr="00000000">
              <w:rPr>
                <w:rtl w:val="0"/>
              </w:rPr>
            </w:r>
          </w:p>
          <w:p w:rsidR="00000000" w:rsidDel="00000000" w:rsidP="00000000" w:rsidRDefault="00000000" w:rsidRPr="00000000" w14:paraId="0000001C">
            <w:pPr>
              <w:jc w:val="center"/>
              <w:rPr>
                <w:i w:val="1"/>
              </w:rPr>
            </w:pPr>
            <w:r w:rsidDel="00000000" w:rsidR="00000000" w:rsidRPr="00000000">
              <w:rPr>
                <w:i w:val="1"/>
                <w:rtl w:val="0"/>
              </w:rPr>
              <w:t xml:space="preserve">0000-0003-1325-0829</w:t>
            </w:r>
          </w:p>
          <w:p w:rsidR="00000000" w:rsidDel="00000000" w:rsidP="00000000" w:rsidRDefault="00000000" w:rsidRPr="00000000" w14:paraId="0000001D">
            <w:pPr>
              <w:jc w:val="center"/>
              <w:rPr>
                <w:i w:val="1"/>
              </w:rPr>
            </w:pPr>
            <w:r w:rsidDel="00000000" w:rsidR="00000000" w:rsidRPr="00000000">
              <w:rPr>
                <w:rtl w:val="0"/>
              </w:rPr>
            </w:r>
          </w:p>
          <w:p w:rsidR="00000000" w:rsidDel="00000000" w:rsidP="00000000" w:rsidRDefault="00000000" w:rsidRPr="00000000" w14:paraId="0000001E">
            <w:pPr>
              <w:jc w:val="center"/>
              <w:rPr>
                <w:i w:val="1"/>
              </w:rPr>
            </w:pPr>
            <w:r w:rsidDel="00000000" w:rsidR="00000000" w:rsidRPr="00000000">
              <w:rPr>
                <w:rtl w:val="0"/>
              </w:rPr>
            </w:r>
          </w:p>
        </w:tc>
        <w:tc>
          <w:tcPr/>
          <w:p w:rsidR="00000000" w:rsidDel="00000000" w:rsidP="00000000" w:rsidRDefault="00000000" w:rsidRPr="00000000" w14:paraId="0000001F">
            <w:pPr>
              <w:jc w:val="center"/>
              <w:rPr>
                <w:i w:val="1"/>
              </w:rPr>
            </w:pPr>
            <w:r w:rsidDel="00000000" w:rsidR="00000000" w:rsidRPr="00000000">
              <w:rPr>
                <w:i w:val="1"/>
                <w:rtl w:val="0"/>
              </w:rPr>
              <w:t xml:space="preserve">The British Library</w:t>
            </w:r>
          </w:p>
          <w:p w:rsidR="00000000" w:rsidDel="00000000" w:rsidP="00000000" w:rsidRDefault="00000000" w:rsidRPr="00000000" w14:paraId="00000020">
            <w:pPr>
              <w:jc w:val="center"/>
              <w:rPr>
                <w:i w:val="1"/>
              </w:rPr>
            </w:pPr>
            <w:r w:rsidDel="00000000" w:rsidR="00000000" w:rsidRPr="00000000">
              <w:rPr>
                <w:i w:val="1"/>
                <w:rtl w:val="0"/>
              </w:rPr>
              <w:t xml:space="preserve">UK</w:t>
            </w:r>
          </w:p>
          <w:p w:rsidR="00000000" w:rsidDel="00000000" w:rsidP="00000000" w:rsidRDefault="00000000" w:rsidRPr="00000000" w14:paraId="00000021">
            <w:pPr>
              <w:jc w:val="center"/>
              <w:rPr>
                <w:i w:val="1"/>
              </w:rPr>
            </w:pPr>
            <w:hyperlink r:id="rId10">
              <w:r w:rsidDel="00000000" w:rsidR="00000000" w:rsidRPr="00000000">
                <w:rPr>
                  <w:i w:val="1"/>
                  <w:color w:val="1155cc"/>
                  <w:u w:val="single"/>
                  <w:rtl w:val="0"/>
                </w:rPr>
                <w:t xml:space="preserve">Andrew.Jackson@bl.uk</w:t>
              </w:r>
            </w:hyperlink>
            <w:r w:rsidDel="00000000" w:rsidR="00000000" w:rsidRPr="00000000">
              <w:rPr>
                <w:rtl w:val="0"/>
              </w:rPr>
            </w:r>
          </w:p>
          <w:p w:rsidR="00000000" w:rsidDel="00000000" w:rsidP="00000000" w:rsidRDefault="00000000" w:rsidRPr="00000000" w14:paraId="00000022">
            <w:pPr>
              <w:jc w:val="center"/>
              <w:rPr>
                <w:i w:val="1"/>
              </w:rPr>
            </w:pPr>
            <w:r w:rsidDel="00000000" w:rsidR="00000000" w:rsidRPr="00000000">
              <w:rPr>
                <w:i w:val="1"/>
                <w:rtl w:val="0"/>
              </w:rPr>
              <w:t xml:space="preserve">0000-0001-8168-0797</w:t>
            </w:r>
          </w:p>
          <w:p w:rsidR="00000000" w:rsidDel="00000000" w:rsidP="00000000" w:rsidRDefault="00000000" w:rsidRPr="00000000" w14:paraId="00000023">
            <w:pPr>
              <w:jc w:val="left"/>
              <w:rPr>
                <w:i w:val="1"/>
              </w:rPr>
            </w:pPr>
            <w:r w:rsidDel="00000000" w:rsidR="00000000" w:rsidRPr="00000000">
              <w:rPr>
                <w:rtl w:val="0"/>
              </w:rPr>
            </w:r>
          </w:p>
          <w:p w:rsidR="00000000" w:rsidDel="00000000" w:rsidP="00000000" w:rsidRDefault="00000000" w:rsidRPr="00000000" w14:paraId="00000024">
            <w:pPr>
              <w:jc w:val="center"/>
              <w:rPr>
                <w:i w:val="1"/>
              </w:rPr>
            </w:pPr>
            <w:r w:rsidDel="00000000" w:rsidR="00000000" w:rsidRPr="00000000">
              <w:rPr>
                <w:rtl w:val="0"/>
              </w:rPr>
            </w:r>
          </w:p>
        </w:tc>
        <w:tc>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0"/>
              <w:jc w:val="center"/>
              <w:rPr>
                <w:i w:val="1"/>
              </w:rPr>
            </w:pPr>
            <w:r w:rsidDel="00000000" w:rsidR="00000000" w:rsidRPr="00000000">
              <w:rPr>
                <w:i w:val="1"/>
                <w:rtl w:val="0"/>
              </w:rPr>
              <w:t xml:space="preserve">The National Archives</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0"/>
              <w:jc w:val="center"/>
              <w:rPr>
                <w:i w:val="1"/>
              </w:rPr>
            </w:pPr>
            <w:r w:rsidDel="00000000" w:rsidR="00000000" w:rsidRPr="00000000">
              <w:rPr>
                <w:i w:val="1"/>
                <w:rtl w:val="0"/>
              </w:rPr>
              <w:t xml:space="preserve">UK</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0"/>
              <w:jc w:val="center"/>
              <w:rPr>
                <w:i w:val="1"/>
              </w:rPr>
            </w:pPr>
            <w:hyperlink r:id="rId11">
              <w:r w:rsidDel="00000000" w:rsidR="00000000" w:rsidRPr="00000000">
                <w:rPr>
                  <w:i w:val="1"/>
                  <w:color w:val="1155cc"/>
                  <w:u w:val="single"/>
                  <w:rtl w:val="0"/>
                </w:rPr>
                <w:t xml:space="preserve">francesca.mackenzie@nationalarchives.gov.uk</w:t>
              </w:r>
            </w:hyperlink>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0"/>
              <w:jc w:val="center"/>
              <w:rPr>
                <w:i w:val="1"/>
                <w:sz w:val="18"/>
                <w:szCs w:val="18"/>
              </w:rPr>
            </w:pPr>
            <w:r w:rsidDel="00000000" w:rsidR="00000000" w:rsidRPr="00000000">
              <w:rPr>
                <w:i w:val="1"/>
                <w:rtl w:val="0"/>
              </w:rPr>
              <w:t xml:space="preserve">0000-0002-1863-7662</w:t>
            </w:r>
            <w:r w:rsidDel="00000000" w:rsidR="00000000" w:rsidRPr="00000000">
              <w:rPr>
                <w:rtl w:val="0"/>
              </w:rPr>
            </w:r>
          </w:p>
        </w:tc>
      </w:tr>
    </w:tbl>
    <w:p w:rsidR="00000000" w:rsidDel="00000000" w:rsidP="00000000" w:rsidRDefault="00000000" w:rsidRPr="00000000" w14:paraId="00000029">
      <w:pPr>
        <w:rPr/>
        <w:sectPr>
          <w:headerReference r:id="rId12" w:type="default"/>
          <w:headerReference r:id="rId13" w:type="first"/>
          <w:footerReference r:id="rId14" w:type="default"/>
          <w:footerReference r:id="rId15" w:type="first"/>
          <w:footerReference r:id="rId16" w:type="even"/>
          <w:pgSz w:h="16820" w:w="11900" w:orient="portrait"/>
          <w:pgMar w:bottom="1440" w:top="1440" w:left="1440" w:right="1440" w:header="567" w:footer="737"/>
          <w:pgNumType w:start="1"/>
          <w:titlePg w:val="1"/>
        </w:sectPr>
      </w:pPr>
      <w:r w:rsidDel="00000000" w:rsidR="00000000" w:rsidRPr="00000000">
        <w:rPr>
          <w:rtl w:val="0"/>
        </w:rPr>
      </w:r>
    </w:p>
    <w:p w:rsidR="00000000" w:rsidDel="00000000" w:rsidP="00000000" w:rsidRDefault="00000000" w:rsidRPr="00000000" w14:paraId="0000002A">
      <w:pPr>
        <w:spacing w:after="120" w:lineRule="auto"/>
        <w:rPr>
          <w:rFonts w:ascii="Open Sans" w:cs="Open Sans" w:eastAsia="Open Sans" w:hAnsi="Open Sans"/>
          <w:b w:val="1"/>
          <w:i w:val="0"/>
          <w:smallCaps w:val="0"/>
          <w:strike w:val="0"/>
          <w:color w:val="000000"/>
          <w:sz w:val="18"/>
          <w:szCs w:val="18"/>
          <w:u w:val="none"/>
          <w:shd w:fill="auto" w:val="clear"/>
          <w:vertAlign w:val="baseline"/>
        </w:rPr>
      </w:pPr>
      <w:r w:rsidDel="00000000" w:rsidR="00000000" w:rsidRPr="00000000">
        <w:rPr>
          <w:b w:val="1"/>
          <w:sz w:val="18"/>
          <w:szCs w:val="18"/>
          <w:rtl w:val="0"/>
        </w:rPr>
        <w:t xml:space="preserve">Registries that describe the technical context within which our digital data resides make up a critical part of our digital preservation infrastructure. </w:t>
      </w:r>
      <w:r w:rsidDel="00000000" w:rsidR="00000000" w:rsidRPr="00000000">
        <w:rPr>
          <w:b w:val="1"/>
          <w:sz w:val="18"/>
          <w:szCs w:val="18"/>
          <w:rtl w:val="0"/>
        </w:rPr>
        <w:t xml:space="preserve">This workshop seeks to bring together those involved in developing, supporting and utilizing preservation registries along with the wider community of users and contributors. </w:t>
      </w:r>
      <w:r w:rsidDel="00000000" w:rsidR="00000000" w:rsidRPr="00000000">
        <w:rPr>
          <w:b w:val="1"/>
          <w:sz w:val="18"/>
          <w:szCs w:val="18"/>
          <w:rtl w:val="0"/>
        </w:rPr>
        <w:t xml:space="preserve">It aims to provide a space for discussion on the future of the preservation registries landscape, </w:t>
      </w:r>
      <w:r w:rsidDel="00000000" w:rsidR="00000000" w:rsidRPr="00000000">
        <w:rPr>
          <w:b w:val="1"/>
          <w:sz w:val="18"/>
          <w:szCs w:val="18"/>
          <w:rtl w:val="0"/>
        </w:rPr>
        <w:t xml:space="preserve">identifying gaps in provision, understanding changing user needs, and exploring opportunities for collaboration.</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pen Sans" w:cs="Open Sans" w:eastAsia="Open Sans" w:hAnsi="Open Sans"/>
          <w:b w:val="1"/>
          <w:i w:val="0"/>
          <w:smallCaps w:val="0"/>
          <w:strike w:val="0"/>
          <w:color w:val="000000"/>
          <w:sz w:val="18"/>
          <w:szCs w:val="18"/>
          <w:u w:val="none"/>
          <w:shd w:fill="auto" w:val="clear"/>
          <w:vertAlign w:val="baseline"/>
        </w:rPr>
      </w:pPr>
      <w:r w:rsidDel="00000000" w:rsidR="00000000" w:rsidRPr="00000000">
        <w:rPr>
          <w:rFonts w:ascii="Open Sans" w:cs="Open Sans" w:eastAsia="Open Sans" w:hAnsi="Open Sans"/>
          <w:b w:val="1"/>
          <w:i w:val="0"/>
          <w:smallCaps w:val="0"/>
          <w:strike w:val="0"/>
          <w:color w:val="000000"/>
          <w:sz w:val="18"/>
          <w:szCs w:val="18"/>
          <w:u w:val="none"/>
          <w:shd w:fill="auto" w:val="clear"/>
          <w:vertAlign w:val="baseline"/>
          <w:rtl w:val="0"/>
        </w:rPr>
        <w:t xml:space="preserve">Keywords – </w:t>
      </w:r>
      <w:r w:rsidDel="00000000" w:rsidR="00000000" w:rsidRPr="00000000">
        <w:rPr>
          <w:b w:val="1"/>
          <w:sz w:val="18"/>
          <w:szCs w:val="18"/>
          <w:rtl w:val="0"/>
        </w:rPr>
        <w:t xml:space="preserve">File formats, Preservation Registries, Preservation Tools</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pen Sans" w:cs="Open Sans" w:eastAsia="Open Sans" w:hAnsi="Open Sans"/>
          <w:b w:val="1"/>
          <w:i w:val="0"/>
          <w:smallCaps w:val="0"/>
          <w:strike w:val="0"/>
          <w:color w:val="000000"/>
          <w:sz w:val="18"/>
          <w:szCs w:val="18"/>
          <w:u w:val="none"/>
          <w:shd w:fill="auto" w:val="clear"/>
          <w:vertAlign w:val="baseline"/>
        </w:rPr>
      </w:pPr>
      <w:r w:rsidDel="00000000" w:rsidR="00000000" w:rsidRPr="00000000">
        <w:rPr>
          <w:rFonts w:ascii="Open Sans" w:cs="Open Sans" w:eastAsia="Open Sans" w:hAnsi="Open Sans"/>
          <w:b w:val="1"/>
          <w:i w:val="0"/>
          <w:smallCaps w:val="0"/>
          <w:strike w:val="0"/>
          <w:color w:val="000000"/>
          <w:sz w:val="18"/>
          <w:szCs w:val="18"/>
          <w:u w:val="none"/>
          <w:shd w:fill="auto" w:val="clear"/>
          <w:vertAlign w:val="baseline"/>
          <w:rtl w:val="0"/>
        </w:rPr>
        <w:t xml:space="preserve">Conference Topics – </w:t>
      </w:r>
      <w:r w:rsidDel="00000000" w:rsidR="00000000" w:rsidRPr="00000000">
        <w:rPr>
          <w:b w:val="1"/>
          <w:sz w:val="18"/>
          <w:szCs w:val="18"/>
          <w:rtl w:val="0"/>
        </w:rPr>
        <w:t xml:space="preserve">Innovation, Community</w:t>
      </w: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240" w:line="240" w:lineRule="auto"/>
        <w:ind w:left="0" w:right="0" w:firstLine="0"/>
        <w:jc w:val="center"/>
        <w:rPr>
          <w:rFonts w:ascii="Open Sans" w:cs="Open Sans" w:eastAsia="Open Sans" w:hAnsi="Open Sans"/>
          <w:b w:val="0"/>
          <w:i w:val="0"/>
          <w:smallCaps w:val="1"/>
          <w:strike w:val="0"/>
          <w:color w:val="000000"/>
          <w:sz w:val="20"/>
          <w:szCs w:val="20"/>
          <w:u w:val="none"/>
          <w:shd w:fill="auto" w:val="clear"/>
          <w:vertAlign w:val="baseline"/>
        </w:rPr>
      </w:pPr>
      <w:r w:rsidDel="00000000" w:rsidR="00000000" w:rsidRPr="00000000">
        <w:rPr>
          <w:smallCaps w:val="1"/>
          <w:rtl w:val="0"/>
        </w:rPr>
        <w:t xml:space="preserve">The Preservation Registry Space</w:t>
      </w:r>
      <w:r w:rsidDel="00000000" w:rsidR="00000000" w:rsidRPr="00000000">
        <w:rPr>
          <w:rtl w:val="0"/>
        </w:rPr>
      </w:r>
    </w:p>
    <w:p w:rsidR="00000000" w:rsidDel="00000000" w:rsidP="00000000" w:rsidRDefault="00000000" w:rsidRPr="00000000" w14:paraId="0000002E">
      <w:pPr>
        <w:spacing w:after="120" w:lineRule="auto"/>
        <w:rPr/>
      </w:pPr>
      <w:r w:rsidDel="00000000" w:rsidR="00000000" w:rsidRPr="00000000">
        <w:rPr>
          <w:rtl w:val="0"/>
        </w:rPr>
        <w:t xml:space="preserve">The digital preservation community has long sought to capture and describe  information about file formats, software, environments and the wider technical infrastructure it operates within. It has worked to develop registries in which to record this information and provide access to it in ways that might support the understanding, rendering, use and ultimately the preservation of digital data. This journey has been long and at times a somewhat rocky road. Some repositories have fallen by the wayside. But the community has learned a great deal from “doing” over the long term. The current landscape of preservation registries has benefitted from this learning and shows much promise for the future. The following list includes some of the most well known preservation registries but is certainly not exhaustive:</w:t>
      </w:r>
    </w:p>
    <w:p w:rsidR="00000000" w:rsidDel="00000000" w:rsidP="00000000" w:rsidRDefault="00000000" w:rsidRPr="00000000" w14:paraId="0000002F">
      <w:pPr>
        <w:numPr>
          <w:ilvl w:val="0"/>
          <w:numId w:val="1"/>
        </w:numPr>
        <w:spacing w:after="0" w:afterAutospacing="0" w:lineRule="auto"/>
        <w:ind w:left="720" w:hanging="360"/>
        <w:rPr>
          <w:u w:val="none"/>
        </w:rPr>
      </w:pPr>
      <w:r w:rsidDel="00000000" w:rsidR="00000000" w:rsidRPr="00000000">
        <w:rPr>
          <w:rtl w:val="0"/>
        </w:rPr>
        <w:t xml:space="preserve">PRONOM [1]</w:t>
      </w:r>
    </w:p>
    <w:p w:rsidR="00000000" w:rsidDel="00000000" w:rsidP="00000000" w:rsidRDefault="00000000" w:rsidRPr="00000000" w14:paraId="00000030">
      <w:pPr>
        <w:numPr>
          <w:ilvl w:val="0"/>
          <w:numId w:val="1"/>
        </w:numPr>
        <w:spacing w:after="0" w:afterAutospacing="0" w:lineRule="auto"/>
        <w:ind w:left="720" w:hanging="360"/>
        <w:rPr>
          <w:u w:val="none"/>
        </w:rPr>
      </w:pPr>
      <w:r w:rsidDel="00000000" w:rsidR="00000000" w:rsidRPr="00000000">
        <w:rPr>
          <w:rtl w:val="0"/>
        </w:rPr>
        <w:t xml:space="preserve">WikiData [2]</w:t>
      </w:r>
    </w:p>
    <w:p w:rsidR="00000000" w:rsidDel="00000000" w:rsidP="00000000" w:rsidRDefault="00000000" w:rsidRPr="00000000" w14:paraId="00000031">
      <w:pPr>
        <w:numPr>
          <w:ilvl w:val="0"/>
          <w:numId w:val="1"/>
        </w:numPr>
        <w:spacing w:after="0" w:afterAutospacing="0" w:lineRule="auto"/>
        <w:ind w:left="720" w:hanging="360"/>
        <w:rPr>
          <w:u w:val="none"/>
        </w:rPr>
      </w:pPr>
      <w:r w:rsidDel="00000000" w:rsidR="00000000" w:rsidRPr="00000000">
        <w:rPr>
          <w:rtl w:val="0"/>
        </w:rPr>
        <w:t xml:space="preserve">COPTR [3]</w:t>
      </w:r>
    </w:p>
    <w:p w:rsidR="00000000" w:rsidDel="00000000" w:rsidP="00000000" w:rsidRDefault="00000000" w:rsidRPr="00000000" w14:paraId="00000032">
      <w:pPr>
        <w:numPr>
          <w:ilvl w:val="0"/>
          <w:numId w:val="1"/>
        </w:numPr>
        <w:spacing w:after="120" w:lineRule="auto"/>
        <w:ind w:left="720" w:hanging="360"/>
        <w:rPr>
          <w:u w:val="none"/>
        </w:rPr>
      </w:pPr>
      <w:r w:rsidDel="00000000" w:rsidR="00000000" w:rsidRPr="00000000">
        <w:rPr>
          <w:rtl w:val="0"/>
        </w:rPr>
        <w:t xml:space="preserve">LoC Sustainability of Digital Formats [4]</w:t>
      </w:r>
    </w:p>
    <w:p w:rsidR="00000000" w:rsidDel="00000000" w:rsidP="00000000" w:rsidRDefault="00000000" w:rsidRPr="00000000" w14:paraId="00000033">
      <w:pPr>
        <w:numPr>
          <w:ilvl w:val="0"/>
          <w:numId w:val="6"/>
        </w:numPr>
        <w:spacing w:after="120" w:before="240" w:lineRule="auto"/>
        <w:ind w:firstLine="0"/>
        <w:jc w:val="center"/>
        <w:rPr>
          <w:smallCaps w:val="1"/>
        </w:rPr>
      </w:pPr>
      <w:r w:rsidDel="00000000" w:rsidR="00000000" w:rsidRPr="00000000">
        <w:rPr>
          <w:smallCaps w:val="1"/>
          <w:rtl w:val="0"/>
        </w:rPr>
        <w:t xml:space="preserve">A Collaborative Registry Workshop</w:t>
      </w:r>
      <w:r w:rsidDel="00000000" w:rsidR="00000000" w:rsidRPr="00000000">
        <w:rPr>
          <w:rtl w:val="0"/>
        </w:rPr>
      </w:r>
    </w:p>
    <w:p w:rsidR="00000000" w:rsidDel="00000000" w:rsidP="00000000" w:rsidRDefault="00000000" w:rsidRPr="00000000" w14:paraId="00000034">
      <w:pPr>
        <w:spacing w:after="120" w:lineRule="auto"/>
        <w:rPr/>
      </w:pPr>
      <w:r w:rsidDel="00000000" w:rsidR="00000000" w:rsidRPr="00000000">
        <w:rPr>
          <w:rtl w:val="0"/>
        </w:rPr>
        <w:t xml:space="preserve">This workshop will seek to bring together a number of key groups and individuals involved in the development, maintenance, feature enhancement and everyday use of our preservation registries. It will seek to foster communication and collaboration between these groups in order to support and advance our digital preservation capability. Specifically it will aim to:</w:t>
      </w:r>
    </w:p>
    <w:p w:rsidR="00000000" w:rsidDel="00000000" w:rsidP="00000000" w:rsidRDefault="00000000" w:rsidRPr="00000000" w14:paraId="00000035">
      <w:pPr>
        <w:numPr>
          <w:ilvl w:val="0"/>
          <w:numId w:val="2"/>
        </w:numPr>
        <w:spacing w:after="0" w:afterAutospacing="0" w:lineRule="auto"/>
        <w:ind w:left="720" w:hanging="360"/>
        <w:rPr>
          <w:u w:val="none"/>
        </w:rPr>
      </w:pPr>
      <w:r w:rsidDel="00000000" w:rsidR="00000000" w:rsidRPr="00000000">
        <w:rPr>
          <w:rtl w:val="0"/>
        </w:rPr>
        <w:t xml:space="preserve">Provide an update on the state of the art of current preservation registries</w:t>
      </w:r>
      <w:r w:rsidDel="00000000" w:rsidR="00000000" w:rsidRPr="00000000">
        <w:rPr>
          <w:rtl w:val="0"/>
        </w:rPr>
      </w:r>
    </w:p>
    <w:p w:rsidR="00000000" w:rsidDel="00000000" w:rsidP="00000000" w:rsidRDefault="00000000" w:rsidRPr="00000000" w14:paraId="00000036">
      <w:pPr>
        <w:numPr>
          <w:ilvl w:val="0"/>
          <w:numId w:val="2"/>
        </w:numPr>
        <w:spacing w:after="0" w:afterAutospacing="0" w:lineRule="auto"/>
        <w:ind w:left="720" w:hanging="360"/>
        <w:rPr>
          <w:u w:val="none"/>
        </w:rPr>
      </w:pPr>
      <w:r w:rsidDel="00000000" w:rsidR="00000000" w:rsidRPr="00000000">
        <w:rPr>
          <w:rtl w:val="0"/>
        </w:rPr>
        <w:t xml:space="preserve">Explore potential gaps in the preservation registry landscape (and how they might be filled)</w:t>
      </w:r>
    </w:p>
    <w:p w:rsidR="00000000" w:rsidDel="00000000" w:rsidP="00000000" w:rsidRDefault="00000000" w:rsidRPr="00000000" w14:paraId="00000037">
      <w:pPr>
        <w:numPr>
          <w:ilvl w:val="0"/>
          <w:numId w:val="2"/>
        </w:numPr>
        <w:spacing w:after="120" w:lineRule="auto"/>
        <w:ind w:left="720" w:hanging="360"/>
        <w:rPr>
          <w:u w:val="none"/>
        </w:rPr>
      </w:pPr>
      <w:r w:rsidDel="00000000" w:rsidR="00000000" w:rsidRPr="00000000">
        <w:rPr>
          <w:rtl w:val="0"/>
        </w:rPr>
        <w:t xml:space="preserve">Foster collaboration between our registries and utilization of them, in particular looking at how registries might better cater for new and innovative uses</w:t>
      </w:r>
    </w:p>
    <w:p w:rsidR="00000000" w:rsidDel="00000000" w:rsidP="00000000" w:rsidRDefault="00000000" w:rsidRPr="00000000" w14:paraId="00000038">
      <w:pPr>
        <w:spacing w:after="120" w:lineRule="auto"/>
        <w:rPr/>
      </w:pPr>
      <w:r w:rsidDel="00000000" w:rsidR="00000000" w:rsidRPr="00000000">
        <w:rPr>
          <w:rtl w:val="0"/>
        </w:rPr>
        <w:t xml:space="preserve">The workshop will aim to support those playing a range of roles relating to preservation registries, including:</w:t>
      </w:r>
    </w:p>
    <w:p w:rsidR="00000000" w:rsidDel="00000000" w:rsidP="00000000" w:rsidRDefault="00000000" w:rsidRPr="00000000" w14:paraId="00000039">
      <w:pPr>
        <w:numPr>
          <w:ilvl w:val="0"/>
          <w:numId w:val="5"/>
        </w:numPr>
        <w:spacing w:after="0" w:afterAutospacing="0" w:lineRule="auto"/>
        <w:ind w:left="720" w:hanging="360"/>
        <w:rPr>
          <w:u w:val="none"/>
        </w:rPr>
      </w:pPr>
      <w:r w:rsidDel="00000000" w:rsidR="00000000" w:rsidRPr="00000000">
        <w:rPr>
          <w:rtl w:val="0"/>
        </w:rPr>
        <w:t xml:space="preserve">Registry developers and maintainers</w:t>
      </w:r>
    </w:p>
    <w:p w:rsidR="00000000" w:rsidDel="00000000" w:rsidP="00000000" w:rsidRDefault="00000000" w:rsidRPr="00000000" w14:paraId="0000003A">
      <w:pPr>
        <w:numPr>
          <w:ilvl w:val="0"/>
          <w:numId w:val="5"/>
        </w:numPr>
        <w:spacing w:after="0" w:afterAutospacing="0" w:lineRule="auto"/>
        <w:ind w:left="720" w:hanging="360"/>
        <w:rPr>
          <w:u w:val="none"/>
        </w:rPr>
      </w:pPr>
      <w:r w:rsidDel="00000000" w:rsidR="00000000" w:rsidRPr="00000000">
        <w:rPr>
          <w:rtl w:val="0"/>
        </w:rPr>
        <w:t xml:space="preserve">Vendors and other software developers whose applications utilize registries in the delivery of preservation functions</w:t>
      </w:r>
    </w:p>
    <w:p w:rsidR="00000000" w:rsidDel="00000000" w:rsidP="00000000" w:rsidRDefault="00000000" w:rsidRPr="00000000" w14:paraId="0000003B">
      <w:pPr>
        <w:numPr>
          <w:ilvl w:val="0"/>
          <w:numId w:val="5"/>
        </w:numPr>
        <w:spacing w:after="120" w:lineRule="auto"/>
        <w:ind w:left="720" w:hanging="360"/>
        <w:rPr>
          <w:u w:val="none"/>
        </w:rPr>
      </w:pPr>
      <w:r w:rsidDel="00000000" w:rsidR="00000000" w:rsidRPr="00000000">
        <w:rPr>
          <w:rtl w:val="0"/>
        </w:rPr>
        <w:t xml:space="preserve">Other registry users, including those active in connecting registries and their data in novel and helpful ways</w:t>
      </w:r>
      <w:r w:rsidDel="00000000" w:rsidR="00000000" w:rsidRPr="00000000">
        <w:rPr>
          <w:rtl w:val="0"/>
        </w:rPr>
      </w:r>
    </w:p>
    <w:p w:rsidR="00000000" w:rsidDel="00000000" w:rsidP="00000000" w:rsidRDefault="00000000" w:rsidRPr="00000000" w14:paraId="0000003C">
      <w:pPr>
        <w:numPr>
          <w:ilvl w:val="0"/>
          <w:numId w:val="6"/>
        </w:numPr>
        <w:spacing w:after="120" w:before="240" w:lineRule="auto"/>
        <w:ind w:firstLine="0"/>
        <w:jc w:val="center"/>
        <w:rPr>
          <w:smallCaps w:val="1"/>
        </w:rPr>
      </w:pPr>
      <w:r w:rsidDel="00000000" w:rsidR="00000000" w:rsidRPr="00000000">
        <w:rPr>
          <w:smallCaps w:val="1"/>
          <w:rtl w:val="0"/>
        </w:rPr>
        <w:t xml:space="preserve">Workshop Structure</w:t>
      </w:r>
      <w:r w:rsidDel="00000000" w:rsidR="00000000" w:rsidRPr="00000000">
        <w:rPr>
          <w:rtl w:val="0"/>
        </w:rPr>
      </w:r>
    </w:p>
    <w:p w:rsidR="00000000" w:rsidDel="00000000" w:rsidP="00000000" w:rsidRDefault="00000000" w:rsidRPr="00000000" w14:paraId="0000003D">
      <w:pPr>
        <w:spacing w:after="120" w:lineRule="auto"/>
        <w:rPr/>
      </w:pPr>
      <w:r w:rsidDel="00000000" w:rsidR="00000000" w:rsidRPr="00000000">
        <w:rPr>
          <w:rtl w:val="0"/>
        </w:rPr>
        <w:t xml:space="preserve">The workshop will use a lightweight structure with the aim of being adaptable to the conversations and needs of the attendees. It will begin with an opportunity for those involved to update the group on the current status of their registry work, whether as part of maintaining a registry, contributing data to a registry or utilizing the data in registries to deliver preservation value. It will then apply an unconference approach to shape the remaining agenda, most likely with the use of break out groups to allow a number of different challenges to be explored through discussion, collaboration and possibly even hackathon type experimentation on the day.</w:t>
      </w:r>
    </w:p>
    <w:p w:rsidR="00000000" w:rsidDel="00000000" w:rsidP="00000000" w:rsidRDefault="00000000" w:rsidRPr="00000000" w14:paraId="0000003E">
      <w:pPr>
        <w:numPr>
          <w:ilvl w:val="0"/>
          <w:numId w:val="6"/>
        </w:numPr>
        <w:spacing w:after="120" w:before="240" w:lineRule="auto"/>
        <w:ind w:firstLine="0"/>
        <w:jc w:val="center"/>
        <w:rPr>
          <w:smallCaps w:val="1"/>
        </w:rPr>
      </w:pPr>
      <w:r w:rsidDel="00000000" w:rsidR="00000000" w:rsidRPr="00000000">
        <w:rPr>
          <w:smallCaps w:val="1"/>
          <w:rtl w:val="0"/>
        </w:rPr>
        <w:t xml:space="preserve">Workshop Outputs</w:t>
      </w:r>
      <w:r w:rsidDel="00000000" w:rsidR="00000000" w:rsidRPr="00000000">
        <w:rPr>
          <w:rtl w:val="0"/>
        </w:rPr>
      </w:r>
    </w:p>
    <w:p w:rsidR="00000000" w:rsidDel="00000000" w:rsidP="00000000" w:rsidRDefault="00000000" w:rsidRPr="00000000" w14:paraId="0000003F">
      <w:pPr>
        <w:spacing w:after="120" w:lineRule="auto"/>
        <w:rPr/>
      </w:pPr>
      <w:r w:rsidDel="00000000" w:rsidR="00000000" w:rsidRPr="00000000">
        <w:rPr>
          <w:rtl w:val="0"/>
        </w:rPr>
        <w:t xml:space="preserve">There will be three key outputs from the workshop:</w:t>
      </w:r>
    </w:p>
    <w:p w:rsidR="00000000" w:rsidDel="00000000" w:rsidP="00000000" w:rsidRDefault="00000000" w:rsidRPr="00000000" w14:paraId="00000040">
      <w:pPr>
        <w:numPr>
          <w:ilvl w:val="0"/>
          <w:numId w:val="3"/>
        </w:numPr>
        <w:spacing w:after="0" w:afterAutospacing="0" w:lineRule="auto"/>
        <w:ind w:left="720" w:hanging="360"/>
        <w:rPr>
          <w:u w:val="none"/>
        </w:rPr>
      </w:pPr>
      <w:r w:rsidDel="00000000" w:rsidR="00000000" w:rsidRPr="00000000">
        <w:rPr>
          <w:rtl w:val="0"/>
        </w:rPr>
        <w:t xml:space="preserve">The results of interactions and idea generation which will aim to spark innovative and beneficial registry development and exploitation post-iPres.</w:t>
      </w:r>
    </w:p>
    <w:p w:rsidR="00000000" w:rsidDel="00000000" w:rsidP="00000000" w:rsidRDefault="00000000" w:rsidRPr="00000000" w14:paraId="00000041">
      <w:pPr>
        <w:numPr>
          <w:ilvl w:val="0"/>
          <w:numId w:val="3"/>
        </w:numPr>
        <w:spacing w:after="0" w:afterAutospacing="0" w:lineRule="auto"/>
        <w:ind w:left="720" w:hanging="360"/>
        <w:rPr>
          <w:u w:val="none"/>
        </w:rPr>
      </w:pPr>
      <w:r w:rsidDel="00000000" w:rsidR="00000000" w:rsidRPr="00000000">
        <w:rPr>
          <w:rtl w:val="0"/>
        </w:rPr>
        <w:t xml:space="preserve">Follow up meetings/workshops/forum to coordinate further collaboration and discussion as appropriate (with support offered from the DPC).</w:t>
      </w:r>
      <w:r w:rsidDel="00000000" w:rsidR="00000000" w:rsidRPr="00000000">
        <w:rPr>
          <w:rtl w:val="0"/>
        </w:rPr>
      </w:r>
    </w:p>
    <w:p w:rsidR="00000000" w:rsidDel="00000000" w:rsidP="00000000" w:rsidRDefault="00000000" w:rsidRPr="00000000" w14:paraId="00000042">
      <w:pPr>
        <w:numPr>
          <w:ilvl w:val="0"/>
          <w:numId w:val="3"/>
        </w:numPr>
        <w:spacing w:after="120" w:lineRule="auto"/>
        <w:ind w:left="720" w:hanging="360"/>
        <w:rPr>
          <w:u w:val="none"/>
        </w:rPr>
      </w:pPr>
      <w:r w:rsidDel="00000000" w:rsidR="00000000" w:rsidRPr="00000000">
        <w:rPr>
          <w:rtl w:val="0"/>
        </w:rPr>
        <w:t xml:space="preserve">A write up of the current state of the art of preservation registries with a focus on supporting practitioners in seeking information from preservation registries, which will take the form of a DPC Technology Watch Guidance Note.</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center"/>
        <w:rPr>
          <w:rFonts w:ascii="Open Sans" w:cs="Open Sans" w:eastAsia="Open Sans" w:hAnsi="Open Sans"/>
          <w:b w:val="0"/>
          <w:i w:val="0"/>
          <w:smallCaps w:val="1"/>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1"/>
          <w:strike w:val="0"/>
          <w:color w:val="000000"/>
          <w:sz w:val="20"/>
          <w:szCs w:val="20"/>
          <w:u w:val="none"/>
          <w:shd w:fill="auto" w:val="clear"/>
          <w:vertAlign w:val="baseline"/>
          <w:rtl w:val="0"/>
        </w:rPr>
        <w:t xml:space="preserve">REFERENCES</w:t>
      </w:r>
      <w:r w:rsidDel="00000000" w:rsidR="00000000" w:rsidRPr="00000000">
        <w:rPr>
          <w:rtl w:val="0"/>
        </w:rPr>
      </w:r>
    </w:p>
    <w:p w:rsidR="00000000" w:rsidDel="00000000" w:rsidP="00000000" w:rsidRDefault="00000000" w:rsidRPr="00000000" w14:paraId="0000004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sz w:val="16"/>
          <w:szCs w:val="16"/>
          <w:rtl w:val="0"/>
        </w:rPr>
        <w:t xml:space="preserve">PRONOM, [Online], </w:t>
      </w:r>
      <w:hyperlink r:id="rId17">
        <w:r w:rsidDel="00000000" w:rsidR="00000000" w:rsidRPr="00000000">
          <w:rPr>
            <w:color w:val="1155cc"/>
            <w:sz w:val="16"/>
            <w:szCs w:val="16"/>
            <w:u w:val="single"/>
            <w:rtl w:val="0"/>
          </w:rPr>
          <w:t xml:space="preserve">https://www.nationalarchives.gov.uk/pronom/</w:t>
        </w:r>
      </w:hyperlink>
      <w:r w:rsidDel="00000000" w:rsidR="00000000" w:rsidRPr="00000000">
        <w:rPr>
          <w:rtl w:val="0"/>
        </w:rPr>
      </w:r>
    </w:p>
    <w:p w:rsidR="00000000" w:rsidDel="00000000" w:rsidP="00000000" w:rsidRDefault="00000000" w:rsidRPr="00000000" w14:paraId="0000004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sz w:val="16"/>
          <w:szCs w:val="16"/>
          <w:rtl w:val="0"/>
        </w:rPr>
        <w:t xml:space="preserve">Wikidata for digital preservation, [Online], </w:t>
      </w:r>
      <w:hyperlink r:id="rId18">
        <w:r w:rsidDel="00000000" w:rsidR="00000000" w:rsidRPr="00000000">
          <w:rPr>
            <w:color w:val="1155cc"/>
            <w:sz w:val="16"/>
            <w:szCs w:val="16"/>
            <w:u w:val="single"/>
            <w:rtl w:val="0"/>
          </w:rPr>
          <w:t xml:space="preserve">https://wikidp.org/</w:t>
        </w:r>
      </w:hyperlink>
      <w:r w:rsidDel="00000000" w:rsidR="00000000" w:rsidRPr="00000000">
        <w:rPr>
          <w:rtl w:val="0"/>
        </w:rPr>
      </w:r>
    </w:p>
    <w:p w:rsidR="00000000" w:rsidDel="00000000" w:rsidP="00000000" w:rsidRDefault="00000000" w:rsidRPr="00000000" w14:paraId="0000004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sz w:val="16"/>
          <w:szCs w:val="16"/>
          <w:rtl w:val="0"/>
        </w:rPr>
        <w:t xml:space="preserve">Community Owned digital Preservation Tool Registry, [Online], </w:t>
      </w:r>
      <w:hyperlink r:id="rId19">
        <w:r w:rsidDel="00000000" w:rsidR="00000000" w:rsidRPr="00000000">
          <w:rPr>
            <w:color w:val="1155cc"/>
            <w:sz w:val="16"/>
            <w:szCs w:val="16"/>
            <w:u w:val="single"/>
            <w:rtl w:val="0"/>
          </w:rPr>
          <w:t xml:space="preserve">https://coptr.digipres.org/</w:t>
        </w:r>
      </w:hyperlink>
      <w:r w:rsidDel="00000000" w:rsidR="00000000" w:rsidRPr="00000000">
        <w:rPr>
          <w:rtl w:val="0"/>
        </w:rPr>
      </w:r>
    </w:p>
    <w:p w:rsidR="00000000" w:rsidDel="00000000" w:rsidP="00000000" w:rsidRDefault="00000000" w:rsidRPr="00000000" w14:paraId="0000004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sz w:val="16"/>
          <w:szCs w:val="16"/>
          <w:rtl w:val="0"/>
        </w:rPr>
        <w:t xml:space="preserve">Sustainability of digital formats, [Online], </w:t>
      </w:r>
      <w:hyperlink r:id="rId20">
        <w:r w:rsidDel="00000000" w:rsidR="00000000" w:rsidRPr="00000000">
          <w:rPr>
            <w:color w:val="1155cc"/>
            <w:sz w:val="16"/>
            <w:szCs w:val="16"/>
            <w:u w:val="single"/>
            <w:rtl w:val="0"/>
          </w:rPr>
          <w:t xml:space="preserve">https://www.loc.gov/preservation/digital/formats/</w:t>
        </w:r>
      </w:hyperlink>
      <w:r w:rsidDel="00000000" w:rsidR="00000000" w:rsidRPr="00000000">
        <w:rPr>
          <w:rtl w:val="0"/>
        </w:rPr>
      </w:r>
    </w:p>
    <w:sectPr>
      <w:type w:val="continuous"/>
      <w:pgSz w:h="16820" w:w="11900" w:orient="portrait"/>
      <w:pgMar w:bottom="1440" w:top="1080" w:left="902" w:right="902" w:header="567" w:footer="737"/>
      <w:cols w:equalWidth="0" w:num="2">
        <w:col w:space="357" w:w="4869.499999999999"/>
        <w:col w:space="0" w:w="4869.499999999999"/>
      </w:cols>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Merriweather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tabs>
        <w:tab w:val="center" w:pos="4680"/>
        <w:tab w:val="right" w:pos="9360"/>
      </w:tabs>
      <w:spacing w:after="240" w:before="240" w:lineRule="auto"/>
      <w:ind w:firstLine="0"/>
      <w:jc w:val="left"/>
      <w:rPr>
        <w:rFonts w:ascii="Merriweather Sans" w:cs="Merriweather Sans" w:eastAsia="Merriweather Sans" w:hAnsi="Merriweather Sans"/>
        <w:b w:val="0"/>
        <w:i w:val="0"/>
        <w:smallCaps w:val="0"/>
        <w:strike w:val="0"/>
        <w:color w:val="000000"/>
        <w:sz w:val="16"/>
        <w:szCs w:val="16"/>
        <w:u w:val="none"/>
        <w:shd w:fill="auto" w:val="clear"/>
        <w:vertAlign w:val="baseline"/>
      </w:rPr>
    </w:pPr>
    <w:r w:rsidDel="00000000" w:rsidR="00000000" w:rsidRPr="00000000">
      <w:rPr>
        <w:sz w:val="16"/>
        <w:szCs w:val="16"/>
        <w:rtl w:val="0"/>
      </w:rPr>
      <w:t xml:space="preserve">iPres 2022: The 18th International Conference on Digital Preservation, Glasgow, Scotland.</w:t>
      <w:br w:type="textWrapping"/>
      <w:t xml:space="preserve">12 -16th September 2022</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Merriweather Sans" w:cs="Merriweather Sans" w:eastAsia="Merriweather Sans" w:hAnsi="Merriweather Sans"/>
        <w:b w:val="0"/>
        <w:i w:val="0"/>
        <w:smallCaps w:val="0"/>
        <w:strike w:val="0"/>
        <w:color w:val="000000"/>
        <w:sz w:val="16"/>
        <w:szCs w:val="16"/>
        <w:u w:val="none"/>
        <w:shd w:fill="auto" w:val="clear"/>
        <w:vertAlign w:val="baseline"/>
      </w:rPr>
    </w:pPr>
    <w:r w:rsidDel="00000000" w:rsidR="00000000" w:rsidRPr="00000000">
      <w:rPr>
        <w:rFonts w:ascii="Merriweather Sans" w:cs="Merriweather Sans" w:eastAsia="Merriweather Sans" w:hAnsi="Merriweather Sans"/>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Merriweather Sans" w:cs="Merriweather Sans" w:eastAsia="Merriweather Sans" w:hAnsi="Merriweather Sans"/>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Merriweather Sans" w:cs="Merriweather Sans" w:eastAsia="Merriweather Sans" w:hAnsi="Merriweather Sans"/>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tabs>
        <w:tab w:val="center" w:pos="4680"/>
        <w:tab w:val="right" w:pos="9360"/>
      </w:tabs>
      <w:spacing w:after="240" w:before="240" w:lineRule="auto"/>
      <w:ind w:firstLine="0"/>
      <w:jc w:val="left"/>
      <w:rPr>
        <w:sz w:val="16"/>
        <w:szCs w:val="16"/>
      </w:rPr>
    </w:pPr>
    <w:r w:rsidDel="00000000" w:rsidR="00000000" w:rsidRPr="00000000">
      <w:rPr>
        <w:sz w:val="16"/>
        <w:szCs w:val="16"/>
        <w:rtl w:val="0"/>
      </w:rPr>
      <w:t xml:space="preserve">iPres 2022: The 18th International Conference on Digital Preservation, Glasgow, Scotland.</w:t>
      <w:br w:type="textWrapping"/>
      <w:t xml:space="preserve">Copyright held by the author(s). The text of this paper is published</w:t>
      <w:br w:type="textWrapping"/>
      <w:t xml:space="preserve">under a CC BY-SA license (</w:t>
    </w:r>
    <w:hyperlink r:id="rId1">
      <w:r w:rsidDel="00000000" w:rsidR="00000000" w:rsidRPr="00000000">
        <w:rPr>
          <w:color w:val="1155cc"/>
          <w:sz w:val="16"/>
          <w:szCs w:val="16"/>
          <w:u w:val="single"/>
          <w:rtl w:val="0"/>
        </w:rPr>
        <w:t xml:space="preserve">https://creativecommons.org/licenses/by/4.0/</w:t>
      </w:r>
    </w:hyperlink>
    <w:r w:rsidDel="00000000" w:rsidR="00000000" w:rsidRPr="00000000">
      <w:rPr>
        <w:sz w:val="16"/>
        <w:szCs w:val="16"/>
        <w:rtl w:val="0"/>
      </w:rPr>
      <w:t xml:space="preserve">).</w:t>
      <w:br w:type="textWrapping"/>
      <w:t xml:space="preserve">DOI: 10.1145/nnnnnnn.nnnnnnn </w:t>
    </w:r>
    <w:r w:rsidDel="00000000" w:rsidR="00000000" w:rsidRPr="00000000">
      <w:drawing>
        <wp:anchor allowOverlap="1" behindDoc="0" distB="114300" distT="114300" distL="114300" distR="114300" hidden="0" layoutInCell="1" locked="0" relativeHeight="0" simplePos="0">
          <wp:simplePos x="0" y="0"/>
          <wp:positionH relativeFrom="column">
            <wp:posOffset>4835850</wp:posOffset>
          </wp:positionH>
          <wp:positionV relativeFrom="paragraph">
            <wp:posOffset>114300</wp:posOffset>
          </wp:positionV>
          <wp:extent cx="899269" cy="533287"/>
          <wp:effectExtent b="0" l="0" r="0" t="0"/>
          <wp:wrapNone/>
          <wp:docPr id="1"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899269" cy="533287"/>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of 2</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of 2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360" w:hanging="360"/>
      </w:pPr>
      <w:rPr/>
    </w:lvl>
    <w:lvl w:ilvl="1">
      <w:start w:val="1"/>
      <w:numFmt w:val="decimal"/>
      <w:lvlText w:val="%2、"/>
      <w:lvlJc w:val="left"/>
      <w:pPr>
        <w:ind w:left="960" w:hanging="480"/>
      </w:pPr>
      <w:rPr/>
    </w:lvl>
    <w:lvl w:ilvl="2">
      <w:start w:val="1"/>
      <w:numFmt w:val="lowerRoman"/>
      <w:lvlText w:val="%3."/>
      <w:lvlJc w:val="right"/>
      <w:pPr>
        <w:ind w:left="1440" w:hanging="480"/>
      </w:pPr>
      <w:rPr/>
    </w:lvl>
    <w:lvl w:ilvl="3">
      <w:start w:val="1"/>
      <w:numFmt w:val="decimal"/>
      <w:lvlText w:val="%4."/>
      <w:lvlJc w:val="left"/>
      <w:pPr>
        <w:ind w:left="1920" w:hanging="480"/>
      </w:pPr>
      <w:rPr/>
    </w:lvl>
    <w:lvl w:ilvl="4">
      <w:start w:val="1"/>
      <w:numFmt w:val="decimal"/>
      <w:lvlText w:val="%5、"/>
      <w:lvlJc w:val="left"/>
      <w:pPr>
        <w:ind w:left="2400" w:hanging="480"/>
      </w:pPr>
      <w:rPr/>
    </w:lvl>
    <w:lvl w:ilvl="5">
      <w:start w:val="1"/>
      <w:numFmt w:val="lowerRoman"/>
      <w:lvlText w:val="%6."/>
      <w:lvlJc w:val="right"/>
      <w:pPr>
        <w:ind w:left="2880" w:hanging="480"/>
      </w:pPr>
      <w:rPr/>
    </w:lvl>
    <w:lvl w:ilvl="6">
      <w:start w:val="1"/>
      <w:numFmt w:val="decimal"/>
      <w:lvlText w:val="%7."/>
      <w:lvlJc w:val="left"/>
      <w:pPr>
        <w:ind w:left="3360" w:hanging="480"/>
      </w:pPr>
      <w:rPr/>
    </w:lvl>
    <w:lvl w:ilvl="7">
      <w:start w:val="1"/>
      <w:numFmt w:val="decimal"/>
      <w:lvlText w:val="%8、"/>
      <w:lvlJc w:val="left"/>
      <w:pPr>
        <w:ind w:left="3840" w:hanging="480"/>
      </w:pPr>
      <w:rPr/>
    </w:lvl>
    <w:lvl w:ilvl="8">
      <w:start w:val="1"/>
      <w:numFmt w:val="lowerRoman"/>
      <w:lvlText w:val="%9."/>
      <w:lvlJc w:val="right"/>
      <w:pPr>
        <w:ind w:left="4320" w:hanging="480"/>
      </w:pPr>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upperRoman"/>
      <w:lvlText w:val="%1."/>
      <w:lvlJc w:val="left"/>
      <w:pPr>
        <w:ind w:left="0" w:firstLine="0"/>
      </w:pPr>
      <w:rPr/>
    </w:lvl>
    <w:lvl w:ilvl="1">
      <w:start w:val="1"/>
      <w:numFmt w:val="upperLetter"/>
      <w:lvlText w:val="%2."/>
      <w:lvlJc w:val="left"/>
      <w:pPr>
        <w:ind w:left="720" w:firstLine="0"/>
      </w:pPr>
      <w:rPr/>
    </w:lvl>
    <w:lvl w:ilvl="2">
      <w:start w:val="1"/>
      <w:numFmt w:val="decimal"/>
      <w:lvlText w:val="%3."/>
      <w:lvlJc w:val="left"/>
      <w:pPr>
        <w:ind w:left="1440" w:firstLine="0"/>
      </w:pPr>
      <w:rPr/>
    </w:lvl>
    <w:lvl w:ilvl="3">
      <w:start w:val="1"/>
      <w:numFmt w:val="lowerLetter"/>
      <w:lvlText w:val="%4)"/>
      <w:lvlJc w:val="left"/>
      <w:pPr>
        <w:ind w:left="2160" w:firstLine="0"/>
      </w:pPr>
      <w:rPr/>
    </w:lvl>
    <w:lvl w:ilvl="4">
      <w:start w:val="1"/>
      <w:numFmt w:val="decimal"/>
      <w:lvlText w:val="(%5)"/>
      <w:lvlJc w:val="left"/>
      <w:pPr>
        <w:ind w:left="2880" w:firstLine="0"/>
      </w:pPr>
      <w:rPr/>
    </w:lvl>
    <w:lvl w:ilvl="5">
      <w:start w:val="1"/>
      <w:numFmt w:val="lowerLetter"/>
      <w:lvlText w:val="(%6)"/>
      <w:lvlJc w:val="left"/>
      <w:pPr>
        <w:ind w:left="3600" w:firstLine="0"/>
      </w:pPr>
      <w:rPr/>
    </w:lvl>
    <w:lvl w:ilvl="6">
      <w:start w:val="1"/>
      <w:numFmt w:val="lowerRoman"/>
      <w:lvlText w:val="(%7)"/>
      <w:lvlJc w:val="left"/>
      <w:pPr>
        <w:ind w:left="4320" w:firstLine="0"/>
      </w:pPr>
      <w:rPr/>
    </w:lvl>
    <w:lvl w:ilvl="7">
      <w:start w:val="1"/>
      <w:numFmt w:val="lowerLetter"/>
      <w:lvlText w:val="(%8)"/>
      <w:lvlJc w:val="left"/>
      <w:pPr>
        <w:ind w:left="5040" w:firstLine="0"/>
      </w:pPr>
      <w:rPr/>
    </w:lvl>
    <w:lvl w:ilvl="8">
      <w:start w:val="1"/>
      <w:numFmt w:val="lowerRoman"/>
      <w:lvlText w:val="(%9)"/>
      <w:lvlJc w:val="left"/>
      <w:pPr>
        <w:ind w:left="576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lang w:val="en-US"/>
      </w:rPr>
    </w:rPrDefault>
    <w:pPrDefault>
      <w:pPr>
        <w:ind w:firstLine="34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20" w:before="240" w:lineRule="auto"/>
      <w:jc w:val="center"/>
    </w:pPr>
    <w:rPr>
      <w:smallCaps w:val="1"/>
    </w:rPr>
  </w:style>
  <w:style w:type="paragraph" w:styleId="Heading2">
    <w:name w:val="heading 2"/>
    <w:basedOn w:val="Normal"/>
    <w:next w:val="Normal"/>
    <w:pPr>
      <w:spacing w:after="120" w:before="120" w:lineRule="auto"/>
      <w:ind w:left="0"/>
      <w:jc w:val="both"/>
    </w:pPr>
    <w:rPr>
      <w:i w:val="1"/>
      <w:smallCaps w:val="0"/>
    </w:rPr>
  </w:style>
  <w:style w:type="paragraph" w:styleId="Heading3">
    <w:name w:val="heading 3"/>
    <w:basedOn w:val="Normal"/>
    <w:next w:val="Normal"/>
    <w:pPr>
      <w:keepNext w:val="1"/>
      <w:keepLines w:val="1"/>
      <w:spacing w:before="40" w:lineRule="auto"/>
      <w:ind w:left="142"/>
    </w:pPr>
    <w:rPr>
      <w:i w:val="1"/>
    </w:rPr>
  </w:style>
  <w:style w:type="paragraph" w:styleId="Heading4">
    <w:name w:val="heading 4"/>
    <w:basedOn w:val="Normal"/>
    <w:next w:val="Normal"/>
    <w:pPr>
      <w:spacing w:after="120" w:before="240" w:lineRule="auto"/>
      <w:jc w:val="center"/>
    </w:pPr>
    <w:rPr>
      <w:smallCaps w:val="1"/>
    </w:rPr>
  </w:style>
  <w:style w:type="paragraph" w:styleId="Heading5">
    <w:name w:val="heading 5"/>
    <w:basedOn w:val="Normal"/>
    <w:next w:val="Normal"/>
    <w:pPr>
      <w:keepNext w:val="1"/>
      <w:keepLines w:val="1"/>
      <w:spacing w:before="40" w:lineRule="auto"/>
    </w:pPr>
    <w:rPr>
      <w:rFonts w:ascii="Calibri" w:cs="Calibri" w:eastAsia="Calibri" w:hAnsi="Calibri"/>
      <w:color w:val="2f5496"/>
    </w:rPr>
  </w:style>
  <w:style w:type="paragraph" w:styleId="Heading6">
    <w:name w:val="heading 6"/>
    <w:basedOn w:val="Normal"/>
    <w:next w:val="Normal"/>
    <w:pPr>
      <w:keepNext w:val="1"/>
      <w:keepLines w:val="1"/>
      <w:spacing w:before="40" w:lineRule="auto"/>
    </w:pPr>
    <w:rPr>
      <w:rFonts w:ascii="Calibri" w:cs="Calibri" w:eastAsia="Calibri" w:hAnsi="Calibri"/>
      <w:color w:val="1f3863"/>
    </w:rPr>
  </w:style>
  <w:style w:type="paragraph" w:styleId="Title">
    <w:name w:val="Title"/>
    <w:basedOn w:val="Normal"/>
    <w:next w:val="Normal"/>
    <w:pPr>
      <w:spacing w:after="120" w:before="240" w:lineRule="auto"/>
      <w:ind w:left="360" w:hanging="360"/>
      <w:jc w:val="center"/>
    </w:pPr>
    <w:rPr>
      <w:smallCaps w:val="1"/>
      <w:sz w:val="48"/>
      <w:szCs w:val="48"/>
    </w:r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120" w:line="240" w:lineRule="auto"/>
      <w:ind w:left="0" w:right="0" w:firstLine="340"/>
      <w:jc w:val="center"/>
    </w:pPr>
    <w:rPr>
      <w:rFonts w:ascii="Open Sans" w:cs="Open Sans" w:eastAsia="Open Sans" w:hAnsi="Open Sans"/>
      <w:b w:val="0"/>
      <w:i w:val="1"/>
      <w:smallCaps w:val="0"/>
      <w:strike w:val="0"/>
      <w:color w:val="595959"/>
      <w:sz w:val="40"/>
      <w:szCs w:val="40"/>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loc.gov/preservation/digital/formats/" TargetMode="External"/><Relationship Id="rId11" Type="http://schemas.openxmlformats.org/officeDocument/2006/relationships/hyperlink" Target="mailto:francesca.mackenzie@nationalarchives.gov.uk" TargetMode="External"/><Relationship Id="rId10" Type="http://schemas.openxmlformats.org/officeDocument/2006/relationships/hyperlink" Target="mailto:Andrew.Jackson@bl.uk" TargetMode="External"/><Relationship Id="rId13" Type="http://schemas.openxmlformats.org/officeDocument/2006/relationships/header" Target="head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kmur@loc.gov" TargetMode="External"/><Relationship Id="rId15" Type="http://schemas.openxmlformats.org/officeDocument/2006/relationships/footer" Target="footer3.xml"/><Relationship Id="rId14" Type="http://schemas.openxmlformats.org/officeDocument/2006/relationships/footer" Target="footer1.xml"/><Relationship Id="rId17" Type="http://schemas.openxmlformats.org/officeDocument/2006/relationships/hyperlink" Target="https://www.nationalarchives.gov.uk/pronom/" TargetMode="External"/><Relationship Id="rId16" Type="http://schemas.openxmlformats.org/officeDocument/2006/relationships/footer" Target="footer2.xml"/><Relationship Id="rId5" Type="http://schemas.openxmlformats.org/officeDocument/2006/relationships/styles" Target="styles.xml"/><Relationship Id="rId19" Type="http://schemas.openxmlformats.org/officeDocument/2006/relationships/hyperlink" Target="https://coptr.digipres.org/" TargetMode="External"/><Relationship Id="rId6" Type="http://schemas.openxmlformats.org/officeDocument/2006/relationships/hyperlink" Target="mailto:ross.spencer@ravensburger.ag" TargetMode="External"/><Relationship Id="rId18" Type="http://schemas.openxmlformats.org/officeDocument/2006/relationships/hyperlink" Target="https://wikidp.org/" TargetMode="External"/><Relationship Id="rId7" Type="http://schemas.openxmlformats.org/officeDocument/2006/relationships/hyperlink" Target="mailto:paul@dpconline.org" TargetMode="External"/><Relationship Id="rId8" Type="http://schemas.openxmlformats.org/officeDocument/2006/relationships/hyperlink" Target="mailto:euan.cochrane@yale.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erriweatherSans-regular.ttf"/><Relationship Id="rId2" Type="http://schemas.openxmlformats.org/officeDocument/2006/relationships/font" Target="fonts/MerriweatherSans-bold.ttf"/><Relationship Id="rId3" Type="http://schemas.openxmlformats.org/officeDocument/2006/relationships/font" Target="fonts/MerriweatherSans-italic.ttf"/><Relationship Id="rId4" Type="http://schemas.openxmlformats.org/officeDocument/2006/relationships/font" Target="fonts/MerriweatherSans-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footer3.xml.rels><?xml version="1.0" encoding="UTF-8" standalone="yes"?><Relationships xmlns="http://schemas.openxmlformats.org/package/2006/relationships"><Relationship Id="rId1" Type="http://schemas.openxmlformats.org/officeDocument/2006/relationships/hyperlink" Target="https://creativecommons.org/licenses/by/4.0/"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