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4" w14:textId="1F75C69F" w:rsidR="009C0F38" w:rsidRDefault="005A4E41">
      <w:pPr>
        <w:pStyle w:val="Title"/>
        <w:ind w:firstLine="0"/>
      </w:pPr>
      <w:r>
        <w:t>Do We Really Know Our D</w:t>
      </w:r>
      <w:r w:rsidR="004C39C3">
        <w:t>ata?</w:t>
      </w:r>
    </w:p>
    <w:p w14:paraId="00000015" w14:textId="4E7063B5" w:rsidR="009C0F38" w:rsidRDefault="0095436F">
      <w:pPr>
        <w:pStyle w:val="Subtitle"/>
      </w:pPr>
      <w:r>
        <w:t xml:space="preserve">Toward a </w:t>
      </w:r>
      <w:r w:rsidR="00F4796E">
        <w:t>Methodology</w:t>
      </w:r>
      <w:r w:rsidR="0050330A">
        <w:t xml:space="preserve"> for Assessing Preservation </w:t>
      </w:r>
      <w:r w:rsidR="00E5574C">
        <w:t>Sustain</w:t>
      </w:r>
      <w:r w:rsidR="004D2A7A">
        <w:t>ability</w:t>
      </w:r>
      <w:r w:rsidR="00711BAE">
        <w:t xml:space="preserve"> and Improving PAIMAS</w:t>
      </w:r>
      <w:r w:rsidR="00F91E61">
        <w:t xml:space="preserve"> Negotiations via Characterization</w:t>
      </w:r>
    </w:p>
    <w:p w14:paraId="00000016" w14:textId="77777777" w:rsidR="009C0F38" w:rsidRDefault="009C0F38" w:rsidP="00BC57FD"/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402"/>
        <w:gridCol w:w="2773"/>
      </w:tblGrid>
      <w:tr w:rsidR="009C0F38" w14:paraId="46876049" w14:textId="77777777" w:rsidTr="00BC57FD">
        <w:tc>
          <w:tcPr>
            <w:tcW w:w="2835" w:type="dxa"/>
          </w:tcPr>
          <w:p w14:paraId="00000017" w14:textId="02BD163C" w:rsidR="009C0F38" w:rsidRDefault="009C0F38" w:rsidP="00BC57FD">
            <w:pP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00018" w14:textId="61B56978" w:rsidR="009C0F38" w:rsidRDefault="00685E6C" w:rsidP="00BC57FD">
            <w:pPr>
              <w:spacing w:line="276" w:lineRule="auto"/>
              <w:ind w:firstLine="0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Tom J. Smyth</w:t>
            </w:r>
          </w:p>
        </w:tc>
        <w:tc>
          <w:tcPr>
            <w:tcW w:w="2773" w:type="dxa"/>
          </w:tcPr>
          <w:p w14:paraId="00000019" w14:textId="5D46DA65" w:rsidR="009C0F38" w:rsidRDefault="009C0F38" w:rsidP="00BC57FD">
            <w:pP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</w:tr>
      <w:tr w:rsidR="009C0F38" w14:paraId="5285B838" w14:textId="77777777" w:rsidTr="00BC57FD">
        <w:trPr>
          <w:trHeight w:val="578"/>
        </w:trPr>
        <w:tc>
          <w:tcPr>
            <w:tcW w:w="2835" w:type="dxa"/>
          </w:tcPr>
          <w:p w14:paraId="0000001D" w14:textId="5F37CE5D" w:rsidR="009C0F38" w:rsidRDefault="009C0F38" w:rsidP="00BC57FD">
            <w:pPr>
              <w:ind w:firstLine="0"/>
              <w:rPr>
                <w:rFonts w:eastAsia="Open Sans"/>
                <w:i/>
                <w:color w:val="000000"/>
              </w:rPr>
            </w:pPr>
          </w:p>
        </w:tc>
        <w:tc>
          <w:tcPr>
            <w:tcW w:w="3402" w:type="dxa"/>
          </w:tcPr>
          <w:p w14:paraId="0000001F" w14:textId="254BB500" w:rsidR="009C0F38" w:rsidRDefault="00171025" w:rsidP="00BC57FD">
            <w:pP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 xml:space="preserve">Library and Archives </w:t>
            </w:r>
            <w:r w:rsidR="00685E6C">
              <w:rPr>
                <w:rFonts w:eastAsia="Open Sans"/>
                <w:i/>
                <w:color w:val="000000"/>
              </w:rPr>
              <w:t>Canada</w:t>
            </w:r>
          </w:p>
          <w:p w14:paraId="00000020" w14:textId="32AF3E15" w:rsidR="009C0F38" w:rsidRPr="00685E6C" w:rsidRDefault="00171025" w:rsidP="00BC57FD">
            <w:pPr>
              <w:ind w:firstLine="0"/>
              <w:jc w:val="center"/>
              <w:rPr>
                <w:rFonts w:eastAsia="Open Sans"/>
                <w:i/>
                <w:color w:val="000000"/>
                <w:sz w:val="18"/>
              </w:rPr>
            </w:pPr>
            <w:r>
              <w:rPr>
                <w:rFonts w:eastAsia="Open Sans"/>
                <w:i/>
                <w:color w:val="000000"/>
                <w:sz w:val="18"/>
              </w:rPr>
              <w:t>tom.smyth@bac-lac.gc.ca</w:t>
            </w:r>
          </w:p>
          <w:p w14:paraId="00000021" w14:textId="109CE07D" w:rsidR="009C0F38" w:rsidRDefault="00E902FB" w:rsidP="00BC57FD">
            <w:pPr>
              <w:ind w:firstLine="0"/>
              <w:jc w:val="center"/>
              <w:rPr>
                <w:rFonts w:eastAsia="Open Sans"/>
                <w:i/>
                <w:color w:val="000000"/>
              </w:rPr>
            </w:pPr>
            <w:hyperlink r:id="rId9" w:history="1">
              <w:r w:rsidR="00D142B4" w:rsidRPr="00B01C67">
                <w:rPr>
                  <w:rStyle w:val="Hyperlink"/>
                  <w:rFonts w:ascii="Open Sans" w:eastAsia="Open Sans" w:hAnsi="Open Sans"/>
                  <w:i/>
                </w:rPr>
                <w:t>ORCID</w:t>
              </w:r>
              <w:r w:rsidR="00B01C67" w:rsidRPr="00B01C67">
                <w:rPr>
                  <w:rStyle w:val="Hyperlink"/>
                  <w:rFonts w:ascii="Open Sans" w:eastAsia="Open Sans" w:hAnsi="Open Sans"/>
                  <w:i/>
                </w:rPr>
                <w:t xml:space="preserve"> 0002-3829-2980</w:t>
              </w:r>
            </w:hyperlink>
          </w:p>
        </w:tc>
        <w:tc>
          <w:tcPr>
            <w:tcW w:w="2773" w:type="dxa"/>
          </w:tcPr>
          <w:p w14:paraId="00000025" w14:textId="3FB235A3" w:rsidR="009C0F38" w:rsidRDefault="009C0F38" w:rsidP="00BC57FD">
            <w:pPr>
              <w:ind w:firstLine="0"/>
              <w:rPr>
                <w:rFonts w:eastAsia="Open Sans"/>
                <w:i/>
                <w:color w:val="000000"/>
              </w:rPr>
            </w:pPr>
          </w:p>
        </w:tc>
      </w:tr>
      <w:tr w:rsidR="009C0F38" w14:paraId="6EF9252A" w14:textId="77777777" w:rsidTr="00BC57FD">
        <w:trPr>
          <w:trHeight w:val="399"/>
        </w:trPr>
        <w:tc>
          <w:tcPr>
            <w:tcW w:w="2835" w:type="dxa"/>
          </w:tcPr>
          <w:p w14:paraId="00000026" w14:textId="77777777" w:rsidR="009C0F38" w:rsidRDefault="009C0F38" w:rsidP="00BC57FD">
            <w:pP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402" w:type="dxa"/>
          </w:tcPr>
          <w:p w14:paraId="00000027" w14:textId="77777777" w:rsidR="009C0F38" w:rsidRDefault="009C0F38" w:rsidP="00BC57FD">
            <w:pP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2773" w:type="dxa"/>
          </w:tcPr>
          <w:p w14:paraId="00000028" w14:textId="77777777" w:rsidR="009C0F38" w:rsidRDefault="009C0F38" w:rsidP="00BC57FD">
            <w:pPr>
              <w:jc w:val="center"/>
              <w:rPr>
                <w:rFonts w:eastAsia="Open Sans"/>
                <w:i/>
                <w:color w:val="000000"/>
              </w:rPr>
            </w:pPr>
          </w:p>
        </w:tc>
      </w:tr>
    </w:tbl>
    <w:p w14:paraId="00000029" w14:textId="77777777" w:rsidR="009C0F38" w:rsidRDefault="009C0F38">
      <w:pPr>
        <w:sectPr w:rsidR="009C0F3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4780A8CA" w14:textId="5FE4EFBF" w:rsidR="00E82E7A" w:rsidRPr="000B5174" w:rsidRDefault="00D142B4" w:rsidP="00E26E9C">
      <w:pPr>
        <w:ind w:firstLine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="Open Sans"/>
          <w:b/>
          <w:color w:val="000000"/>
          <w:sz w:val="18"/>
          <w:szCs w:val="18"/>
        </w:rPr>
        <w:t xml:space="preserve">Abstract – </w:t>
      </w:r>
      <w:r w:rsidR="00E82E7A">
        <w:rPr>
          <w:rFonts w:eastAsia="Open Sans"/>
          <w:b/>
          <w:color w:val="000000"/>
          <w:sz w:val="18"/>
          <w:szCs w:val="18"/>
        </w:rPr>
        <w:t xml:space="preserve">Library </w:t>
      </w:r>
      <w:r w:rsidR="00E82E7A" w:rsidRPr="000B5174">
        <w:rPr>
          <w:rFonts w:eastAsia="Open Sans"/>
          <w:b/>
          <w:sz w:val="18"/>
          <w:szCs w:val="18"/>
        </w:rPr>
        <w:t xml:space="preserve">and Archives Canada’s </w:t>
      </w:r>
      <w:r w:rsidR="000B5174">
        <w:rPr>
          <w:rFonts w:eastAsia="Open Sans"/>
          <w:b/>
          <w:sz w:val="18"/>
          <w:szCs w:val="18"/>
        </w:rPr>
        <w:t xml:space="preserve">(LAC) </w:t>
      </w:r>
      <w:r w:rsidR="00E82E7A" w:rsidRPr="000B5174">
        <w:rPr>
          <w:b/>
          <w:sz w:val="18"/>
          <w:szCs w:val="18"/>
        </w:rPr>
        <w:t xml:space="preserve">new </w:t>
      </w:r>
      <w:r w:rsidR="00DD0684">
        <w:rPr>
          <w:b/>
          <w:sz w:val="18"/>
          <w:szCs w:val="18"/>
        </w:rPr>
        <w:t>File Formats P</w:t>
      </w:r>
      <w:r w:rsidR="00E82E7A" w:rsidRPr="000B5174">
        <w:rPr>
          <w:b/>
          <w:sz w:val="18"/>
          <w:szCs w:val="18"/>
        </w:rPr>
        <w:t xml:space="preserve">olicy, which constitutes a from-scratch analysis of </w:t>
      </w:r>
      <w:r w:rsidR="000B5174">
        <w:rPr>
          <w:b/>
          <w:sz w:val="18"/>
          <w:szCs w:val="18"/>
        </w:rPr>
        <w:t>the P</w:t>
      </w:r>
      <w:r w:rsidR="00E82E7A" w:rsidRPr="000B5174">
        <w:rPr>
          <w:b/>
          <w:sz w:val="18"/>
          <w:szCs w:val="18"/>
        </w:rPr>
        <w:t xml:space="preserve">reservation </w:t>
      </w:r>
      <w:r w:rsidR="000B5174">
        <w:rPr>
          <w:b/>
          <w:sz w:val="18"/>
          <w:szCs w:val="18"/>
        </w:rPr>
        <w:t xml:space="preserve">area’s </w:t>
      </w:r>
      <w:r w:rsidR="00E82E7A" w:rsidRPr="000B5174">
        <w:rPr>
          <w:b/>
          <w:sz w:val="18"/>
          <w:szCs w:val="18"/>
        </w:rPr>
        <w:t>migration capacity</w:t>
      </w:r>
      <w:r w:rsidR="006D1704">
        <w:rPr>
          <w:b/>
          <w:sz w:val="18"/>
          <w:szCs w:val="18"/>
        </w:rPr>
        <w:t>, has</w:t>
      </w:r>
      <w:r w:rsidR="000B5174">
        <w:rPr>
          <w:b/>
          <w:sz w:val="18"/>
          <w:szCs w:val="18"/>
        </w:rPr>
        <w:t xml:space="preserve"> been converted into a </w:t>
      </w:r>
      <w:r w:rsidR="00E82E7A" w:rsidRPr="000B5174">
        <w:rPr>
          <w:b/>
          <w:sz w:val="18"/>
          <w:szCs w:val="18"/>
        </w:rPr>
        <w:t>database that can be</w:t>
      </w:r>
      <w:r w:rsidR="000B5174">
        <w:rPr>
          <w:b/>
          <w:sz w:val="18"/>
          <w:szCs w:val="18"/>
        </w:rPr>
        <w:t xml:space="preserve"> remotely queried</w:t>
      </w:r>
      <w:r w:rsidR="00AA55F3">
        <w:rPr>
          <w:b/>
          <w:sz w:val="18"/>
          <w:szCs w:val="18"/>
        </w:rPr>
        <w:t>. I</w:t>
      </w:r>
      <w:r w:rsidR="00DD121A">
        <w:rPr>
          <w:b/>
          <w:sz w:val="18"/>
          <w:szCs w:val="18"/>
        </w:rPr>
        <w:t>n tandem with DROID, we developed</w:t>
      </w:r>
      <w:r w:rsidR="000B5174">
        <w:rPr>
          <w:b/>
          <w:sz w:val="18"/>
          <w:szCs w:val="18"/>
        </w:rPr>
        <w:t xml:space="preserve"> </w:t>
      </w:r>
      <w:r w:rsidR="00DD121A">
        <w:rPr>
          <w:b/>
          <w:sz w:val="18"/>
          <w:szCs w:val="18"/>
        </w:rPr>
        <w:t xml:space="preserve">a </w:t>
      </w:r>
      <w:r w:rsidR="000B5174">
        <w:rPr>
          <w:b/>
          <w:sz w:val="18"/>
          <w:szCs w:val="18"/>
        </w:rPr>
        <w:t xml:space="preserve">new software </w:t>
      </w:r>
      <w:r w:rsidR="00E82E7A" w:rsidRPr="000B5174">
        <w:rPr>
          <w:b/>
          <w:sz w:val="18"/>
          <w:szCs w:val="18"/>
        </w:rPr>
        <w:t xml:space="preserve">tool </w:t>
      </w:r>
      <w:r w:rsidR="00DD121A">
        <w:rPr>
          <w:b/>
          <w:sz w:val="18"/>
          <w:szCs w:val="18"/>
        </w:rPr>
        <w:t xml:space="preserve">that </w:t>
      </w:r>
      <w:r w:rsidR="00E82E7A" w:rsidRPr="000B5174">
        <w:rPr>
          <w:b/>
          <w:sz w:val="18"/>
          <w:szCs w:val="18"/>
        </w:rPr>
        <w:t>compares a target dataset (e.g., materi</w:t>
      </w:r>
      <w:r w:rsidR="009729D4">
        <w:rPr>
          <w:b/>
          <w:sz w:val="18"/>
          <w:szCs w:val="18"/>
        </w:rPr>
        <w:t>al for acquisition</w:t>
      </w:r>
      <w:r w:rsidR="00903B37">
        <w:rPr>
          <w:b/>
          <w:sz w:val="18"/>
          <w:szCs w:val="18"/>
        </w:rPr>
        <w:t xml:space="preserve">, or </w:t>
      </w:r>
      <w:r w:rsidR="00DB30F9">
        <w:rPr>
          <w:b/>
          <w:sz w:val="18"/>
          <w:szCs w:val="18"/>
        </w:rPr>
        <w:t xml:space="preserve">material </w:t>
      </w:r>
      <w:r w:rsidR="00903B37">
        <w:rPr>
          <w:b/>
          <w:sz w:val="18"/>
          <w:szCs w:val="18"/>
        </w:rPr>
        <w:t>being migrated to a new media</w:t>
      </w:r>
      <w:r w:rsidR="009729D4">
        <w:rPr>
          <w:b/>
          <w:sz w:val="18"/>
          <w:szCs w:val="18"/>
        </w:rPr>
        <w:t>) against our</w:t>
      </w:r>
      <w:r w:rsidR="00D47540">
        <w:rPr>
          <w:b/>
          <w:sz w:val="18"/>
          <w:szCs w:val="18"/>
        </w:rPr>
        <w:t xml:space="preserve"> </w:t>
      </w:r>
      <w:r w:rsidR="006D1704">
        <w:rPr>
          <w:b/>
          <w:sz w:val="18"/>
          <w:szCs w:val="18"/>
        </w:rPr>
        <w:t xml:space="preserve">PRONOM-based </w:t>
      </w:r>
      <w:r w:rsidR="00D47540">
        <w:rPr>
          <w:b/>
          <w:sz w:val="18"/>
          <w:szCs w:val="18"/>
        </w:rPr>
        <w:t xml:space="preserve">Local Digital Format Registry (LDFR) </w:t>
      </w:r>
      <w:r w:rsidR="00E82E7A" w:rsidRPr="000B5174">
        <w:rPr>
          <w:b/>
          <w:sz w:val="18"/>
          <w:szCs w:val="18"/>
        </w:rPr>
        <w:t>database</w:t>
      </w:r>
      <w:r w:rsidR="009729D4">
        <w:rPr>
          <w:b/>
          <w:sz w:val="18"/>
          <w:szCs w:val="18"/>
        </w:rPr>
        <w:t>. The tool then</w:t>
      </w:r>
      <w:r w:rsidR="00E82E7A" w:rsidRPr="000B5174">
        <w:rPr>
          <w:b/>
          <w:sz w:val="18"/>
          <w:szCs w:val="18"/>
        </w:rPr>
        <w:t xml:space="preserve"> outputs a report – which then speaks to LAC’s capacity to manage the target data – and flags detectable </w:t>
      </w:r>
      <w:r w:rsidR="00903B37">
        <w:rPr>
          <w:b/>
          <w:sz w:val="18"/>
          <w:szCs w:val="18"/>
        </w:rPr>
        <w:t>file format</w:t>
      </w:r>
      <w:r w:rsidR="00DB30F9">
        <w:rPr>
          <w:b/>
          <w:sz w:val="18"/>
          <w:szCs w:val="18"/>
        </w:rPr>
        <w:t xml:space="preserve"> </w:t>
      </w:r>
      <w:r w:rsidR="00903B37">
        <w:rPr>
          <w:b/>
          <w:sz w:val="18"/>
          <w:szCs w:val="18"/>
        </w:rPr>
        <w:t xml:space="preserve">and </w:t>
      </w:r>
      <w:r w:rsidR="000B5174">
        <w:rPr>
          <w:b/>
          <w:sz w:val="18"/>
          <w:szCs w:val="18"/>
        </w:rPr>
        <w:t xml:space="preserve">data management </w:t>
      </w:r>
      <w:r w:rsidR="00E82E7A" w:rsidRPr="000B5174">
        <w:rPr>
          <w:b/>
          <w:sz w:val="18"/>
          <w:szCs w:val="18"/>
        </w:rPr>
        <w:t>issues</w:t>
      </w:r>
      <w:r w:rsidR="00D47540">
        <w:rPr>
          <w:b/>
          <w:sz w:val="18"/>
          <w:szCs w:val="18"/>
        </w:rPr>
        <w:t>.</w:t>
      </w:r>
      <w:r w:rsidR="000B5174">
        <w:rPr>
          <w:b/>
          <w:sz w:val="18"/>
          <w:szCs w:val="18"/>
        </w:rPr>
        <w:t xml:space="preserve"> </w:t>
      </w:r>
      <w:r w:rsidR="00E82E7A" w:rsidRPr="000B5174">
        <w:rPr>
          <w:b/>
          <w:sz w:val="18"/>
          <w:szCs w:val="18"/>
        </w:rPr>
        <w:t xml:space="preserve">The tool is a major development for </w:t>
      </w:r>
      <w:r w:rsidR="000B5174">
        <w:rPr>
          <w:b/>
          <w:sz w:val="18"/>
          <w:szCs w:val="18"/>
        </w:rPr>
        <w:t xml:space="preserve">LAC and enables us to </w:t>
      </w:r>
      <w:r w:rsidR="00E82E7A" w:rsidRPr="000B5174">
        <w:rPr>
          <w:b/>
          <w:sz w:val="18"/>
          <w:szCs w:val="18"/>
        </w:rPr>
        <w:t xml:space="preserve">assess </w:t>
      </w:r>
      <w:r w:rsidR="00E0571C">
        <w:rPr>
          <w:b/>
          <w:sz w:val="18"/>
          <w:szCs w:val="18"/>
        </w:rPr>
        <w:t>file format compliance</w:t>
      </w:r>
      <w:r w:rsidR="00D47540">
        <w:rPr>
          <w:b/>
          <w:sz w:val="18"/>
          <w:szCs w:val="18"/>
        </w:rPr>
        <w:t xml:space="preserve">, </w:t>
      </w:r>
      <w:r w:rsidR="00E82E7A" w:rsidRPr="000B5174">
        <w:rPr>
          <w:b/>
          <w:sz w:val="18"/>
          <w:szCs w:val="18"/>
        </w:rPr>
        <w:t>p</w:t>
      </w:r>
      <w:r w:rsidR="000B5174">
        <w:rPr>
          <w:b/>
          <w:sz w:val="18"/>
          <w:szCs w:val="18"/>
        </w:rPr>
        <w:t>reservation tenability</w:t>
      </w:r>
      <w:r w:rsidR="00D47540">
        <w:rPr>
          <w:b/>
          <w:sz w:val="18"/>
          <w:szCs w:val="18"/>
        </w:rPr>
        <w:t>, and there</w:t>
      </w:r>
      <w:r w:rsidR="00E0571C">
        <w:rPr>
          <w:b/>
          <w:sz w:val="18"/>
          <w:szCs w:val="18"/>
        </w:rPr>
        <w:t>fore</w:t>
      </w:r>
      <w:r w:rsidR="00D47540">
        <w:rPr>
          <w:b/>
          <w:sz w:val="18"/>
          <w:szCs w:val="18"/>
        </w:rPr>
        <w:t xml:space="preserve"> the </w:t>
      </w:r>
      <w:r w:rsidR="00E0571C">
        <w:rPr>
          <w:b/>
          <w:sz w:val="18"/>
          <w:szCs w:val="18"/>
        </w:rPr>
        <w:t xml:space="preserve">estimated </w:t>
      </w:r>
      <w:r w:rsidR="00D47540">
        <w:rPr>
          <w:b/>
          <w:sz w:val="18"/>
          <w:szCs w:val="18"/>
        </w:rPr>
        <w:t xml:space="preserve">cost of ownership at the pre-transfer stage </w:t>
      </w:r>
      <w:r w:rsidR="000B5174">
        <w:rPr>
          <w:b/>
          <w:sz w:val="18"/>
          <w:szCs w:val="18"/>
        </w:rPr>
        <w:t>of the lifecycle</w:t>
      </w:r>
      <w:r w:rsidR="00E0571C">
        <w:rPr>
          <w:b/>
          <w:sz w:val="18"/>
          <w:szCs w:val="18"/>
        </w:rPr>
        <w:t xml:space="preserve"> – which w</w:t>
      </w:r>
      <w:r w:rsidR="000B5174">
        <w:rPr>
          <w:b/>
          <w:sz w:val="18"/>
          <w:szCs w:val="18"/>
        </w:rPr>
        <w:t xml:space="preserve">ill inform </w:t>
      </w:r>
      <w:r w:rsidR="00D47540">
        <w:rPr>
          <w:b/>
          <w:sz w:val="18"/>
          <w:szCs w:val="18"/>
        </w:rPr>
        <w:t xml:space="preserve">PAIMAS-oriented </w:t>
      </w:r>
      <w:r w:rsidR="00E82E7A" w:rsidRPr="000B5174">
        <w:rPr>
          <w:b/>
          <w:sz w:val="18"/>
          <w:szCs w:val="18"/>
        </w:rPr>
        <w:t>discussions with</w:t>
      </w:r>
      <w:r w:rsidR="00DD121A">
        <w:rPr>
          <w:b/>
          <w:sz w:val="18"/>
          <w:szCs w:val="18"/>
        </w:rPr>
        <w:t xml:space="preserve"> internal and external clients – leading </w:t>
      </w:r>
      <w:r w:rsidR="00D47540">
        <w:rPr>
          <w:b/>
          <w:sz w:val="18"/>
          <w:szCs w:val="18"/>
        </w:rPr>
        <w:t>to better</w:t>
      </w:r>
      <w:r w:rsidR="00DD121A">
        <w:rPr>
          <w:b/>
          <w:sz w:val="18"/>
          <w:szCs w:val="18"/>
        </w:rPr>
        <w:t xml:space="preserve"> overall </w:t>
      </w:r>
      <w:r w:rsidR="006D1704">
        <w:rPr>
          <w:b/>
          <w:sz w:val="18"/>
          <w:szCs w:val="18"/>
        </w:rPr>
        <w:t>capacity management, and digital preservation migration, planning, and sustainability.</w:t>
      </w:r>
    </w:p>
    <w:p w14:paraId="0000002A" w14:textId="3D5DB6E3" w:rsidR="009C0F38" w:rsidRDefault="009C0F38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</w:p>
    <w:p w14:paraId="0000002B" w14:textId="7171586E" w:rsidR="009C0F38" w:rsidRDefault="00D142B4" w:rsidP="00E26E9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Keywords – </w:t>
      </w:r>
      <w:r w:rsidR="000840BE">
        <w:rPr>
          <w:rFonts w:eastAsia="Open Sans"/>
          <w:b/>
          <w:color w:val="000000"/>
          <w:sz w:val="18"/>
          <w:szCs w:val="18"/>
        </w:rPr>
        <w:t>File format policy, characterization and migration, preservation t</w:t>
      </w:r>
      <w:r w:rsidR="002977B5" w:rsidRPr="002977B5">
        <w:rPr>
          <w:rFonts w:eastAsia="Open Sans"/>
          <w:b/>
          <w:color w:val="000000"/>
          <w:sz w:val="18"/>
          <w:szCs w:val="18"/>
        </w:rPr>
        <w:t>enability</w:t>
      </w:r>
      <w:r w:rsidR="000840BE">
        <w:rPr>
          <w:rFonts w:eastAsia="Open Sans"/>
          <w:b/>
          <w:color w:val="000000"/>
          <w:sz w:val="18"/>
          <w:szCs w:val="18"/>
        </w:rPr>
        <w:t xml:space="preserve"> and sustainability</w:t>
      </w:r>
      <w:r w:rsidR="002977B5" w:rsidRPr="002977B5">
        <w:rPr>
          <w:rFonts w:eastAsia="Open Sans"/>
          <w:b/>
          <w:color w:val="000000"/>
          <w:sz w:val="18"/>
          <w:szCs w:val="18"/>
        </w:rPr>
        <w:t xml:space="preserve">, </w:t>
      </w:r>
      <w:r w:rsidR="000840BE">
        <w:rPr>
          <w:rFonts w:eastAsia="Open Sans"/>
          <w:b/>
          <w:color w:val="000000"/>
          <w:sz w:val="18"/>
          <w:szCs w:val="18"/>
        </w:rPr>
        <w:t>Digital preservation planning and capacity analysis, PAIMAS, PRONOM.</w:t>
      </w:r>
    </w:p>
    <w:p w14:paraId="4210BFFD" w14:textId="77777777" w:rsidR="00E26E9C" w:rsidRDefault="00E26E9C" w:rsidP="00E26E9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Open Sans"/>
          <w:b/>
          <w:color w:val="000000"/>
          <w:sz w:val="18"/>
          <w:szCs w:val="18"/>
        </w:rPr>
      </w:pPr>
    </w:p>
    <w:p w14:paraId="0000002C" w14:textId="5ECEE414" w:rsidR="009C0F38" w:rsidRDefault="00D142B4" w:rsidP="00E26E9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Conference Topics – </w:t>
      </w:r>
      <w:r w:rsidR="00D63F10">
        <w:rPr>
          <w:rFonts w:eastAsia="Open Sans"/>
          <w:b/>
          <w:color w:val="000000"/>
          <w:sz w:val="18"/>
          <w:szCs w:val="18"/>
        </w:rPr>
        <w:t>Innovation; Resilience</w:t>
      </w:r>
      <w:r w:rsidR="004352C3">
        <w:rPr>
          <w:rFonts w:eastAsia="Open Sans"/>
          <w:b/>
          <w:color w:val="000000"/>
          <w:sz w:val="18"/>
          <w:szCs w:val="18"/>
        </w:rPr>
        <w:t>.</w:t>
      </w:r>
    </w:p>
    <w:p w14:paraId="0000002D" w14:textId="78847DA3" w:rsidR="009C0F38" w:rsidRDefault="00376817">
      <w:pPr>
        <w:pStyle w:val="Heading1"/>
        <w:numPr>
          <w:ilvl w:val="0"/>
          <w:numId w:val="3"/>
        </w:numPr>
      </w:pPr>
      <w:r>
        <w:t>Introduction</w:t>
      </w:r>
    </w:p>
    <w:p w14:paraId="3C69E0C8" w14:textId="5F937C5E" w:rsidR="00CC06DF" w:rsidRDefault="0088688E" w:rsidP="00377310">
      <w:pPr>
        <w:spacing w:after="120"/>
        <w:ind w:firstLine="0"/>
        <w:rPr>
          <w:rFonts w:eastAsia="Open Sans"/>
          <w:color w:val="000000"/>
        </w:rPr>
      </w:pPr>
      <w:r>
        <w:t xml:space="preserve">In 2021-22, </w:t>
      </w:r>
      <w:r w:rsidR="00CC06DF">
        <w:t xml:space="preserve">the Digital Preservation (DP) area of </w:t>
      </w:r>
      <w:r w:rsidR="00D9107D">
        <w:t>Library and Archives Canada (LAC)</w:t>
      </w:r>
      <w:r>
        <w:t xml:space="preserve"> undertook a major revision of its File Formats Policy. </w:t>
      </w:r>
      <w:r w:rsidR="00CC06DF">
        <w:t xml:space="preserve"> </w:t>
      </w:r>
      <w:r w:rsidR="001B7B4B">
        <w:rPr>
          <w:rFonts w:eastAsia="Open Sans"/>
          <w:color w:val="000000"/>
        </w:rPr>
        <w:t>An institution’s file formats p</w:t>
      </w:r>
      <w:r w:rsidR="00CC06DF">
        <w:rPr>
          <w:rFonts w:eastAsia="Open Sans"/>
          <w:color w:val="000000"/>
        </w:rPr>
        <w:t>o</w:t>
      </w:r>
      <w:r w:rsidR="00CC06DF" w:rsidRPr="003B47F4">
        <w:rPr>
          <w:rFonts w:eastAsia="Open Sans"/>
          <w:color w:val="000000"/>
        </w:rPr>
        <w:t>licy</w:t>
      </w:r>
      <w:r w:rsidR="00E8267B">
        <w:rPr>
          <w:rFonts w:eastAsia="Open Sans"/>
          <w:color w:val="000000"/>
        </w:rPr>
        <w:t xml:space="preserve"> is</w:t>
      </w:r>
      <w:r w:rsidR="00CC06DF">
        <w:rPr>
          <w:rFonts w:eastAsia="Open Sans"/>
          <w:color w:val="000000"/>
        </w:rPr>
        <w:t xml:space="preserve"> </w:t>
      </w:r>
      <w:r w:rsidR="00E8267B">
        <w:rPr>
          <w:rFonts w:eastAsia="Open Sans"/>
          <w:color w:val="000000"/>
        </w:rPr>
        <w:t xml:space="preserve">typically </w:t>
      </w:r>
      <w:r w:rsidR="00CC06DF">
        <w:rPr>
          <w:rFonts w:eastAsia="Open Sans"/>
          <w:color w:val="000000"/>
        </w:rPr>
        <w:t xml:space="preserve">a statement of its ability and capacity to manage and preserve data, organized based on the ideal file or data formats it wants to receive for particular content types. </w:t>
      </w:r>
      <w:r w:rsidR="004A01E5">
        <w:rPr>
          <w:rFonts w:eastAsia="Open Sans"/>
          <w:color w:val="000000"/>
        </w:rPr>
        <w:t xml:space="preserve"> </w:t>
      </w:r>
      <w:r w:rsidR="00CC06DF">
        <w:rPr>
          <w:rFonts w:eastAsia="Open Sans"/>
          <w:color w:val="000000"/>
        </w:rPr>
        <w:t xml:space="preserve">Some formats are easy for the organization to manage, </w:t>
      </w:r>
      <w:r w:rsidR="00E8267B">
        <w:rPr>
          <w:rFonts w:eastAsia="Open Sans"/>
          <w:color w:val="000000"/>
        </w:rPr>
        <w:t xml:space="preserve">while </w:t>
      </w:r>
      <w:r w:rsidR="00CC06DF">
        <w:rPr>
          <w:rFonts w:eastAsia="Open Sans"/>
          <w:color w:val="000000"/>
        </w:rPr>
        <w:t xml:space="preserve">others are not for various reasons. </w:t>
      </w:r>
      <w:r w:rsidR="004A01E5">
        <w:rPr>
          <w:rFonts w:eastAsia="Open Sans"/>
          <w:color w:val="000000"/>
        </w:rPr>
        <w:t xml:space="preserve"> </w:t>
      </w:r>
      <w:r w:rsidR="00CC06DF">
        <w:rPr>
          <w:rFonts w:eastAsia="Open Sans"/>
          <w:color w:val="000000"/>
        </w:rPr>
        <w:t xml:space="preserve">By definition, this is an individualistic policy piece based on </w:t>
      </w:r>
      <w:r w:rsidR="000F2138">
        <w:rPr>
          <w:rFonts w:eastAsia="Open Sans"/>
          <w:color w:val="000000"/>
        </w:rPr>
        <w:t xml:space="preserve">the details of an organization’s </w:t>
      </w:r>
      <w:r w:rsidR="00CC06DF">
        <w:rPr>
          <w:rFonts w:eastAsia="Open Sans"/>
          <w:color w:val="000000"/>
        </w:rPr>
        <w:t xml:space="preserve">mandate, </w:t>
      </w:r>
      <w:r w:rsidR="000F2138">
        <w:rPr>
          <w:rFonts w:eastAsia="Open Sans"/>
          <w:color w:val="000000"/>
        </w:rPr>
        <w:t xml:space="preserve">perhaps its legal context, its </w:t>
      </w:r>
      <w:r w:rsidR="004A01E5">
        <w:rPr>
          <w:rFonts w:eastAsia="Open Sans"/>
          <w:color w:val="000000"/>
        </w:rPr>
        <w:t xml:space="preserve">dedicated </w:t>
      </w:r>
      <w:r w:rsidR="00CC06DF">
        <w:rPr>
          <w:rFonts w:eastAsia="Open Sans"/>
          <w:color w:val="000000"/>
        </w:rPr>
        <w:t xml:space="preserve">resources, and to a degree, </w:t>
      </w:r>
      <w:r w:rsidR="004A01E5">
        <w:rPr>
          <w:rFonts w:eastAsia="Open Sans"/>
          <w:color w:val="000000"/>
        </w:rPr>
        <w:t xml:space="preserve">its </w:t>
      </w:r>
      <w:r w:rsidR="00CC06DF">
        <w:rPr>
          <w:rFonts w:eastAsia="Open Sans"/>
          <w:color w:val="000000"/>
        </w:rPr>
        <w:t xml:space="preserve">DP program maturity. </w:t>
      </w:r>
      <w:r w:rsidR="000F2138">
        <w:rPr>
          <w:rFonts w:eastAsia="Open Sans"/>
          <w:color w:val="000000"/>
        </w:rPr>
        <w:t xml:space="preserve"> </w:t>
      </w:r>
      <w:r w:rsidR="00CC06DF">
        <w:rPr>
          <w:rFonts w:eastAsia="Open Sans"/>
          <w:color w:val="000000"/>
        </w:rPr>
        <w:t>It also tends to be a snapshot, a moment in time of when it was written</w:t>
      </w:r>
      <w:r w:rsidR="000F2138">
        <w:rPr>
          <w:rFonts w:eastAsia="Open Sans"/>
          <w:color w:val="000000"/>
        </w:rPr>
        <w:t xml:space="preserve"> or published</w:t>
      </w:r>
      <w:r w:rsidR="00CC06DF">
        <w:rPr>
          <w:rFonts w:eastAsia="Open Sans"/>
          <w:color w:val="000000"/>
        </w:rPr>
        <w:t xml:space="preserve"> – which can be problematic</w:t>
      </w:r>
      <w:r w:rsidR="004A01E5">
        <w:rPr>
          <w:rFonts w:eastAsia="Open Sans"/>
          <w:color w:val="000000"/>
        </w:rPr>
        <w:t>,</w:t>
      </w:r>
      <w:r w:rsidR="00CC06DF">
        <w:rPr>
          <w:rFonts w:eastAsia="Open Sans"/>
          <w:color w:val="000000"/>
        </w:rPr>
        <w:t xml:space="preserve"> as such a core policy of the DP Archive evolves quickly </w:t>
      </w:r>
      <w:r w:rsidR="00CC06DF">
        <w:rPr>
          <w:rFonts w:eastAsia="Open Sans"/>
          <w:color w:val="000000"/>
        </w:rPr>
        <w:t xml:space="preserve">under the lens of operations, </w:t>
      </w:r>
      <w:r w:rsidR="000F2138">
        <w:rPr>
          <w:rFonts w:eastAsia="Open Sans"/>
          <w:color w:val="000000"/>
        </w:rPr>
        <w:t>so</w:t>
      </w:r>
      <w:r w:rsidR="00CC06DF">
        <w:rPr>
          <w:rFonts w:eastAsia="Open Sans"/>
          <w:color w:val="000000"/>
        </w:rPr>
        <w:t xml:space="preserve"> should be communicated to stakeholders at equal pace where possible</w:t>
      </w:r>
      <w:r w:rsidR="004A01E5">
        <w:rPr>
          <w:rFonts w:eastAsia="Open Sans"/>
          <w:color w:val="000000"/>
        </w:rPr>
        <w:t xml:space="preserve"> (we can improve on that ourselves!)</w:t>
      </w:r>
    </w:p>
    <w:p w14:paraId="277667C2" w14:textId="2581E7E7" w:rsidR="000B0DC9" w:rsidRDefault="000B0DC9" w:rsidP="000B0DC9">
      <w:pPr>
        <w:spacing w:after="120"/>
        <w:ind w:firstLine="0"/>
      </w:pPr>
      <w:r>
        <w:t>This piece falls into the ‘Innovation’ conference topic insofar as it explores how we analyze</w:t>
      </w:r>
      <w:r w:rsidR="00F609DA">
        <w:t>d</w:t>
      </w:r>
      <w:r>
        <w:t xml:space="preserve"> migration capacity and </w:t>
      </w:r>
      <w:r w:rsidR="002A43EA">
        <w:t>b</w:t>
      </w:r>
      <w:r>
        <w:t xml:space="preserve">egan assessing digital preservation tenability and sustainability at the point of pre-transfer. It also falls under ‘Resilience’ in terms of the strategy we built to characterize capacity challenges and build objective data on which to </w:t>
      </w:r>
      <w:r w:rsidR="00386D80">
        <w:t xml:space="preserve">describe </w:t>
      </w:r>
      <w:r w:rsidR="004A01E5">
        <w:t xml:space="preserve">quality and </w:t>
      </w:r>
      <w:r w:rsidR="00386D80">
        <w:t>the costs of ownership</w:t>
      </w:r>
      <w:r w:rsidR="004A01E5">
        <w:t xml:space="preserve"> </w:t>
      </w:r>
      <w:r>
        <w:t>– while enabling an institutional digital preservation services catalogue, and delivering better</w:t>
      </w:r>
      <w:r w:rsidR="00B07D1A">
        <w:t xml:space="preserve"> and more strategic digital preservation services</w:t>
      </w:r>
      <w:r w:rsidR="004A01E5">
        <w:t xml:space="preserve"> to our clients.</w:t>
      </w:r>
    </w:p>
    <w:p w14:paraId="2C177C7A" w14:textId="77777777" w:rsidR="000B0DC9" w:rsidRDefault="000B0DC9" w:rsidP="000B0DC9">
      <w:pPr>
        <w:pStyle w:val="Heading1"/>
        <w:numPr>
          <w:ilvl w:val="0"/>
          <w:numId w:val="3"/>
        </w:numPr>
      </w:pPr>
      <w:r>
        <w:t>Problem Statement</w:t>
      </w:r>
    </w:p>
    <w:p w14:paraId="228435EB" w14:textId="78BDFB32" w:rsidR="004642CE" w:rsidRDefault="0088688E" w:rsidP="00377310">
      <w:pPr>
        <w:spacing w:after="120"/>
        <w:ind w:firstLine="0"/>
      </w:pPr>
      <w:r>
        <w:t xml:space="preserve">While we have </w:t>
      </w:r>
      <w:r w:rsidR="0068165D">
        <w:t xml:space="preserve">maintained a paper-based </w:t>
      </w:r>
      <w:r>
        <w:t>p</w:t>
      </w:r>
      <w:r w:rsidR="009A1F93">
        <w:t xml:space="preserve">olicy since at least 2009, we </w:t>
      </w:r>
      <w:r>
        <w:t xml:space="preserve">knew </w:t>
      </w:r>
      <w:r w:rsidR="00CC06DF">
        <w:t xml:space="preserve">we </w:t>
      </w:r>
      <w:r w:rsidR="009A1F93">
        <w:t>were missing</w:t>
      </w:r>
      <w:r>
        <w:t xml:space="preserve"> </w:t>
      </w:r>
      <w:r w:rsidR="0068165D">
        <w:t xml:space="preserve">a means of applying </w:t>
      </w:r>
      <w:r w:rsidR="00751F82">
        <w:t xml:space="preserve">it </w:t>
      </w:r>
      <w:r w:rsidR="0068165D">
        <w:t>in a machine-readable and dynamic manner</w:t>
      </w:r>
      <w:r w:rsidR="00751F82">
        <w:t xml:space="preserve"> to everyday </w:t>
      </w:r>
      <w:r w:rsidR="00A97A1E">
        <w:t xml:space="preserve">digital </w:t>
      </w:r>
      <w:r w:rsidR="00751F82">
        <w:t xml:space="preserve">operations.  Thus, our goal was to construct a method to assess any data under scrutiny for its ‘compliance’ with the File Format Policy </w:t>
      </w:r>
      <w:r w:rsidR="0068165D">
        <w:t xml:space="preserve">– </w:t>
      </w:r>
      <w:r w:rsidR="00A97A1E">
        <w:t>in the</w:t>
      </w:r>
      <w:r w:rsidR="00CC06DF">
        <w:t xml:space="preserve"> </w:t>
      </w:r>
      <w:r w:rsidR="00751F82">
        <w:t>context</w:t>
      </w:r>
      <w:r w:rsidR="008D58DD">
        <w:t>s</w:t>
      </w:r>
      <w:r w:rsidR="00751F82">
        <w:t xml:space="preserve"> </w:t>
      </w:r>
      <w:r w:rsidR="00A97A1E">
        <w:t>o</w:t>
      </w:r>
      <w:r w:rsidR="00751F82">
        <w:t xml:space="preserve">f </w:t>
      </w:r>
      <w:r>
        <w:t xml:space="preserve">incoming </w:t>
      </w:r>
      <w:r w:rsidR="0068165D">
        <w:t xml:space="preserve">acquisitions </w:t>
      </w:r>
      <w:r>
        <w:t xml:space="preserve">data, </w:t>
      </w:r>
      <w:r w:rsidR="0068165D">
        <w:t>legacy media</w:t>
      </w:r>
      <w:r>
        <w:t xml:space="preserve"> and collections</w:t>
      </w:r>
      <w:r w:rsidR="0068165D">
        <w:t xml:space="preserve"> </w:t>
      </w:r>
      <w:r w:rsidR="00CC06DF">
        <w:t xml:space="preserve">under </w:t>
      </w:r>
      <w:r>
        <w:t xml:space="preserve">digital preservation (DP) </w:t>
      </w:r>
      <w:r w:rsidR="0068165D">
        <w:t>migration</w:t>
      </w:r>
      <w:r w:rsidR="003B4138">
        <w:t>,</w:t>
      </w:r>
      <w:r w:rsidR="008D58DD">
        <w:t xml:space="preserve"> and perhaps also </w:t>
      </w:r>
      <w:r w:rsidR="003B4138">
        <w:t xml:space="preserve">for collections </w:t>
      </w:r>
      <w:r w:rsidR="00B9007C">
        <w:t xml:space="preserve">and backlog </w:t>
      </w:r>
      <w:r w:rsidR="008D58DD">
        <w:t>re-appraisal.</w:t>
      </w:r>
    </w:p>
    <w:p w14:paraId="6A1E706D" w14:textId="5AD78F25" w:rsidR="0068165D" w:rsidRDefault="00751F82" w:rsidP="00377310">
      <w:pPr>
        <w:spacing w:after="120"/>
        <w:ind w:firstLine="0"/>
      </w:pPr>
      <w:r>
        <w:t xml:space="preserve">In so doing, we wanted to </w:t>
      </w:r>
      <w:r w:rsidR="00684F59">
        <w:t>address two main issues: 1. Creating</w:t>
      </w:r>
      <w:r>
        <w:t xml:space="preserve"> a </w:t>
      </w:r>
      <w:r w:rsidR="0068165D">
        <w:t xml:space="preserve">means of </w:t>
      </w:r>
      <w:r w:rsidR="00684F59">
        <w:t xml:space="preserve">describing and </w:t>
      </w:r>
      <w:r w:rsidR="0068165D">
        <w:t>mitigating digital preservation risk</w:t>
      </w:r>
      <w:r w:rsidR="00BB42F8">
        <w:t xml:space="preserve"> inherent to poor </w:t>
      </w:r>
      <w:r w:rsidR="00BC3A7A">
        <w:t xml:space="preserve">data </w:t>
      </w:r>
      <w:r w:rsidR="00BB42F8">
        <w:t xml:space="preserve">quality or unmanageable </w:t>
      </w:r>
      <w:r w:rsidR="00CE153D">
        <w:t xml:space="preserve">file </w:t>
      </w:r>
      <w:r w:rsidR="00BB42F8">
        <w:t>formats</w:t>
      </w:r>
      <w:r>
        <w:t xml:space="preserve"> before they came in the door</w:t>
      </w:r>
      <w:r w:rsidR="001C6C58">
        <w:t>,</w:t>
      </w:r>
      <w:r w:rsidR="00CE153D">
        <w:t xml:space="preserve"> </w:t>
      </w:r>
      <w:r>
        <w:t xml:space="preserve">and </w:t>
      </w:r>
      <w:r w:rsidR="00684F59">
        <w:t>2. B</w:t>
      </w:r>
      <w:r>
        <w:t>uild</w:t>
      </w:r>
      <w:r w:rsidR="00684F59">
        <w:t>ing</w:t>
      </w:r>
      <w:r w:rsidR="001C6C58">
        <w:t xml:space="preserve"> the data on which to do </w:t>
      </w:r>
      <w:r w:rsidR="00684F59">
        <w:t xml:space="preserve">DP </w:t>
      </w:r>
      <w:r w:rsidR="001C6C58">
        <w:t>planning,</w:t>
      </w:r>
      <w:r w:rsidR="00684F59">
        <w:t xml:space="preserve"> risk assessment,</w:t>
      </w:r>
      <w:r w:rsidR="0068165D">
        <w:t xml:space="preserve"> </w:t>
      </w:r>
      <w:r w:rsidR="00A472DC">
        <w:t xml:space="preserve">and </w:t>
      </w:r>
      <w:r>
        <w:t>migration</w:t>
      </w:r>
      <w:r w:rsidR="00B24791">
        <w:t xml:space="preserve"> for the DP Archive</w:t>
      </w:r>
      <w:r w:rsidR="00A472DC">
        <w:t xml:space="preserve">. </w:t>
      </w:r>
      <w:r w:rsidR="00B24791">
        <w:t xml:space="preserve"> </w:t>
      </w:r>
      <w:r w:rsidR="00A472DC">
        <w:t>U</w:t>
      </w:r>
      <w:r w:rsidR="001C6C58">
        <w:t>ltimately</w:t>
      </w:r>
      <w:r w:rsidR="00A472DC">
        <w:t xml:space="preserve">, we wanted to </w:t>
      </w:r>
      <w:r w:rsidR="00B24791">
        <w:t>begin the process of articulating</w:t>
      </w:r>
      <w:r>
        <w:t xml:space="preserve"> and </w:t>
      </w:r>
      <w:r w:rsidR="00B24791">
        <w:t>estimating</w:t>
      </w:r>
      <w:r w:rsidR="0068165D">
        <w:t xml:space="preserve"> </w:t>
      </w:r>
      <w:r w:rsidR="00AB6519">
        <w:t xml:space="preserve">the </w:t>
      </w:r>
      <w:r w:rsidR="0068165D">
        <w:t>cost</w:t>
      </w:r>
      <w:r w:rsidR="001C6C58">
        <w:t>s</w:t>
      </w:r>
      <w:r w:rsidR="0068165D">
        <w:t xml:space="preserve"> </w:t>
      </w:r>
      <w:r w:rsidR="00BB42F8">
        <w:t xml:space="preserve">of </w:t>
      </w:r>
      <w:r w:rsidR="007936AA">
        <w:t xml:space="preserve">a work package or the </w:t>
      </w:r>
      <w:r w:rsidR="0068165D">
        <w:t>ownership</w:t>
      </w:r>
      <w:r w:rsidR="00AB6519">
        <w:t xml:space="preserve"> of any target data</w:t>
      </w:r>
      <w:r w:rsidR="00C17ACE">
        <w:t xml:space="preserve"> – which can be more than financial.</w:t>
      </w:r>
    </w:p>
    <w:p w14:paraId="3AAB323D" w14:textId="47C2CDE5" w:rsidR="00046ADB" w:rsidRDefault="003B47F4" w:rsidP="003B47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>Many great t</w:t>
      </w:r>
      <w:r w:rsidR="00367FBB">
        <w:rPr>
          <w:rFonts w:eastAsia="Open Sans"/>
          <w:color w:val="000000"/>
        </w:rPr>
        <w:t xml:space="preserve">ools exist for </w:t>
      </w:r>
      <w:r>
        <w:rPr>
          <w:rFonts w:eastAsia="Open Sans"/>
          <w:color w:val="000000"/>
        </w:rPr>
        <w:t>file format characterization</w:t>
      </w:r>
      <w:r w:rsidR="00FF795B">
        <w:rPr>
          <w:rFonts w:eastAsia="Open Sans"/>
          <w:color w:val="000000"/>
        </w:rPr>
        <w:t xml:space="preserve"> (</w:t>
      </w:r>
      <w:r>
        <w:rPr>
          <w:rFonts w:eastAsia="Open Sans"/>
          <w:color w:val="000000"/>
        </w:rPr>
        <w:t>DROID</w:t>
      </w:r>
      <w:r w:rsidR="00986038">
        <w:rPr>
          <w:rStyle w:val="FootnoteReference"/>
          <w:rFonts w:eastAsia="Open Sans"/>
          <w:color w:val="000000"/>
        </w:rPr>
        <w:t xml:space="preserve"> </w:t>
      </w:r>
      <w:r w:rsidR="00986038">
        <w:rPr>
          <w:rFonts w:eastAsia="Open Sans"/>
          <w:color w:val="000000"/>
        </w:rPr>
        <w:t>[1]</w:t>
      </w:r>
      <w:r>
        <w:rPr>
          <w:rFonts w:eastAsia="Open Sans"/>
          <w:color w:val="000000"/>
        </w:rPr>
        <w:t>, Brunnhilde</w:t>
      </w:r>
      <w:r w:rsidR="00986038">
        <w:rPr>
          <w:rFonts w:eastAsia="Open Sans"/>
          <w:color w:val="000000"/>
        </w:rPr>
        <w:t xml:space="preserve"> [2]</w:t>
      </w:r>
      <w:r>
        <w:rPr>
          <w:rFonts w:eastAsia="Open Sans"/>
          <w:color w:val="000000"/>
        </w:rPr>
        <w:t>, Jhove</w:t>
      </w:r>
      <w:r w:rsidR="003B3C18">
        <w:rPr>
          <w:rFonts w:eastAsia="Open Sans"/>
          <w:color w:val="000000"/>
        </w:rPr>
        <w:t xml:space="preserve"> [3],</w:t>
      </w:r>
      <w:r>
        <w:rPr>
          <w:rFonts w:eastAsia="Open Sans"/>
          <w:color w:val="000000"/>
        </w:rPr>
        <w:t xml:space="preserve"> etc). However as a next step in digital preservation migration program </w:t>
      </w:r>
      <w:r>
        <w:rPr>
          <w:rFonts w:eastAsia="Open Sans"/>
          <w:color w:val="000000"/>
        </w:rPr>
        <w:lastRenderedPageBreak/>
        <w:t xml:space="preserve">maturity, </w:t>
      </w:r>
      <w:r w:rsidR="00561C6D">
        <w:rPr>
          <w:rFonts w:eastAsia="Open Sans"/>
          <w:color w:val="000000"/>
        </w:rPr>
        <w:t xml:space="preserve">we found ourselves asking how </w:t>
      </w:r>
      <w:r w:rsidRPr="003B47F4">
        <w:rPr>
          <w:rFonts w:eastAsia="Open Sans"/>
          <w:color w:val="000000"/>
        </w:rPr>
        <w:t xml:space="preserve">an organization </w:t>
      </w:r>
      <w:r w:rsidR="00CF7D4D">
        <w:rPr>
          <w:rFonts w:eastAsia="Open Sans"/>
          <w:color w:val="000000"/>
        </w:rPr>
        <w:t>1. A</w:t>
      </w:r>
      <w:r>
        <w:rPr>
          <w:rFonts w:eastAsia="Open Sans"/>
          <w:color w:val="000000"/>
        </w:rPr>
        <w:t>nalyze</w:t>
      </w:r>
      <w:r w:rsidR="00561C6D">
        <w:rPr>
          <w:rFonts w:eastAsia="Open Sans"/>
          <w:color w:val="000000"/>
        </w:rPr>
        <w:t>s</w:t>
      </w:r>
      <w:r>
        <w:rPr>
          <w:rFonts w:eastAsia="Open Sans"/>
          <w:color w:val="000000"/>
        </w:rPr>
        <w:t xml:space="preserve"> and understand</w:t>
      </w:r>
      <w:r w:rsidR="00561C6D">
        <w:rPr>
          <w:rFonts w:eastAsia="Open Sans"/>
          <w:color w:val="000000"/>
        </w:rPr>
        <w:t>s</w:t>
      </w:r>
      <w:r>
        <w:rPr>
          <w:rFonts w:eastAsia="Open Sans"/>
          <w:color w:val="000000"/>
        </w:rPr>
        <w:t xml:space="preserve"> its </w:t>
      </w:r>
      <w:r w:rsidR="00157829">
        <w:rPr>
          <w:rFonts w:eastAsia="Open Sans"/>
          <w:color w:val="000000"/>
        </w:rPr>
        <w:t xml:space="preserve">total and </w:t>
      </w:r>
      <w:r w:rsidR="00367FBB">
        <w:rPr>
          <w:rFonts w:eastAsia="Open Sans"/>
          <w:color w:val="000000"/>
        </w:rPr>
        <w:t xml:space="preserve">current-state </w:t>
      </w:r>
      <w:r w:rsidR="00157829">
        <w:rPr>
          <w:rFonts w:eastAsia="Open Sans"/>
          <w:color w:val="000000"/>
        </w:rPr>
        <w:t xml:space="preserve">capacity to migrate </w:t>
      </w:r>
      <w:r w:rsidR="00367FBB">
        <w:rPr>
          <w:rFonts w:eastAsia="Open Sans"/>
          <w:color w:val="000000"/>
        </w:rPr>
        <w:t>file format</w:t>
      </w:r>
      <w:r w:rsidR="00157829">
        <w:rPr>
          <w:rFonts w:eastAsia="Open Sans"/>
          <w:color w:val="000000"/>
        </w:rPr>
        <w:t>s</w:t>
      </w:r>
      <w:r w:rsidR="00367FBB">
        <w:rPr>
          <w:rFonts w:eastAsia="Open Sans"/>
          <w:color w:val="000000"/>
        </w:rPr>
        <w:t xml:space="preserve"> </w:t>
      </w:r>
      <w:r w:rsidR="00506A1C">
        <w:rPr>
          <w:rFonts w:eastAsia="Open Sans"/>
          <w:color w:val="000000"/>
        </w:rPr>
        <w:t>(in term</w:t>
      </w:r>
      <w:r>
        <w:rPr>
          <w:rFonts w:eastAsia="Open Sans"/>
          <w:color w:val="000000"/>
        </w:rPr>
        <w:t>s of expertise</w:t>
      </w:r>
      <w:r w:rsidR="005034BD">
        <w:rPr>
          <w:rFonts w:eastAsia="Open Sans"/>
          <w:color w:val="000000"/>
        </w:rPr>
        <w:t xml:space="preserve">, </w:t>
      </w:r>
      <w:r>
        <w:rPr>
          <w:rFonts w:eastAsia="Open Sans"/>
          <w:color w:val="000000"/>
        </w:rPr>
        <w:t>tools</w:t>
      </w:r>
      <w:r w:rsidR="005034BD">
        <w:rPr>
          <w:rFonts w:eastAsia="Open Sans"/>
          <w:color w:val="000000"/>
        </w:rPr>
        <w:t xml:space="preserve">, </w:t>
      </w:r>
      <w:r w:rsidR="007E6CE5">
        <w:rPr>
          <w:rFonts w:eastAsia="Open Sans"/>
          <w:color w:val="000000"/>
        </w:rPr>
        <w:t xml:space="preserve">and </w:t>
      </w:r>
      <w:r w:rsidR="005034BD">
        <w:rPr>
          <w:rFonts w:eastAsia="Open Sans"/>
          <w:color w:val="000000"/>
        </w:rPr>
        <w:t>resources</w:t>
      </w:r>
      <w:r>
        <w:rPr>
          <w:rFonts w:eastAsia="Open Sans"/>
          <w:color w:val="000000"/>
        </w:rPr>
        <w:t xml:space="preserve">), 2. </w:t>
      </w:r>
      <w:r w:rsidR="000F582B">
        <w:rPr>
          <w:rFonts w:eastAsia="Open Sans"/>
          <w:color w:val="000000"/>
        </w:rPr>
        <w:t>How it c</w:t>
      </w:r>
      <w:r>
        <w:rPr>
          <w:rFonts w:eastAsia="Open Sans"/>
          <w:color w:val="000000"/>
        </w:rPr>
        <w:t>ompare</w:t>
      </w:r>
      <w:r w:rsidR="00561C6D">
        <w:rPr>
          <w:rFonts w:eastAsia="Open Sans"/>
          <w:color w:val="000000"/>
        </w:rPr>
        <w:t>s</w:t>
      </w:r>
      <w:r w:rsidR="007E6CE5">
        <w:rPr>
          <w:rFonts w:eastAsia="Open Sans"/>
          <w:color w:val="000000"/>
        </w:rPr>
        <w:t xml:space="preserve"> its </w:t>
      </w:r>
      <w:r w:rsidR="00561C6D">
        <w:rPr>
          <w:rFonts w:eastAsia="Open Sans"/>
          <w:color w:val="000000"/>
        </w:rPr>
        <w:t xml:space="preserve">preferably </w:t>
      </w:r>
      <w:r w:rsidR="00046ADB">
        <w:rPr>
          <w:rFonts w:eastAsia="Open Sans"/>
          <w:color w:val="000000"/>
        </w:rPr>
        <w:t xml:space="preserve">evergreen </w:t>
      </w:r>
      <w:r w:rsidR="00CF7D4D">
        <w:rPr>
          <w:rFonts w:eastAsia="Open Sans"/>
          <w:color w:val="000000"/>
        </w:rPr>
        <w:t>f</w:t>
      </w:r>
      <w:r w:rsidR="00022C61">
        <w:rPr>
          <w:rFonts w:eastAsia="Open Sans"/>
          <w:color w:val="000000"/>
        </w:rPr>
        <w:t>ile</w:t>
      </w:r>
      <w:r w:rsidR="00CF7D4D">
        <w:rPr>
          <w:rFonts w:eastAsia="Open Sans"/>
          <w:color w:val="000000"/>
        </w:rPr>
        <w:t xml:space="preserve"> f</w:t>
      </w:r>
      <w:r w:rsidR="00022C61">
        <w:rPr>
          <w:rFonts w:eastAsia="Open Sans"/>
          <w:color w:val="000000"/>
        </w:rPr>
        <w:t xml:space="preserve">ormats </w:t>
      </w:r>
      <w:r w:rsidR="00CF7D4D">
        <w:rPr>
          <w:rFonts w:eastAsia="Open Sans"/>
          <w:color w:val="000000"/>
        </w:rPr>
        <w:t>p</w:t>
      </w:r>
      <w:r w:rsidR="00022C61">
        <w:rPr>
          <w:rFonts w:eastAsia="Open Sans"/>
          <w:color w:val="000000"/>
        </w:rPr>
        <w:t xml:space="preserve">olicy </w:t>
      </w:r>
      <w:r>
        <w:rPr>
          <w:rFonts w:eastAsia="Open Sans"/>
          <w:color w:val="000000"/>
        </w:rPr>
        <w:t>against</w:t>
      </w:r>
      <w:r w:rsidR="00A97720">
        <w:rPr>
          <w:rFonts w:eastAsia="Open Sans"/>
          <w:color w:val="000000"/>
        </w:rPr>
        <w:t xml:space="preserve"> .e.g.,</w:t>
      </w:r>
      <w:r>
        <w:rPr>
          <w:rFonts w:eastAsia="Open Sans"/>
          <w:color w:val="000000"/>
        </w:rPr>
        <w:t xml:space="preserve"> incoming data for </w:t>
      </w:r>
      <w:r w:rsidR="00367FBB">
        <w:rPr>
          <w:rFonts w:eastAsia="Open Sans"/>
          <w:color w:val="000000"/>
        </w:rPr>
        <w:t xml:space="preserve">potential </w:t>
      </w:r>
      <w:r>
        <w:rPr>
          <w:rFonts w:eastAsia="Open Sans"/>
          <w:color w:val="000000"/>
        </w:rPr>
        <w:t>acquisition</w:t>
      </w:r>
      <w:r w:rsidR="009D5981">
        <w:rPr>
          <w:rFonts w:eastAsia="Open Sans"/>
          <w:color w:val="000000"/>
        </w:rPr>
        <w:t xml:space="preserve"> in an automated and machine-readable manner</w:t>
      </w:r>
      <w:r w:rsidR="00AF0D43">
        <w:rPr>
          <w:rFonts w:eastAsia="Open Sans"/>
          <w:color w:val="000000"/>
        </w:rPr>
        <w:t xml:space="preserve">, and </w:t>
      </w:r>
      <w:r w:rsidR="00F06FDD" w:rsidRPr="00F06FDD">
        <w:rPr>
          <w:rFonts w:eastAsia="Open Sans"/>
          <w:color w:val="000000"/>
        </w:rPr>
        <w:t>3</w:t>
      </w:r>
      <w:r w:rsidR="00AF0D43" w:rsidRPr="00F06FDD">
        <w:rPr>
          <w:rFonts w:eastAsia="Open Sans"/>
          <w:b/>
          <w:color w:val="000000"/>
        </w:rPr>
        <w:t xml:space="preserve">. </w:t>
      </w:r>
      <w:r w:rsidR="00AF0D43">
        <w:rPr>
          <w:rFonts w:eastAsia="Open Sans"/>
          <w:color w:val="000000"/>
        </w:rPr>
        <w:t xml:space="preserve">How this </w:t>
      </w:r>
      <w:r w:rsidR="001B7B4B">
        <w:rPr>
          <w:rFonts w:eastAsia="Open Sans"/>
          <w:color w:val="000000"/>
        </w:rPr>
        <w:t xml:space="preserve">process could </w:t>
      </w:r>
      <w:r w:rsidR="00AF0D43">
        <w:rPr>
          <w:rFonts w:eastAsia="Open Sans"/>
          <w:color w:val="000000"/>
        </w:rPr>
        <w:t>a</w:t>
      </w:r>
      <w:r w:rsidR="001B7B4B">
        <w:rPr>
          <w:rFonts w:eastAsia="Open Sans"/>
          <w:color w:val="000000"/>
        </w:rPr>
        <w:t>ssess</w:t>
      </w:r>
      <w:r w:rsidR="00AF0D43">
        <w:rPr>
          <w:rFonts w:eastAsia="Open Sans"/>
          <w:color w:val="000000"/>
        </w:rPr>
        <w:t xml:space="preserve"> </w:t>
      </w:r>
      <w:r w:rsidR="006F2E7E">
        <w:rPr>
          <w:rFonts w:eastAsia="Open Sans"/>
          <w:color w:val="000000"/>
        </w:rPr>
        <w:t>an</w:t>
      </w:r>
      <w:r w:rsidR="00AF0D43">
        <w:rPr>
          <w:rFonts w:eastAsia="Open Sans"/>
          <w:color w:val="000000"/>
        </w:rPr>
        <w:t>d d</w:t>
      </w:r>
      <w:r w:rsidR="009D5981">
        <w:rPr>
          <w:rFonts w:eastAsia="Open Sans"/>
          <w:color w:val="000000"/>
        </w:rPr>
        <w:t>escri</w:t>
      </w:r>
      <w:r w:rsidR="006F2E7E">
        <w:rPr>
          <w:rFonts w:eastAsia="Open Sans"/>
          <w:color w:val="000000"/>
        </w:rPr>
        <w:t>be</w:t>
      </w:r>
      <w:r w:rsidR="009D5981">
        <w:rPr>
          <w:rFonts w:eastAsia="Open Sans"/>
          <w:color w:val="000000"/>
        </w:rPr>
        <w:t xml:space="preserve"> </w:t>
      </w:r>
      <w:r w:rsidR="001B7B4B">
        <w:rPr>
          <w:rFonts w:eastAsia="Open Sans"/>
          <w:color w:val="000000"/>
        </w:rPr>
        <w:t>target data compliance</w:t>
      </w:r>
      <w:r w:rsidR="000F582B">
        <w:rPr>
          <w:rFonts w:eastAsia="Open Sans"/>
          <w:color w:val="000000"/>
        </w:rPr>
        <w:t xml:space="preserve"> </w:t>
      </w:r>
      <w:r w:rsidR="00513660">
        <w:rPr>
          <w:rFonts w:eastAsia="Open Sans"/>
          <w:color w:val="000000"/>
        </w:rPr>
        <w:t>against the File Formats Policy</w:t>
      </w:r>
      <w:r w:rsidR="005034BD">
        <w:rPr>
          <w:rFonts w:eastAsia="Open Sans"/>
          <w:color w:val="000000"/>
        </w:rPr>
        <w:t xml:space="preserve">, both in terms of its </w:t>
      </w:r>
      <w:r w:rsidR="00046ADB">
        <w:rPr>
          <w:rFonts w:eastAsia="Open Sans"/>
          <w:color w:val="000000"/>
        </w:rPr>
        <w:t>preservation tenability</w:t>
      </w:r>
      <w:r w:rsidR="00E86859">
        <w:rPr>
          <w:rFonts w:eastAsia="Open Sans"/>
          <w:color w:val="000000"/>
        </w:rPr>
        <w:t xml:space="preserve"> </w:t>
      </w:r>
      <w:r w:rsidR="00046ADB">
        <w:rPr>
          <w:rFonts w:eastAsia="Open Sans"/>
          <w:color w:val="000000"/>
        </w:rPr>
        <w:t>and the resou</w:t>
      </w:r>
      <w:r w:rsidR="00367FBB">
        <w:rPr>
          <w:rFonts w:eastAsia="Open Sans"/>
          <w:color w:val="000000"/>
        </w:rPr>
        <w:t xml:space="preserve">rces it </w:t>
      </w:r>
      <w:r w:rsidR="00A97720">
        <w:rPr>
          <w:rFonts w:eastAsia="Open Sans"/>
          <w:color w:val="000000"/>
        </w:rPr>
        <w:t>is likely to</w:t>
      </w:r>
      <w:r w:rsidR="00367FBB">
        <w:rPr>
          <w:rFonts w:eastAsia="Open Sans"/>
          <w:color w:val="000000"/>
        </w:rPr>
        <w:t xml:space="preserve"> absorb</w:t>
      </w:r>
      <w:r w:rsidR="00513660">
        <w:rPr>
          <w:rFonts w:eastAsia="Open Sans"/>
          <w:color w:val="000000"/>
        </w:rPr>
        <w:t xml:space="preserve"> -- </w:t>
      </w:r>
      <w:r w:rsidR="00AF0D43">
        <w:rPr>
          <w:rFonts w:eastAsia="Open Sans"/>
          <w:color w:val="000000"/>
        </w:rPr>
        <w:t>initially and in the long-term.</w:t>
      </w:r>
    </w:p>
    <w:p w14:paraId="3136495E" w14:textId="77777777" w:rsidR="00046ADB" w:rsidRDefault="00046ADB" w:rsidP="003B47F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</w:p>
    <w:p w14:paraId="2FBE4B53" w14:textId="58237D55" w:rsidR="00AF0D43" w:rsidRDefault="006C047B" w:rsidP="00AF0D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i/>
          <w:color w:val="000000"/>
        </w:rPr>
      </w:pPr>
      <w:r>
        <w:rPr>
          <w:rFonts w:eastAsia="Open Sans"/>
          <w:color w:val="000000"/>
        </w:rPr>
        <w:t xml:space="preserve">Put another way, </w:t>
      </w:r>
      <w:r w:rsidRPr="00A51050">
        <w:rPr>
          <w:rFonts w:eastAsia="Open Sans"/>
          <w:i/>
          <w:color w:val="000000"/>
        </w:rPr>
        <w:t>h</w:t>
      </w:r>
      <w:r w:rsidR="00506A1C" w:rsidRPr="00A51050">
        <w:rPr>
          <w:rFonts w:eastAsia="Open Sans"/>
          <w:i/>
          <w:color w:val="000000"/>
        </w:rPr>
        <w:t xml:space="preserve">ow do </w:t>
      </w:r>
      <w:r w:rsidR="00FF795B" w:rsidRPr="00A51050">
        <w:rPr>
          <w:rFonts w:eastAsia="Open Sans"/>
          <w:i/>
          <w:color w:val="000000"/>
        </w:rPr>
        <w:t xml:space="preserve">we estimate </w:t>
      </w:r>
      <w:r w:rsidR="008876DF" w:rsidRPr="00A51050">
        <w:rPr>
          <w:rFonts w:eastAsia="Open Sans"/>
          <w:i/>
          <w:color w:val="000000"/>
        </w:rPr>
        <w:t>the</w:t>
      </w:r>
      <w:r w:rsidR="00C70B35" w:rsidRPr="00A51050">
        <w:rPr>
          <w:rFonts w:eastAsia="Open Sans"/>
          <w:i/>
          <w:color w:val="000000"/>
        </w:rPr>
        <w:t xml:space="preserve"> overall sustai</w:t>
      </w:r>
      <w:r w:rsidR="008876DF" w:rsidRPr="00A51050">
        <w:rPr>
          <w:rFonts w:eastAsia="Open Sans"/>
          <w:i/>
          <w:color w:val="000000"/>
        </w:rPr>
        <w:t>n</w:t>
      </w:r>
      <w:r w:rsidR="00B607E0" w:rsidRPr="00A51050">
        <w:rPr>
          <w:rFonts w:eastAsia="Open Sans"/>
          <w:i/>
          <w:color w:val="000000"/>
        </w:rPr>
        <w:t>ab</w:t>
      </w:r>
      <w:r w:rsidR="007E3376" w:rsidRPr="00A51050">
        <w:rPr>
          <w:rFonts w:eastAsia="Open Sans"/>
          <w:i/>
          <w:color w:val="000000"/>
        </w:rPr>
        <w:t>ility of a given acquisition</w:t>
      </w:r>
      <w:r w:rsidRPr="00A51050">
        <w:rPr>
          <w:rFonts w:eastAsia="Open Sans"/>
          <w:i/>
          <w:color w:val="000000"/>
        </w:rPr>
        <w:t xml:space="preserve">, its risks and its costs </w:t>
      </w:r>
      <w:r w:rsidR="007E3376" w:rsidRPr="00A51050">
        <w:rPr>
          <w:rFonts w:eastAsia="Open Sans"/>
          <w:i/>
          <w:color w:val="000000"/>
        </w:rPr>
        <w:t xml:space="preserve">of </w:t>
      </w:r>
      <w:r w:rsidR="00C70B35" w:rsidRPr="00A51050">
        <w:rPr>
          <w:rFonts w:eastAsia="Open Sans"/>
          <w:i/>
          <w:color w:val="000000"/>
        </w:rPr>
        <w:t>ownership</w:t>
      </w:r>
      <w:r w:rsidR="008876DF" w:rsidRPr="00A51050">
        <w:rPr>
          <w:rFonts w:eastAsia="Open Sans"/>
          <w:i/>
          <w:color w:val="000000"/>
        </w:rPr>
        <w:t xml:space="preserve"> </w:t>
      </w:r>
      <w:r w:rsidR="00C70B35" w:rsidRPr="00A51050">
        <w:rPr>
          <w:rFonts w:eastAsia="Open Sans"/>
          <w:i/>
          <w:color w:val="000000"/>
        </w:rPr>
        <w:t xml:space="preserve">– </w:t>
      </w:r>
      <w:r w:rsidR="00046ADB" w:rsidRPr="00A51050">
        <w:rPr>
          <w:rFonts w:eastAsia="Open Sans"/>
          <w:i/>
          <w:color w:val="000000"/>
        </w:rPr>
        <w:t xml:space="preserve">at </w:t>
      </w:r>
      <w:r w:rsidR="00FF795B" w:rsidRPr="00A51050">
        <w:rPr>
          <w:rFonts w:eastAsia="Open Sans"/>
          <w:i/>
          <w:color w:val="000000"/>
        </w:rPr>
        <w:t>the point of pre-transfer</w:t>
      </w:r>
      <w:r w:rsidR="00AF0D43">
        <w:rPr>
          <w:rFonts w:eastAsia="Open Sans"/>
          <w:i/>
          <w:color w:val="000000"/>
        </w:rPr>
        <w:t>,</w:t>
      </w:r>
      <w:r w:rsidR="00AF0D43" w:rsidRPr="00A51050">
        <w:rPr>
          <w:rFonts w:eastAsia="Open Sans"/>
          <w:i/>
          <w:color w:val="000000"/>
        </w:rPr>
        <w:t xml:space="preserve"> </w:t>
      </w:r>
      <w:r w:rsidR="00DD3E4C">
        <w:rPr>
          <w:rFonts w:eastAsia="Open Sans"/>
          <w:i/>
          <w:color w:val="000000"/>
        </w:rPr>
        <w:t xml:space="preserve">with an eye to the </w:t>
      </w:r>
      <w:r w:rsidR="00AF0D43" w:rsidRPr="00A51050">
        <w:rPr>
          <w:rFonts w:eastAsia="Open Sans"/>
          <w:i/>
          <w:color w:val="000000"/>
        </w:rPr>
        <w:t>core principles of OAIS sustainability</w:t>
      </w:r>
      <w:r w:rsidR="00367FBB" w:rsidRPr="00A51050">
        <w:rPr>
          <w:rFonts w:eastAsia="Open Sans"/>
          <w:i/>
          <w:color w:val="000000"/>
        </w:rPr>
        <w:t xml:space="preserve"> – </w:t>
      </w:r>
      <w:r w:rsidR="00046ADB" w:rsidRPr="00A51050">
        <w:rPr>
          <w:rFonts w:eastAsia="Open Sans"/>
          <w:i/>
          <w:color w:val="000000"/>
        </w:rPr>
        <w:t xml:space="preserve">before an acquisition decision needs to </w:t>
      </w:r>
      <w:r w:rsidR="00C70B35" w:rsidRPr="00A51050">
        <w:rPr>
          <w:rFonts w:eastAsia="Open Sans"/>
          <w:i/>
          <w:color w:val="000000"/>
        </w:rPr>
        <w:t>be made?</w:t>
      </w:r>
      <w:r w:rsidRPr="00A51050">
        <w:rPr>
          <w:rFonts w:eastAsia="Open Sans"/>
          <w:i/>
          <w:color w:val="000000"/>
        </w:rPr>
        <w:t xml:space="preserve">  </w:t>
      </w:r>
      <w:r w:rsidR="00AF0D43">
        <w:rPr>
          <w:rFonts w:eastAsia="Open Sans"/>
          <w:i/>
          <w:color w:val="000000"/>
        </w:rPr>
        <w:t xml:space="preserve">Where we know we must acquire a given collection, how can we articulate </w:t>
      </w:r>
      <w:r w:rsidR="006954B9">
        <w:rPr>
          <w:rFonts w:eastAsia="Open Sans"/>
          <w:i/>
          <w:color w:val="000000"/>
        </w:rPr>
        <w:t xml:space="preserve">the cost of ownership in </w:t>
      </w:r>
      <w:r w:rsidR="00AF0D43">
        <w:rPr>
          <w:rFonts w:eastAsia="Open Sans"/>
          <w:i/>
          <w:color w:val="000000"/>
        </w:rPr>
        <w:t xml:space="preserve">its current state, and calculate what resources and capacity will be </w:t>
      </w:r>
      <w:r w:rsidR="00B9380D">
        <w:rPr>
          <w:rFonts w:eastAsia="Open Sans"/>
          <w:i/>
          <w:color w:val="000000"/>
        </w:rPr>
        <w:t>necessary</w:t>
      </w:r>
      <w:r w:rsidR="00AF0D43">
        <w:rPr>
          <w:rFonts w:eastAsia="Open Sans"/>
          <w:i/>
          <w:color w:val="000000"/>
        </w:rPr>
        <w:t xml:space="preserve"> for its management?  </w:t>
      </w:r>
      <w:r w:rsidR="00AF0D43" w:rsidRPr="00A51050">
        <w:rPr>
          <w:rFonts w:eastAsia="Open Sans"/>
          <w:i/>
          <w:color w:val="000000"/>
        </w:rPr>
        <w:t>How should that information impact PAIMAS-oriented client negotiations</w:t>
      </w:r>
      <w:r w:rsidR="001A24F1">
        <w:rPr>
          <w:rFonts w:eastAsia="Open Sans"/>
          <w:i/>
          <w:color w:val="000000"/>
        </w:rPr>
        <w:t>,</w:t>
      </w:r>
      <w:r w:rsidR="00374C36">
        <w:rPr>
          <w:rFonts w:eastAsia="Open Sans"/>
          <w:i/>
          <w:color w:val="000000"/>
        </w:rPr>
        <w:t xml:space="preserve"> where possible?</w:t>
      </w:r>
    </w:p>
    <w:p w14:paraId="4AC9949C" w14:textId="7503D98F" w:rsidR="00327CE3" w:rsidRDefault="00327CE3" w:rsidP="00A97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</w:p>
    <w:p w14:paraId="2CAA6939" w14:textId="07512622" w:rsidR="00A97720" w:rsidRDefault="00CD3510" w:rsidP="00A97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>Going further, i</w:t>
      </w:r>
      <w:r w:rsidR="00280AE4">
        <w:rPr>
          <w:rFonts w:eastAsia="Open Sans"/>
          <w:color w:val="000000"/>
        </w:rPr>
        <w:t>n financial</w:t>
      </w:r>
      <w:r w:rsidR="00761366">
        <w:rPr>
          <w:rFonts w:eastAsia="Open Sans"/>
          <w:color w:val="000000"/>
        </w:rPr>
        <w:t xml:space="preserve">, priority, </w:t>
      </w:r>
      <w:r w:rsidR="00280AE4">
        <w:rPr>
          <w:rFonts w:eastAsia="Open Sans"/>
          <w:color w:val="000000"/>
        </w:rPr>
        <w:t>and capacity management contexts, how do we build a framework that ensures we are applying our finite resources to the digital documentary heritage content that warrants</w:t>
      </w:r>
      <w:r w:rsidR="00231CA9">
        <w:rPr>
          <w:rFonts w:eastAsia="Open Sans"/>
          <w:color w:val="000000"/>
        </w:rPr>
        <w:t xml:space="preserve"> </w:t>
      </w:r>
      <w:r w:rsidR="00280AE4">
        <w:rPr>
          <w:rFonts w:eastAsia="Open Sans"/>
          <w:color w:val="000000"/>
        </w:rPr>
        <w:t>high</w:t>
      </w:r>
      <w:r w:rsidR="00450D38">
        <w:rPr>
          <w:rFonts w:eastAsia="Open Sans"/>
          <w:color w:val="000000"/>
        </w:rPr>
        <w:t xml:space="preserve"> </w:t>
      </w:r>
      <w:r w:rsidR="00280AE4">
        <w:rPr>
          <w:rFonts w:eastAsia="Open Sans"/>
          <w:color w:val="000000"/>
        </w:rPr>
        <w:t>investment?</w:t>
      </w:r>
      <w:r w:rsidR="00A61514">
        <w:rPr>
          <w:rFonts w:eastAsia="Open Sans"/>
          <w:color w:val="000000"/>
        </w:rPr>
        <w:t xml:space="preserve">  </w:t>
      </w:r>
      <w:r w:rsidR="007E3376">
        <w:rPr>
          <w:rFonts w:eastAsia="Open Sans"/>
          <w:color w:val="000000"/>
        </w:rPr>
        <w:t xml:space="preserve">How do we gather objective data with which to brief stakeholders on what the costs of ownership are </w:t>
      </w:r>
      <w:r w:rsidR="006C047B">
        <w:rPr>
          <w:rFonts w:eastAsia="Open Sans"/>
          <w:color w:val="000000"/>
        </w:rPr>
        <w:t>likely to be</w:t>
      </w:r>
      <w:r w:rsidR="00FA3EDA">
        <w:rPr>
          <w:rFonts w:eastAsia="Open Sans"/>
          <w:color w:val="000000"/>
        </w:rPr>
        <w:t>?</w:t>
      </w:r>
      <w:r w:rsidR="007E3376">
        <w:rPr>
          <w:rFonts w:eastAsia="Open Sans"/>
          <w:color w:val="000000"/>
        </w:rPr>
        <w:t xml:space="preserve"> </w:t>
      </w:r>
      <w:r w:rsidR="00420BC7">
        <w:rPr>
          <w:rFonts w:eastAsia="Open Sans"/>
          <w:color w:val="000000"/>
        </w:rPr>
        <w:t xml:space="preserve">(and then use it </w:t>
      </w:r>
      <w:r w:rsidR="007E3376">
        <w:rPr>
          <w:rFonts w:eastAsia="Open Sans"/>
          <w:color w:val="000000"/>
        </w:rPr>
        <w:t xml:space="preserve">to </w:t>
      </w:r>
      <w:r w:rsidR="00450D38">
        <w:rPr>
          <w:rFonts w:eastAsia="Open Sans"/>
          <w:color w:val="000000"/>
        </w:rPr>
        <w:t>augment acquisition decisions and</w:t>
      </w:r>
      <w:r w:rsidR="009B6ED5">
        <w:rPr>
          <w:rFonts w:eastAsia="Open Sans"/>
          <w:color w:val="000000"/>
        </w:rPr>
        <w:t>/or</w:t>
      </w:r>
      <w:r w:rsidR="00450D38">
        <w:rPr>
          <w:rFonts w:eastAsia="Open Sans"/>
          <w:color w:val="000000"/>
        </w:rPr>
        <w:t xml:space="preserve"> </w:t>
      </w:r>
      <w:r w:rsidR="007E3376">
        <w:rPr>
          <w:rFonts w:eastAsia="Open Sans"/>
          <w:color w:val="000000"/>
        </w:rPr>
        <w:t>build business cases for more capacity?</w:t>
      </w:r>
      <w:r w:rsidR="00216FFC">
        <w:rPr>
          <w:rFonts w:eastAsia="Open Sans"/>
          <w:color w:val="000000"/>
        </w:rPr>
        <w:t>)</w:t>
      </w:r>
      <w:r w:rsidR="00364D27" w:rsidRPr="00364D27">
        <w:rPr>
          <w:rFonts w:eastAsia="Open Sans"/>
          <w:color w:val="000000"/>
        </w:rPr>
        <w:t xml:space="preserve"> </w:t>
      </w:r>
      <w:r w:rsidR="007444CB">
        <w:rPr>
          <w:rFonts w:eastAsia="Open Sans"/>
          <w:color w:val="000000"/>
        </w:rPr>
        <w:t xml:space="preserve"> </w:t>
      </w:r>
      <w:r w:rsidR="00364D27">
        <w:rPr>
          <w:rFonts w:eastAsia="Open Sans"/>
          <w:color w:val="000000"/>
        </w:rPr>
        <w:t xml:space="preserve">For us at LAC, this was </w:t>
      </w:r>
      <w:r w:rsidR="00364D27">
        <w:rPr>
          <w:rFonts w:eastAsia="Open Sans"/>
          <w:color w:val="000000"/>
        </w:rPr>
        <w:t xml:space="preserve">also </w:t>
      </w:r>
      <w:r w:rsidR="00364D27">
        <w:rPr>
          <w:rFonts w:eastAsia="Open Sans"/>
          <w:color w:val="000000"/>
        </w:rPr>
        <w:t>the beginning of a vision for an institutional DP services catalogue, where the services could be</w:t>
      </w:r>
      <w:r w:rsidR="00364D27">
        <w:rPr>
          <w:rFonts w:eastAsia="Open Sans"/>
          <w:color w:val="000000"/>
        </w:rPr>
        <w:t xml:space="preserve"> added or removed based on available funds, capacity, and priority.</w:t>
      </w:r>
    </w:p>
    <w:p w14:paraId="51BA4893" w14:textId="77777777" w:rsidR="00761366" w:rsidRDefault="00761366" w:rsidP="00A97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</w:p>
    <w:p w14:paraId="0000005A" w14:textId="563AECC8" w:rsidR="009C0F38" w:rsidRDefault="00E71670" w:rsidP="000E1B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>W</w:t>
      </w:r>
      <w:r w:rsidR="001F1207">
        <w:rPr>
          <w:rFonts w:eastAsia="Open Sans"/>
          <w:color w:val="000000"/>
        </w:rPr>
        <w:t xml:space="preserve">e </w:t>
      </w:r>
      <w:r>
        <w:rPr>
          <w:rFonts w:eastAsia="Open Sans"/>
          <w:color w:val="000000"/>
        </w:rPr>
        <w:t xml:space="preserve">therefore </w:t>
      </w:r>
      <w:r w:rsidR="001F1207">
        <w:rPr>
          <w:rFonts w:eastAsia="Open Sans"/>
          <w:color w:val="000000"/>
        </w:rPr>
        <w:t xml:space="preserve">produced a </w:t>
      </w:r>
      <w:r>
        <w:rPr>
          <w:rFonts w:eastAsia="Open Sans"/>
          <w:color w:val="000000"/>
        </w:rPr>
        <w:t xml:space="preserve">methodology and </w:t>
      </w:r>
      <w:r w:rsidR="001F1207">
        <w:rPr>
          <w:rFonts w:eastAsia="Open Sans"/>
          <w:color w:val="000000"/>
        </w:rPr>
        <w:t xml:space="preserve">tool that would </w:t>
      </w:r>
      <w:r>
        <w:rPr>
          <w:rFonts w:eastAsia="Open Sans"/>
          <w:color w:val="000000"/>
        </w:rPr>
        <w:t>generate r</w:t>
      </w:r>
      <w:r w:rsidR="001F1207">
        <w:rPr>
          <w:rFonts w:eastAsia="Open Sans"/>
          <w:color w:val="000000"/>
        </w:rPr>
        <w:t>eal-time data</w:t>
      </w:r>
      <w:r>
        <w:rPr>
          <w:rFonts w:eastAsia="Open Sans"/>
          <w:color w:val="000000"/>
        </w:rPr>
        <w:t>, a</w:t>
      </w:r>
      <w:r w:rsidR="005751EB">
        <w:rPr>
          <w:rFonts w:eastAsia="Open Sans"/>
          <w:color w:val="000000"/>
        </w:rPr>
        <w:t>nd enable the relevant</w:t>
      </w:r>
      <w:r>
        <w:rPr>
          <w:rFonts w:eastAsia="Open Sans"/>
          <w:color w:val="000000"/>
        </w:rPr>
        <w:t xml:space="preserve"> </w:t>
      </w:r>
      <w:r w:rsidR="000F1CB9">
        <w:rPr>
          <w:rFonts w:eastAsia="Open Sans"/>
          <w:color w:val="000000"/>
        </w:rPr>
        <w:t>conversations</w:t>
      </w:r>
      <w:r w:rsidR="00CF25AF">
        <w:rPr>
          <w:rFonts w:eastAsia="Open Sans"/>
          <w:color w:val="000000"/>
        </w:rPr>
        <w:t xml:space="preserve"> with easy-to-understand reports.</w:t>
      </w:r>
    </w:p>
    <w:p w14:paraId="0C592983" w14:textId="3E8E0E91" w:rsidR="006F652E" w:rsidRDefault="006F652E" w:rsidP="006F652E">
      <w:pPr>
        <w:pStyle w:val="Heading1"/>
        <w:numPr>
          <w:ilvl w:val="0"/>
          <w:numId w:val="3"/>
        </w:numPr>
      </w:pPr>
      <w:r>
        <w:t>Analyzing File Format Capacity</w:t>
      </w:r>
    </w:p>
    <w:p w14:paraId="3A2AEF73" w14:textId="2BECEF05" w:rsidR="005078FC" w:rsidRDefault="005078FC" w:rsidP="006F652E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An issue we identified over the years was how quickly </w:t>
      </w:r>
      <w:r w:rsidR="004B17DD">
        <w:rPr>
          <w:color w:val="222222"/>
          <w:shd w:val="clear" w:color="auto" w:fill="FFFFFF"/>
        </w:rPr>
        <w:t>our</w:t>
      </w:r>
      <w:r w:rsidR="00C76564">
        <w:rPr>
          <w:color w:val="222222"/>
          <w:shd w:val="clear" w:color="auto" w:fill="FFFFFF"/>
        </w:rPr>
        <w:t xml:space="preserve"> document-based File For</w:t>
      </w:r>
      <w:r>
        <w:rPr>
          <w:color w:val="222222"/>
          <w:shd w:val="clear" w:color="auto" w:fill="FFFFFF"/>
        </w:rPr>
        <w:t>mat</w:t>
      </w:r>
      <w:r w:rsidR="00C76564">
        <w:rPr>
          <w:color w:val="222222"/>
          <w:shd w:val="clear" w:color="auto" w:fill="FFFFFF"/>
        </w:rPr>
        <w:t>s P</w:t>
      </w:r>
      <w:r>
        <w:rPr>
          <w:color w:val="222222"/>
          <w:shd w:val="clear" w:color="auto" w:fill="FFFFFF"/>
        </w:rPr>
        <w:t xml:space="preserve">olicy became outdated, and how this </w:t>
      </w:r>
      <w:r w:rsidR="00A6730B">
        <w:rPr>
          <w:color w:val="222222"/>
          <w:shd w:val="clear" w:color="auto" w:fill="FFFFFF"/>
        </w:rPr>
        <w:t>affected</w:t>
      </w:r>
      <w:r w:rsidR="004F4A76">
        <w:rPr>
          <w:color w:val="222222"/>
          <w:shd w:val="clear" w:color="auto" w:fill="FFFFFF"/>
        </w:rPr>
        <w:t xml:space="preserve"> ongoing acquisition</w:t>
      </w:r>
      <w:r>
        <w:rPr>
          <w:color w:val="222222"/>
          <w:shd w:val="clear" w:color="auto" w:fill="FFFFFF"/>
        </w:rPr>
        <w:t xml:space="preserve"> operations since clients </w:t>
      </w:r>
      <w:r w:rsidR="005644D5">
        <w:rPr>
          <w:color w:val="222222"/>
          <w:shd w:val="clear" w:color="auto" w:fill="FFFFFF"/>
        </w:rPr>
        <w:t xml:space="preserve">were constantly referring to </w:t>
      </w:r>
      <w:r>
        <w:rPr>
          <w:color w:val="222222"/>
          <w:shd w:val="clear" w:color="auto" w:fill="FFFFFF"/>
        </w:rPr>
        <w:t>and acting upon the outdated web-based copy.</w:t>
      </w:r>
      <w:r w:rsidR="004B17DD">
        <w:rPr>
          <w:color w:val="222222"/>
          <w:shd w:val="clear" w:color="auto" w:fill="FFFFFF"/>
        </w:rPr>
        <w:t xml:space="preserve">  </w:t>
      </w:r>
      <w:r w:rsidR="00B70EC0">
        <w:rPr>
          <w:color w:val="222222"/>
          <w:shd w:val="clear" w:color="auto" w:fill="FFFFFF"/>
        </w:rPr>
        <w:t>W</w:t>
      </w:r>
      <w:r w:rsidR="004B17DD">
        <w:rPr>
          <w:color w:val="222222"/>
          <w:shd w:val="clear" w:color="auto" w:fill="FFFFFF"/>
        </w:rPr>
        <w:t xml:space="preserve">e </w:t>
      </w:r>
      <w:r w:rsidR="00B70EC0">
        <w:rPr>
          <w:color w:val="222222"/>
          <w:shd w:val="clear" w:color="auto" w:fill="FFFFFF"/>
        </w:rPr>
        <w:t>ne</w:t>
      </w:r>
      <w:r w:rsidR="008B0A30">
        <w:rPr>
          <w:color w:val="222222"/>
          <w:shd w:val="clear" w:color="auto" w:fill="FFFFFF"/>
        </w:rPr>
        <w:t xml:space="preserve">eded a new </w:t>
      </w:r>
      <w:r w:rsidR="005644D5">
        <w:rPr>
          <w:color w:val="222222"/>
          <w:shd w:val="clear" w:color="auto" w:fill="FFFFFF"/>
        </w:rPr>
        <w:t xml:space="preserve">means of </w:t>
      </w:r>
      <w:r w:rsidR="008B0A30">
        <w:rPr>
          <w:color w:val="222222"/>
          <w:shd w:val="clear" w:color="auto" w:fill="FFFFFF"/>
        </w:rPr>
        <w:t>‘</w:t>
      </w:r>
      <w:r w:rsidR="005644D5">
        <w:rPr>
          <w:color w:val="222222"/>
          <w:shd w:val="clear" w:color="auto" w:fill="FFFFFF"/>
        </w:rPr>
        <w:t xml:space="preserve">keeping it </w:t>
      </w:r>
      <w:r w:rsidR="004B17DD">
        <w:rPr>
          <w:color w:val="222222"/>
          <w:shd w:val="clear" w:color="auto" w:fill="FFFFFF"/>
        </w:rPr>
        <w:t>evergreen</w:t>
      </w:r>
      <w:r w:rsidR="00B70EC0">
        <w:rPr>
          <w:color w:val="222222"/>
          <w:shd w:val="clear" w:color="auto" w:fill="FFFFFF"/>
        </w:rPr>
        <w:t>’</w:t>
      </w:r>
      <w:r w:rsidR="005751EB">
        <w:rPr>
          <w:color w:val="222222"/>
          <w:shd w:val="clear" w:color="auto" w:fill="FFFFFF"/>
        </w:rPr>
        <w:t>,</w:t>
      </w:r>
      <w:r w:rsidR="00B70EC0">
        <w:rPr>
          <w:color w:val="222222"/>
          <w:shd w:val="clear" w:color="auto" w:fill="FFFFFF"/>
        </w:rPr>
        <w:t xml:space="preserve"> and w</w:t>
      </w:r>
      <w:r w:rsidR="005526F7">
        <w:rPr>
          <w:color w:val="222222"/>
          <w:shd w:val="clear" w:color="auto" w:fill="FFFFFF"/>
        </w:rPr>
        <w:t xml:space="preserve">e also wanted to make it capable of </w:t>
      </w:r>
      <w:r w:rsidR="0087180F">
        <w:rPr>
          <w:color w:val="222222"/>
          <w:shd w:val="clear" w:color="auto" w:fill="FFFFFF"/>
        </w:rPr>
        <w:t xml:space="preserve">specific </w:t>
      </w:r>
      <w:r w:rsidR="005526F7">
        <w:rPr>
          <w:color w:val="222222"/>
          <w:shd w:val="clear" w:color="auto" w:fill="FFFFFF"/>
        </w:rPr>
        <w:t>query</w:t>
      </w:r>
      <w:r w:rsidR="005644D5">
        <w:rPr>
          <w:color w:val="222222"/>
          <w:shd w:val="clear" w:color="auto" w:fill="FFFFFF"/>
        </w:rPr>
        <w:t xml:space="preserve"> (</w:t>
      </w:r>
      <w:r w:rsidR="005526F7">
        <w:rPr>
          <w:color w:val="222222"/>
          <w:shd w:val="clear" w:color="auto" w:fill="FFFFFF"/>
        </w:rPr>
        <w:t>so we were</w:t>
      </w:r>
      <w:r w:rsidR="005644D5">
        <w:rPr>
          <w:color w:val="222222"/>
          <w:shd w:val="clear" w:color="auto" w:fill="FFFFFF"/>
        </w:rPr>
        <w:t xml:space="preserve"> no</w:t>
      </w:r>
      <w:r w:rsidR="005526F7">
        <w:rPr>
          <w:color w:val="222222"/>
          <w:shd w:val="clear" w:color="auto" w:fill="FFFFFF"/>
        </w:rPr>
        <w:t>t referring to a paper document on a digital matter</w:t>
      </w:r>
      <w:r w:rsidR="005644D5">
        <w:rPr>
          <w:color w:val="222222"/>
          <w:shd w:val="clear" w:color="auto" w:fill="FFFFFF"/>
        </w:rPr>
        <w:t>)</w:t>
      </w:r>
      <w:r w:rsidR="005526F7">
        <w:rPr>
          <w:color w:val="222222"/>
          <w:shd w:val="clear" w:color="auto" w:fill="FFFFFF"/>
        </w:rPr>
        <w:t>.</w:t>
      </w:r>
    </w:p>
    <w:p w14:paraId="6AD1A917" w14:textId="628F34D6" w:rsidR="006F652E" w:rsidRDefault="004B17DD" w:rsidP="006F652E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To address this, and to ensure the data could be easily updated in operations contexts, w</w:t>
      </w:r>
      <w:r w:rsidR="006F652E">
        <w:rPr>
          <w:color w:val="222222"/>
          <w:shd w:val="clear" w:color="auto" w:fill="FFFFFF"/>
        </w:rPr>
        <w:t xml:space="preserve">e </w:t>
      </w:r>
      <w:r>
        <w:rPr>
          <w:color w:val="222222"/>
          <w:shd w:val="clear" w:color="auto" w:fill="FFFFFF"/>
        </w:rPr>
        <w:t xml:space="preserve">generated a </w:t>
      </w:r>
      <w:r w:rsidR="006F652E">
        <w:rPr>
          <w:color w:val="222222"/>
          <w:shd w:val="clear" w:color="auto" w:fill="FFFFFF"/>
        </w:rPr>
        <w:t xml:space="preserve">relational object </w:t>
      </w:r>
      <w:r>
        <w:rPr>
          <w:color w:val="222222"/>
          <w:shd w:val="clear" w:color="auto" w:fill="FFFFFF"/>
        </w:rPr>
        <w:t xml:space="preserve">and populated it with </w:t>
      </w:r>
      <w:r w:rsidR="00B70EC0">
        <w:rPr>
          <w:color w:val="222222"/>
          <w:shd w:val="clear" w:color="auto" w:fill="FFFFFF"/>
        </w:rPr>
        <w:t xml:space="preserve">formats and </w:t>
      </w:r>
      <w:r w:rsidR="005526F7">
        <w:rPr>
          <w:color w:val="222222"/>
          <w:shd w:val="clear" w:color="auto" w:fill="FFFFFF"/>
        </w:rPr>
        <w:t>P</w:t>
      </w:r>
      <w:r w:rsidR="000664E9">
        <w:rPr>
          <w:color w:val="222222"/>
          <w:shd w:val="clear" w:color="auto" w:fill="FFFFFF"/>
        </w:rPr>
        <w:t>ersistent Unique Identifiers (P</w:t>
      </w:r>
      <w:r w:rsidR="005526F7">
        <w:rPr>
          <w:color w:val="222222"/>
          <w:shd w:val="clear" w:color="auto" w:fill="FFFFFF"/>
        </w:rPr>
        <w:t>UID</w:t>
      </w:r>
      <w:r w:rsidR="00B70EC0">
        <w:rPr>
          <w:color w:val="222222"/>
          <w:shd w:val="clear" w:color="auto" w:fill="FFFFFF"/>
        </w:rPr>
        <w:t>s</w:t>
      </w:r>
      <w:r w:rsidR="000664E9">
        <w:rPr>
          <w:color w:val="222222"/>
          <w:shd w:val="clear" w:color="auto" w:fill="FFFFFF"/>
        </w:rPr>
        <w:t>)</w:t>
      </w:r>
      <w:r w:rsidR="005526F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based on the UK PRONOM database</w:t>
      </w:r>
      <w:r w:rsidR="005526F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[4].</w:t>
      </w:r>
      <w:r w:rsidR="00B70EC0">
        <w:rPr>
          <w:color w:val="222222"/>
          <w:shd w:val="clear" w:color="auto" w:fill="FFFFFF"/>
        </w:rPr>
        <w:t xml:space="preserve">  We also </w:t>
      </w:r>
      <w:r w:rsidR="00773F3F">
        <w:rPr>
          <w:color w:val="222222"/>
          <w:shd w:val="clear" w:color="auto" w:fill="FFFFFF"/>
        </w:rPr>
        <w:t xml:space="preserve">ensured </w:t>
      </w:r>
      <w:r w:rsidR="00EF7967">
        <w:rPr>
          <w:color w:val="222222"/>
          <w:shd w:val="clear" w:color="auto" w:fill="FFFFFF"/>
        </w:rPr>
        <w:t xml:space="preserve">the database </w:t>
      </w:r>
      <w:r w:rsidR="00B70EC0">
        <w:rPr>
          <w:color w:val="222222"/>
          <w:shd w:val="clear" w:color="auto" w:fill="FFFFFF"/>
        </w:rPr>
        <w:t xml:space="preserve">was capable of exporting </w:t>
      </w:r>
      <w:r w:rsidR="00EF7967">
        <w:rPr>
          <w:color w:val="222222"/>
          <w:shd w:val="clear" w:color="auto" w:fill="FFFFFF"/>
        </w:rPr>
        <w:t>its</w:t>
      </w:r>
      <w:r w:rsidR="00B70EC0">
        <w:rPr>
          <w:color w:val="222222"/>
          <w:shd w:val="clear" w:color="auto" w:fill="FFFFFF"/>
        </w:rPr>
        <w:t xml:space="preserve"> information in an eye-readable HTML format. </w:t>
      </w:r>
      <w:r w:rsidR="005751EB">
        <w:rPr>
          <w:color w:val="222222"/>
          <w:shd w:val="clear" w:color="auto" w:fill="FFFFFF"/>
        </w:rPr>
        <w:t xml:space="preserve"> </w:t>
      </w:r>
      <w:r w:rsidR="00B70EC0">
        <w:rPr>
          <w:color w:val="222222"/>
          <w:shd w:val="clear" w:color="auto" w:fill="FFFFFF"/>
        </w:rPr>
        <w:t xml:space="preserve">I have the habit of referring to this as the </w:t>
      </w:r>
      <w:r w:rsidR="00773F3F">
        <w:rPr>
          <w:color w:val="222222"/>
          <w:shd w:val="clear" w:color="auto" w:fill="FFFFFF"/>
        </w:rPr>
        <w:t xml:space="preserve">LAC </w:t>
      </w:r>
      <w:r w:rsidR="00B70EC0">
        <w:rPr>
          <w:color w:val="222222"/>
          <w:shd w:val="clear" w:color="auto" w:fill="FFFFFF"/>
        </w:rPr>
        <w:t>LDFR – Local Digital Format Registry, which also tends to encompass the paper policy document.</w:t>
      </w:r>
    </w:p>
    <w:p w14:paraId="0BCBA996" w14:textId="77777777" w:rsidR="0059389C" w:rsidRDefault="0059389C" w:rsidP="006F652E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noProof/>
          <w:lang w:val="en-CA" w:eastAsia="en-CA"/>
        </w:rPr>
        <w:drawing>
          <wp:inline distT="0" distB="0" distL="0" distR="0" wp14:anchorId="71BA32D0" wp14:editId="455D5EC7">
            <wp:extent cx="2976880" cy="25095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DFR_Cat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2C24B" w14:textId="08BFC870" w:rsidR="00E50DFE" w:rsidRDefault="00E50DFE" w:rsidP="006F652E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LAC utilizes Preservica [5] as its core digital preservation module in its suite of systems and services</w:t>
      </w:r>
      <w:r w:rsidR="00773F3F">
        <w:rPr>
          <w:color w:val="222222"/>
          <w:shd w:val="clear" w:color="auto" w:fill="FFFFFF"/>
        </w:rPr>
        <w:t xml:space="preserve"> that</w:t>
      </w:r>
      <w:r>
        <w:rPr>
          <w:color w:val="222222"/>
          <w:shd w:val="clear" w:color="auto" w:fill="FFFFFF"/>
        </w:rPr>
        <w:t xml:space="preserve"> we refer to as the </w:t>
      </w:r>
      <w:r w:rsidR="00773F3F">
        <w:rPr>
          <w:color w:val="222222"/>
          <w:shd w:val="clear" w:color="auto" w:fill="FFFFFF"/>
        </w:rPr>
        <w:t>“</w:t>
      </w:r>
      <w:r>
        <w:rPr>
          <w:color w:val="222222"/>
          <w:shd w:val="clear" w:color="auto" w:fill="FFFFFF"/>
        </w:rPr>
        <w:t>Digital Assessment Management System</w:t>
      </w:r>
      <w:r w:rsidR="00773F3F">
        <w:rPr>
          <w:color w:val="222222"/>
          <w:shd w:val="clear" w:color="auto" w:fill="FFFFFF"/>
        </w:rPr>
        <w:t>”</w:t>
      </w:r>
      <w:r>
        <w:rPr>
          <w:color w:val="222222"/>
          <w:shd w:val="clear" w:color="auto" w:fill="FFFFFF"/>
        </w:rPr>
        <w:t xml:space="preserve"> (DAMS).</w:t>
      </w:r>
      <w:r w:rsidR="00EF7967">
        <w:rPr>
          <w:color w:val="222222"/>
          <w:shd w:val="clear" w:color="auto" w:fill="FFFFFF"/>
        </w:rPr>
        <w:t xml:space="preserve">  A next step </w:t>
      </w:r>
      <w:r w:rsidR="00F716E6">
        <w:rPr>
          <w:color w:val="222222"/>
          <w:shd w:val="clear" w:color="auto" w:fill="FFFFFF"/>
        </w:rPr>
        <w:t xml:space="preserve">in analyzing our institutional capacity for migration </w:t>
      </w:r>
      <w:r w:rsidR="00EF7967">
        <w:rPr>
          <w:color w:val="222222"/>
          <w:shd w:val="clear" w:color="auto" w:fill="FFFFFF"/>
        </w:rPr>
        <w:t>was to compile the list of file formats that were preferred</w:t>
      </w:r>
      <w:r w:rsidR="00F716E6">
        <w:rPr>
          <w:color w:val="222222"/>
          <w:shd w:val="clear" w:color="auto" w:fill="FFFFFF"/>
        </w:rPr>
        <w:t xml:space="preserve"> for acquisition</w:t>
      </w:r>
      <w:r w:rsidR="00EF7967">
        <w:rPr>
          <w:color w:val="222222"/>
          <w:shd w:val="clear" w:color="auto" w:fill="FFFFFF"/>
        </w:rPr>
        <w:t xml:space="preserve"> as-is </w:t>
      </w:r>
      <w:r w:rsidR="005751EB">
        <w:rPr>
          <w:color w:val="222222"/>
          <w:shd w:val="clear" w:color="auto" w:fill="FFFFFF"/>
        </w:rPr>
        <w:t xml:space="preserve"> </w:t>
      </w:r>
      <w:r w:rsidR="00EF7967">
        <w:rPr>
          <w:color w:val="222222"/>
          <w:shd w:val="clear" w:color="auto" w:fill="FFFFFF"/>
        </w:rPr>
        <w:t xml:space="preserve">(i.e., are best for </w:t>
      </w:r>
      <w:r w:rsidR="00274C56">
        <w:rPr>
          <w:color w:val="222222"/>
          <w:shd w:val="clear" w:color="auto" w:fill="FFFFFF"/>
        </w:rPr>
        <w:t xml:space="preserve">LAC for </w:t>
      </w:r>
      <w:r w:rsidR="00EF7967">
        <w:rPr>
          <w:color w:val="222222"/>
          <w:shd w:val="clear" w:color="auto" w:fill="FFFFFF"/>
        </w:rPr>
        <w:t>their content type in the present state of 2022, based on our experiences</w:t>
      </w:r>
      <w:r w:rsidR="00773F3F">
        <w:rPr>
          <w:color w:val="222222"/>
          <w:shd w:val="clear" w:color="auto" w:fill="FFFFFF"/>
        </w:rPr>
        <w:t xml:space="preserve"> and in comparison with the </w:t>
      </w:r>
      <w:r w:rsidR="00EF7967">
        <w:rPr>
          <w:color w:val="222222"/>
          <w:shd w:val="clear" w:color="auto" w:fill="FFFFFF"/>
        </w:rPr>
        <w:t>file format policies</w:t>
      </w:r>
      <w:r w:rsidR="00773F3F">
        <w:rPr>
          <w:color w:val="222222"/>
          <w:shd w:val="clear" w:color="auto" w:fill="FFFFFF"/>
        </w:rPr>
        <w:t xml:space="preserve"> of other organizations</w:t>
      </w:r>
      <w:r w:rsidR="00EF7967">
        <w:rPr>
          <w:color w:val="222222"/>
          <w:shd w:val="clear" w:color="auto" w:fill="FFFFFF"/>
        </w:rPr>
        <w:t>)</w:t>
      </w:r>
      <w:r w:rsidR="00F716E6">
        <w:rPr>
          <w:color w:val="222222"/>
          <w:shd w:val="clear" w:color="auto" w:fill="FFFFFF"/>
        </w:rPr>
        <w:t>.  We then added formats</w:t>
      </w:r>
      <w:r w:rsidR="00773F3F">
        <w:rPr>
          <w:color w:val="222222"/>
          <w:shd w:val="clear" w:color="auto" w:fill="FFFFFF"/>
        </w:rPr>
        <w:t xml:space="preserve"> to the LDFR database</w:t>
      </w:r>
      <w:r w:rsidR="00F716E6">
        <w:rPr>
          <w:color w:val="222222"/>
          <w:shd w:val="clear" w:color="auto" w:fill="FFFFFF"/>
        </w:rPr>
        <w:t xml:space="preserve"> for which there was</w:t>
      </w:r>
      <w:r w:rsidR="00EF7967">
        <w:rPr>
          <w:color w:val="222222"/>
          <w:shd w:val="clear" w:color="auto" w:fill="FFFFFF"/>
        </w:rPr>
        <w:t xml:space="preserve"> </w:t>
      </w:r>
      <w:r w:rsidR="005B2E6F">
        <w:rPr>
          <w:color w:val="222222"/>
          <w:shd w:val="clear" w:color="auto" w:fill="FFFFFF"/>
        </w:rPr>
        <w:t xml:space="preserve">an existing, or a </w:t>
      </w:r>
      <w:r w:rsidR="00EF7967">
        <w:rPr>
          <w:color w:val="222222"/>
          <w:shd w:val="clear" w:color="auto" w:fill="FFFFFF"/>
        </w:rPr>
        <w:t xml:space="preserve">Preservica migration pathway </w:t>
      </w:r>
      <w:r w:rsidR="00F716E6">
        <w:rPr>
          <w:color w:val="222222"/>
          <w:shd w:val="clear" w:color="auto" w:fill="FFFFFF"/>
        </w:rPr>
        <w:t>(i.e., those formats that are not</w:t>
      </w:r>
      <w:r w:rsidR="000246CB">
        <w:rPr>
          <w:color w:val="222222"/>
          <w:shd w:val="clear" w:color="auto" w:fill="FFFFFF"/>
        </w:rPr>
        <w:t xml:space="preserve"> ideal</w:t>
      </w:r>
      <w:r w:rsidR="00773F3F">
        <w:rPr>
          <w:color w:val="222222"/>
          <w:shd w:val="clear" w:color="auto" w:fill="FFFFFF"/>
        </w:rPr>
        <w:t>,</w:t>
      </w:r>
      <w:r w:rsidR="000246CB">
        <w:rPr>
          <w:color w:val="222222"/>
          <w:shd w:val="clear" w:color="auto" w:fill="FFFFFF"/>
        </w:rPr>
        <w:t xml:space="preserve"> but whose migration can</w:t>
      </w:r>
      <w:r w:rsidR="00F716E6">
        <w:rPr>
          <w:color w:val="222222"/>
          <w:shd w:val="clear" w:color="auto" w:fill="FFFFFF"/>
        </w:rPr>
        <w:t xml:space="preserve"> be automated).</w:t>
      </w:r>
      <w:r w:rsidR="00CD2F51">
        <w:rPr>
          <w:color w:val="222222"/>
          <w:shd w:val="clear" w:color="auto" w:fill="FFFFFF"/>
        </w:rPr>
        <w:t xml:space="preserve">  </w:t>
      </w:r>
      <w:r w:rsidR="003A7EE9">
        <w:rPr>
          <w:color w:val="222222"/>
          <w:shd w:val="clear" w:color="auto" w:fill="FFFFFF"/>
        </w:rPr>
        <w:t>Next</w:t>
      </w:r>
      <w:r w:rsidR="00FF7070">
        <w:rPr>
          <w:color w:val="222222"/>
          <w:shd w:val="clear" w:color="auto" w:fill="FFFFFF"/>
        </w:rPr>
        <w:t>,</w:t>
      </w:r>
      <w:r w:rsidR="003A7EE9">
        <w:rPr>
          <w:color w:val="222222"/>
          <w:shd w:val="clear" w:color="auto" w:fill="FFFFFF"/>
        </w:rPr>
        <w:t xml:space="preserve"> </w:t>
      </w:r>
      <w:r w:rsidR="00CD2F51">
        <w:rPr>
          <w:color w:val="222222"/>
          <w:shd w:val="clear" w:color="auto" w:fill="FFFFFF"/>
        </w:rPr>
        <w:t xml:space="preserve">we added formats we knew we could migrate but which were dependent on human intervention (i.e., </w:t>
      </w:r>
      <w:r w:rsidR="00773F3F">
        <w:rPr>
          <w:color w:val="222222"/>
          <w:shd w:val="clear" w:color="auto" w:fill="FFFFFF"/>
        </w:rPr>
        <w:t xml:space="preserve">format migration that had to be </w:t>
      </w:r>
      <w:r w:rsidR="00CD2F51">
        <w:rPr>
          <w:color w:val="222222"/>
          <w:shd w:val="clear" w:color="auto" w:fill="FFFFFF"/>
        </w:rPr>
        <w:t>conducted manually</w:t>
      </w:r>
      <w:r w:rsidR="000246CB">
        <w:rPr>
          <w:color w:val="222222"/>
          <w:shd w:val="clear" w:color="auto" w:fill="FFFFFF"/>
        </w:rPr>
        <w:t xml:space="preserve"> </w:t>
      </w:r>
      <w:r w:rsidR="00773F3F">
        <w:rPr>
          <w:color w:val="222222"/>
          <w:shd w:val="clear" w:color="auto" w:fill="FFFFFF"/>
        </w:rPr>
        <w:t xml:space="preserve">with a desktop application </w:t>
      </w:r>
      <w:r w:rsidR="000246CB">
        <w:rPr>
          <w:color w:val="222222"/>
          <w:shd w:val="clear" w:color="auto" w:fill="FFFFFF"/>
        </w:rPr>
        <w:t>or</w:t>
      </w:r>
      <w:r w:rsidR="00773F3F">
        <w:rPr>
          <w:color w:val="222222"/>
          <w:shd w:val="clear" w:color="auto" w:fill="FFFFFF"/>
        </w:rPr>
        <w:t xml:space="preserve"> otherwise</w:t>
      </w:r>
      <w:r w:rsidR="000246CB">
        <w:rPr>
          <w:color w:val="222222"/>
          <w:shd w:val="clear" w:color="auto" w:fill="FFFFFF"/>
        </w:rPr>
        <w:t xml:space="preserve"> needed </w:t>
      </w:r>
      <w:r w:rsidR="005B2E6F">
        <w:rPr>
          <w:color w:val="222222"/>
          <w:shd w:val="clear" w:color="auto" w:fill="FFFFFF"/>
        </w:rPr>
        <w:t xml:space="preserve">DP </w:t>
      </w:r>
      <w:r w:rsidR="000246CB">
        <w:rPr>
          <w:color w:val="222222"/>
          <w:shd w:val="clear" w:color="auto" w:fill="FFFFFF"/>
        </w:rPr>
        <w:t>staff expertise</w:t>
      </w:r>
      <w:r w:rsidR="00CD2F51">
        <w:rPr>
          <w:color w:val="222222"/>
          <w:shd w:val="clear" w:color="auto" w:fill="FFFFFF"/>
        </w:rPr>
        <w:t>).</w:t>
      </w:r>
      <w:r w:rsidR="00FF7070">
        <w:rPr>
          <w:color w:val="222222"/>
          <w:shd w:val="clear" w:color="auto" w:fill="FFFFFF"/>
        </w:rPr>
        <w:t xml:space="preserve">  </w:t>
      </w:r>
      <w:r w:rsidR="000246CB">
        <w:rPr>
          <w:color w:val="222222"/>
          <w:shd w:val="clear" w:color="auto" w:fill="FFFFFF"/>
        </w:rPr>
        <w:t>T</w:t>
      </w:r>
      <w:r w:rsidR="00FF7070">
        <w:rPr>
          <w:color w:val="222222"/>
          <w:shd w:val="clear" w:color="auto" w:fill="FFFFFF"/>
        </w:rPr>
        <w:t>he previous LDFR policy and staff kn</w:t>
      </w:r>
      <w:r w:rsidR="000246CB">
        <w:rPr>
          <w:color w:val="222222"/>
          <w:shd w:val="clear" w:color="auto" w:fill="FFFFFF"/>
        </w:rPr>
        <w:t>owledge informed the compilation of these latter “must be manually migrated” formats.</w:t>
      </w:r>
    </w:p>
    <w:p w14:paraId="6FB64EC9" w14:textId="62209957" w:rsidR="005E5FA9" w:rsidRDefault="005E5FA9" w:rsidP="006F652E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By process of elimination, this created a pool of </w:t>
      </w:r>
      <w:r w:rsidR="00FB119C">
        <w:rPr>
          <w:color w:val="222222"/>
          <w:shd w:val="clear" w:color="auto" w:fill="FFFFFF"/>
        </w:rPr>
        <w:t xml:space="preserve">remaining </w:t>
      </w:r>
      <w:r w:rsidR="005B2E6F">
        <w:rPr>
          <w:color w:val="222222"/>
          <w:shd w:val="clear" w:color="auto" w:fill="FFFFFF"/>
        </w:rPr>
        <w:t xml:space="preserve">file formats </w:t>
      </w:r>
      <w:r w:rsidR="00C34A22">
        <w:rPr>
          <w:color w:val="222222"/>
          <w:shd w:val="clear" w:color="auto" w:fill="FFFFFF"/>
        </w:rPr>
        <w:t xml:space="preserve">from PRONOM or the previous policy </w:t>
      </w:r>
      <w:r w:rsidR="005B2E6F">
        <w:rPr>
          <w:color w:val="222222"/>
          <w:shd w:val="clear" w:color="auto" w:fill="FFFFFF"/>
        </w:rPr>
        <w:t xml:space="preserve">that </w:t>
      </w:r>
      <w:r w:rsidR="000246CB">
        <w:rPr>
          <w:color w:val="222222"/>
          <w:shd w:val="clear" w:color="auto" w:fill="FFFFFF"/>
        </w:rPr>
        <w:t>required elevated resources for LAC to manage</w:t>
      </w:r>
      <w:r w:rsidR="00C36A21">
        <w:rPr>
          <w:color w:val="222222"/>
          <w:shd w:val="clear" w:color="auto" w:fill="FFFFFF"/>
        </w:rPr>
        <w:t>.  This was</w:t>
      </w:r>
      <w:r>
        <w:rPr>
          <w:color w:val="222222"/>
          <w:shd w:val="clear" w:color="auto" w:fill="FFFFFF"/>
        </w:rPr>
        <w:t xml:space="preserve"> due to </w:t>
      </w:r>
      <w:r w:rsidR="00955A36">
        <w:rPr>
          <w:color w:val="222222"/>
          <w:shd w:val="clear" w:color="auto" w:fill="FFFFFF"/>
        </w:rPr>
        <w:t>1. A</w:t>
      </w:r>
      <w:r>
        <w:rPr>
          <w:color w:val="222222"/>
          <w:shd w:val="clear" w:color="auto" w:fill="FFFFFF"/>
        </w:rPr>
        <w:t>n absence of known or deployed tools</w:t>
      </w:r>
      <w:r w:rsidR="00C36A21">
        <w:rPr>
          <w:color w:val="222222"/>
          <w:shd w:val="clear" w:color="auto" w:fill="FFFFFF"/>
        </w:rPr>
        <w:t xml:space="preserve"> to handl</w:t>
      </w:r>
      <w:r w:rsidR="00EC5EEA">
        <w:rPr>
          <w:color w:val="222222"/>
          <w:shd w:val="clear" w:color="auto" w:fill="FFFFFF"/>
        </w:rPr>
        <w:t>e the format</w:t>
      </w:r>
      <w:r w:rsidR="00A34E41">
        <w:rPr>
          <w:color w:val="222222"/>
          <w:shd w:val="clear" w:color="auto" w:fill="FFFFFF"/>
        </w:rPr>
        <w:t>s</w:t>
      </w:r>
      <w:r w:rsidR="00EC5EEA">
        <w:rPr>
          <w:color w:val="222222"/>
          <w:shd w:val="clear" w:color="auto" w:fill="FFFFFF"/>
        </w:rPr>
        <w:t xml:space="preserve"> (e.g., M365</w:t>
      </w:r>
      <w:r w:rsidR="00C36A21">
        <w:rPr>
          <w:color w:val="222222"/>
          <w:shd w:val="clear" w:color="auto" w:fill="FFFFFF"/>
        </w:rPr>
        <w:t>!)</w:t>
      </w:r>
      <w:r>
        <w:rPr>
          <w:color w:val="222222"/>
          <w:shd w:val="clear" w:color="auto" w:fill="FFFFFF"/>
        </w:rPr>
        <w:t xml:space="preserve">, </w:t>
      </w:r>
      <w:r w:rsidR="00955A36">
        <w:rPr>
          <w:color w:val="222222"/>
          <w:shd w:val="clear" w:color="auto" w:fill="FFFFFF"/>
        </w:rPr>
        <w:t xml:space="preserve">2. </w:t>
      </w:r>
      <w:r w:rsidR="005751EB">
        <w:rPr>
          <w:color w:val="222222"/>
          <w:shd w:val="clear" w:color="auto" w:fill="FFFFFF"/>
        </w:rPr>
        <w:t xml:space="preserve">Those which had </w:t>
      </w:r>
      <w:r w:rsidR="00EC5EEA">
        <w:rPr>
          <w:color w:val="222222"/>
          <w:shd w:val="clear" w:color="auto" w:fill="FFFFFF"/>
        </w:rPr>
        <w:t xml:space="preserve">been previously flagged as demonstrating </w:t>
      </w:r>
      <w:r w:rsidR="005751EB">
        <w:rPr>
          <w:color w:val="222222"/>
          <w:shd w:val="clear" w:color="auto" w:fill="FFFFFF"/>
        </w:rPr>
        <w:t xml:space="preserve">some </w:t>
      </w:r>
      <w:r w:rsidR="00EC5EEA">
        <w:rPr>
          <w:color w:val="222222"/>
          <w:shd w:val="clear" w:color="auto" w:fill="FFFFFF"/>
        </w:rPr>
        <w:t xml:space="preserve">issues </w:t>
      </w:r>
      <w:r w:rsidR="00C36A21">
        <w:rPr>
          <w:color w:val="222222"/>
          <w:shd w:val="clear" w:color="auto" w:fill="FFFFFF"/>
        </w:rPr>
        <w:t>(e.g., geospatial, AutoCAD)</w:t>
      </w:r>
      <w:r>
        <w:rPr>
          <w:color w:val="222222"/>
          <w:shd w:val="clear" w:color="auto" w:fill="FFFFFF"/>
        </w:rPr>
        <w:t xml:space="preserve">, </w:t>
      </w:r>
      <w:r w:rsidR="00955A36">
        <w:rPr>
          <w:color w:val="222222"/>
          <w:shd w:val="clear" w:color="auto" w:fill="FFFFFF"/>
        </w:rPr>
        <w:t xml:space="preserve">3. </w:t>
      </w:r>
      <w:r w:rsidR="00773F3F">
        <w:rPr>
          <w:color w:val="222222"/>
          <w:shd w:val="clear" w:color="auto" w:fill="FFFFFF"/>
        </w:rPr>
        <w:t xml:space="preserve">Formats we knew existed from PRONOM but which have </w:t>
      </w:r>
      <w:r w:rsidR="00C36A21">
        <w:rPr>
          <w:color w:val="222222"/>
          <w:shd w:val="clear" w:color="auto" w:fill="FFFFFF"/>
        </w:rPr>
        <w:t xml:space="preserve">never </w:t>
      </w:r>
      <w:r w:rsidR="00773F3F">
        <w:rPr>
          <w:color w:val="222222"/>
          <w:shd w:val="clear" w:color="auto" w:fill="FFFFFF"/>
        </w:rPr>
        <w:t>entered our workflows</w:t>
      </w:r>
      <w:r w:rsidR="00EC5EEA">
        <w:rPr>
          <w:color w:val="222222"/>
          <w:shd w:val="clear" w:color="auto" w:fill="FFFFFF"/>
        </w:rPr>
        <w:t xml:space="preserve"> (</w:t>
      </w:r>
      <w:r w:rsidR="00773F3F">
        <w:rPr>
          <w:color w:val="222222"/>
          <w:shd w:val="clear" w:color="auto" w:fill="FFFFFF"/>
        </w:rPr>
        <w:t xml:space="preserve">which would trigger </w:t>
      </w:r>
      <w:r w:rsidR="00EC5EEA">
        <w:rPr>
          <w:color w:val="222222"/>
          <w:shd w:val="clear" w:color="auto" w:fill="FFFFFF"/>
        </w:rPr>
        <w:t xml:space="preserve">DP </w:t>
      </w:r>
      <w:r w:rsidR="00C36A21">
        <w:rPr>
          <w:color w:val="222222"/>
          <w:shd w:val="clear" w:color="auto" w:fill="FFFFFF"/>
        </w:rPr>
        <w:t>analysis and policy decisions</w:t>
      </w:r>
      <w:r w:rsidR="00773F3F">
        <w:rPr>
          <w:color w:val="222222"/>
          <w:shd w:val="clear" w:color="auto" w:fill="FFFFFF"/>
        </w:rPr>
        <w:t xml:space="preserve"> the first time they appear</w:t>
      </w:r>
      <w:r w:rsidR="00EC5EEA">
        <w:rPr>
          <w:color w:val="222222"/>
          <w:shd w:val="clear" w:color="auto" w:fill="FFFFFF"/>
        </w:rPr>
        <w:t>)</w:t>
      </w:r>
      <w:r w:rsidR="00773F3F">
        <w:rPr>
          <w:color w:val="222222"/>
          <w:shd w:val="clear" w:color="auto" w:fill="FFFFFF"/>
        </w:rPr>
        <w:t>, or</w:t>
      </w:r>
      <w:r w:rsidR="005751EB">
        <w:rPr>
          <w:color w:val="222222"/>
          <w:shd w:val="clear" w:color="auto" w:fill="FFFFFF"/>
        </w:rPr>
        <w:t xml:space="preserve"> </w:t>
      </w:r>
      <w:r w:rsidR="00955A36">
        <w:rPr>
          <w:color w:val="222222"/>
          <w:shd w:val="clear" w:color="auto" w:fill="FFFFFF"/>
        </w:rPr>
        <w:t xml:space="preserve">4. </w:t>
      </w:r>
      <w:r w:rsidR="00773F3F">
        <w:rPr>
          <w:color w:val="222222"/>
          <w:shd w:val="clear" w:color="auto" w:fill="FFFFFF"/>
        </w:rPr>
        <w:t xml:space="preserve">Formats </w:t>
      </w:r>
      <w:r w:rsidR="00955A36">
        <w:rPr>
          <w:color w:val="222222"/>
          <w:shd w:val="clear" w:color="auto" w:fill="FFFFFF"/>
        </w:rPr>
        <w:t xml:space="preserve">known to us but </w:t>
      </w:r>
      <w:r w:rsidR="00773F3F">
        <w:rPr>
          <w:color w:val="222222"/>
          <w:shd w:val="clear" w:color="auto" w:fill="FFFFFF"/>
        </w:rPr>
        <w:t xml:space="preserve">which are </w:t>
      </w:r>
      <w:r w:rsidR="00955A36">
        <w:rPr>
          <w:color w:val="222222"/>
          <w:shd w:val="clear" w:color="auto" w:fill="FFFFFF"/>
        </w:rPr>
        <w:t xml:space="preserve">absent from </w:t>
      </w:r>
      <w:r w:rsidR="005751EB">
        <w:rPr>
          <w:color w:val="222222"/>
          <w:shd w:val="clear" w:color="auto" w:fill="FFFFFF"/>
        </w:rPr>
        <w:t xml:space="preserve">the </w:t>
      </w:r>
      <w:r w:rsidR="00955A36">
        <w:rPr>
          <w:color w:val="222222"/>
          <w:shd w:val="clear" w:color="auto" w:fill="FFFFFF"/>
        </w:rPr>
        <w:t>PRONOM database</w:t>
      </w:r>
      <w:r w:rsidR="00C36A21">
        <w:rPr>
          <w:color w:val="222222"/>
          <w:shd w:val="clear" w:color="auto" w:fill="FFFFFF"/>
        </w:rPr>
        <w:t xml:space="preserve"> </w:t>
      </w:r>
      <w:r w:rsidR="002C09F0">
        <w:rPr>
          <w:color w:val="222222"/>
          <w:shd w:val="clear" w:color="auto" w:fill="FFFFFF"/>
        </w:rPr>
        <w:t xml:space="preserve">and </w:t>
      </w:r>
      <w:r w:rsidR="00773F3F">
        <w:rPr>
          <w:color w:val="222222"/>
          <w:shd w:val="clear" w:color="auto" w:fill="FFFFFF"/>
        </w:rPr>
        <w:t xml:space="preserve">thus do not have </w:t>
      </w:r>
      <w:r w:rsidR="00C36A21">
        <w:rPr>
          <w:color w:val="222222"/>
          <w:shd w:val="clear" w:color="auto" w:fill="FFFFFF"/>
        </w:rPr>
        <w:t>PUID</w:t>
      </w:r>
      <w:r w:rsidR="00773F3F">
        <w:rPr>
          <w:color w:val="222222"/>
          <w:shd w:val="clear" w:color="auto" w:fill="FFFFFF"/>
        </w:rPr>
        <w:t>s</w:t>
      </w:r>
      <w:r w:rsidR="00955A36">
        <w:rPr>
          <w:color w:val="222222"/>
          <w:shd w:val="clear" w:color="auto" w:fill="FFFFFF"/>
        </w:rPr>
        <w:t xml:space="preserve"> (</w:t>
      </w:r>
      <w:r w:rsidR="00DB7D8D">
        <w:rPr>
          <w:color w:val="222222"/>
          <w:shd w:val="clear" w:color="auto" w:fill="FFFFFF"/>
        </w:rPr>
        <w:t xml:space="preserve">i.e., formats and notes </w:t>
      </w:r>
      <w:r w:rsidR="00C36A21">
        <w:rPr>
          <w:color w:val="222222"/>
          <w:shd w:val="clear" w:color="auto" w:fill="FFFFFF"/>
        </w:rPr>
        <w:t xml:space="preserve">we </w:t>
      </w:r>
      <w:r w:rsidR="00DB7D8D">
        <w:rPr>
          <w:color w:val="222222"/>
          <w:shd w:val="clear" w:color="auto" w:fill="FFFFFF"/>
        </w:rPr>
        <w:t>should contribute</w:t>
      </w:r>
      <w:r w:rsidR="00955A36">
        <w:rPr>
          <w:color w:val="222222"/>
          <w:shd w:val="clear" w:color="auto" w:fill="FFFFFF"/>
        </w:rPr>
        <w:t>!)</w:t>
      </w:r>
    </w:p>
    <w:p w14:paraId="2D59ADB5" w14:textId="3CFBF530" w:rsidR="00AA54DF" w:rsidRDefault="008915BC" w:rsidP="006F652E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By arranging these </w:t>
      </w:r>
      <w:r w:rsidR="00AA54DF">
        <w:rPr>
          <w:color w:val="222222"/>
          <w:shd w:val="clear" w:color="auto" w:fill="FFFFFF"/>
        </w:rPr>
        <w:t>file format</w:t>
      </w:r>
      <w:r>
        <w:rPr>
          <w:color w:val="222222"/>
          <w:shd w:val="clear" w:color="auto" w:fill="FFFFFF"/>
        </w:rPr>
        <w:t>s</w:t>
      </w:r>
      <w:r w:rsidR="00AA54DF">
        <w:rPr>
          <w:color w:val="222222"/>
          <w:shd w:val="clear" w:color="auto" w:fill="FFFFFF"/>
        </w:rPr>
        <w:t xml:space="preserve"> into lettered </w:t>
      </w:r>
      <w:r>
        <w:rPr>
          <w:color w:val="222222"/>
          <w:shd w:val="clear" w:color="auto" w:fill="FFFFFF"/>
        </w:rPr>
        <w:t xml:space="preserve">categories </w:t>
      </w:r>
      <w:r w:rsidR="00AA54DF">
        <w:rPr>
          <w:color w:val="222222"/>
          <w:shd w:val="clear" w:color="auto" w:fill="FFFFFF"/>
        </w:rPr>
        <w:t>within the LDFR database, we can move, edit, or update their status on the f</w:t>
      </w:r>
      <w:r w:rsidR="00C02026">
        <w:rPr>
          <w:color w:val="222222"/>
          <w:shd w:val="clear" w:color="auto" w:fill="FFFFFF"/>
        </w:rPr>
        <w:t>ly.  The LDFR thus</w:t>
      </w:r>
      <w:r w:rsidR="00E32244">
        <w:rPr>
          <w:color w:val="222222"/>
          <w:shd w:val="clear" w:color="auto" w:fill="FFFFFF"/>
        </w:rPr>
        <w:t xml:space="preserve"> shows at-a-</w:t>
      </w:r>
      <w:r w:rsidR="00AA54DF">
        <w:rPr>
          <w:color w:val="222222"/>
          <w:shd w:val="clear" w:color="auto" w:fill="FFFFFF"/>
        </w:rPr>
        <w:t xml:space="preserve">glance (or through </w:t>
      </w:r>
      <w:r w:rsidR="00E32244">
        <w:rPr>
          <w:color w:val="222222"/>
          <w:shd w:val="clear" w:color="auto" w:fill="FFFFFF"/>
        </w:rPr>
        <w:t xml:space="preserve">remote </w:t>
      </w:r>
      <w:r w:rsidR="00AA54DF">
        <w:rPr>
          <w:color w:val="222222"/>
          <w:shd w:val="clear" w:color="auto" w:fill="FFFFFF"/>
        </w:rPr>
        <w:t>query) what our internal capacity is to handle any part</w:t>
      </w:r>
      <w:r w:rsidR="00E32244">
        <w:rPr>
          <w:color w:val="222222"/>
          <w:shd w:val="clear" w:color="auto" w:fill="FFFFFF"/>
        </w:rPr>
        <w:t xml:space="preserve">icular version of a file format – since each category </w:t>
      </w:r>
      <w:r w:rsidR="00C02026">
        <w:rPr>
          <w:color w:val="222222"/>
          <w:shd w:val="clear" w:color="auto" w:fill="FFFFFF"/>
        </w:rPr>
        <w:t xml:space="preserve">reflects an increasing scale of complexity, </w:t>
      </w:r>
      <w:r w:rsidR="00E32244">
        <w:rPr>
          <w:color w:val="222222"/>
          <w:shd w:val="clear" w:color="auto" w:fill="FFFFFF"/>
        </w:rPr>
        <w:t>inherent requirements</w:t>
      </w:r>
      <w:r w:rsidR="00C02026">
        <w:rPr>
          <w:color w:val="222222"/>
          <w:shd w:val="clear" w:color="auto" w:fill="FFFFFF"/>
        </w:rPr>
        <w:t>,</w:t>
      </w:r>
      <w:r w:rsidR="00E32244">
        <w:rPr>
          <w:color w:val="222222"/>
          <w:shd w:val="clear" w:color="auto" w:fill="FFFFFF"/>
        </w:rPr>
        <w:t xml:space="preserve"> and a particular </w:t>
      </w:r>
      <w:r w:rsidR="00266FA4">
        <w:rPr>
          <w:color w:val="222222"/>
          <w:shd w:val="clear" w:color="auto" w:fill="FFFFFF"/>
        </w:rPr>
        <w:t>‘swim lane’ for data management within the DP unit.</w:t>
      </w:r>
    </w:p>
    <w:p w14:paraId="309AF4A2" w14:textId="0B6F3F3B" w:rsidR="00AA54DF" w:rsidRPr="006F652E" w:rsidRDefault="00AA54DF" w:rsidP="00AA54DF">
      <w:pPr>
        <w:pStyle w:val="Heading1"/>
        <w:numPr>
          <w:ilvl w:val="0"/>
          <w:numId w:val="3"/>
        </w:numPr>
      </w:pPr>
      <w:r>
        <w:lastRenderedPageBreak/>
        <w:t>Compari</w:t>
      </w:r>
      <w:r w:rsidR="00BD5D4C">
        <w:t>ng LDFR to Target Data</w:t>
      </w:r>
    </w:p>
    <w:p w14:paraId="5C76B0A6" w14:textId="441414CF" w:rsidR="0063578D" w:rsidRDefault="008915BC" w:rsidP="001B1D56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Having now defined and established what our</w:t>
      </w:r>
      <w:r w:rsidR="00454CE8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capacity is to handle individual formats</w:t>
      </w:r>
      <w:r w:rsidR="00105EA7">
        <w:rPr>
          <w:color w:val="222222"/>
          <w:shd w:val="clear" w:color="auto" w:fill="FFFFFF"/>
        </w:rPr>
        <w:t xml:space="preserve"> via </w:t>
      </w:r>
      <w:r w:rsidR="00F31727">
        <w:rPr>
          <w:color w:val="222222"/>
          <w:shd w:val="clear" w:color="auto" w:fill="FFFFFF"/>
        </w:rPr>
        <w:t xml:space="preserve">LDFR database </w:t>
      </w:r>
      <w:r w:rsidR="00105EA7">
        <w:rPr>
          <w:color w:val="222222"/>
          <w:shd w:val="clear" w:color="auto" w:fill="FFFFFF"/>
        </w:rPr>
        <w:t>categorization</w:t>
      </w:r>
      <w:r w:rsidR="00DF5224">
        <w:rPr>
          <w:color w:val="222222"/>
          <w:shd w:val="clear" w:color="auto" w:fill="FFFFFF"/>
        </w:rPr>
        <w:t xml:space="preserve"> and file format characterization</w:t>
      </w:r>
      <w:r>
        <w:rPr>
          <w:color w:val="222222"/>
          <w:shd w:val="clear" w:color="auto" w:fill="FFFFFF"/>
        </w:rPr>
        <w:t xml:space="preserve">, we needed a means to compare </w:t>
      </w:r>
      <w:r w:rsidR="00F31727">
        <w:rPr>
          <w:color w:val="222222"/>
          <w:shd w:val="clear" w:color="auto" w:fill="FFFFFF"/>
        </w:rPr>
        <w:t>i</w:t>
      </w:r>
      <w:r>
        <w:rPr>
          <w:color w:val="222222"/>
          <w:shd w:val="clear" w:color="auto" w:fill="FFFFFF"/>
        </w:rPr>
        <w:t xml:space="preserve">t against incoming acquisitions data </w:t>
      </w:r>
      <w:r w:rsidR="00105EA7">
        <w:rPr>
          <w:color w:val="222222"/>
          <w:shd w:val="clear" w:color="auto" w:fill="FFFFFF"/>
        </w:rPr>
        <w:t xml:space="preserve">(or data </w:t>
      </w:r>
      <w:r w:rsidR="009718E8">
        <w:rPr>
          <w:color w:val="222222"/>
          <w:shd w:val="clear" w:color="auto" w:fill="FFFFFF"/>
        </w:rPr>
        <w:t xml:space="preserve">in backlogs, or </w:t>
      </w:r>
      <w:r w:rsidR="00105EA7">
        <w:rPr>
          <w:color w:val="222222"/>
          <w:shd w:val="clear" w:color="auto" w:fill="FFFFFF"/>
        </w:rPr>
        <w:t>being migrated off legacy carriers)</w:t>
      </w:r>
      <w:r w:rsidR="00F31727">
        <w:rPr>
          <w:color w:val="222222"/>
          <w:shd w:val="clear" w:color="auto" w:fill="FFFFFF"/>
        </w:rPr>
        <w:t>,</w:t>
      </w:r>
      <w:r w:rsidR="00105EA7">
        <w:rPr>
          <w:color w:val="222222"/>
          <w:shd w:val="clear" w:color="auto" w:fill="FFFFFF"/>
        </w:rPr>
        <w:t xml:space="preserve"> </w:t>
      </w:r>
      <w:r w:rsidR="00C40933">
        <w:rPr>
          <w:color w:val="222222"/>
          <w:shd w:val="clear" w:color="auto" w:fill="FFFFFF"/>
        </w:rPr>
        <w:t>to assess the target data</w:t>
      </w:r>
      <w:r>
        <w:rPr>
          <w:color w:val="222222"/>
          <w:shd w:val="clear" w:color="auto" w:fill="FFFFFF"/>
        </w:rPr>
        <w:t xml:space="preserve"> for </w:t>
      </w:r>
      <w:r w:rsidR="00105EA7">
        <w:rPr>
          <w:color w:val="222222"/>
          <w:shd w:val="clear" w:color="auto" w:fill="FFFFFF"/>
        </w:rPr>
        <w:t xml:space="preserve">risk, </w:t>
      </w:r>
      <w:r>
        <w:rPr>
          <w:color w:val="222222"/>
          <w:shd w:val="clear" w:color="auto" w:fill="FFFFFF"/>
        </w:rPr>
        <w:t xml:space="preserve">digital preservation </w:t>
      </w:r>
      <w:r w:rsidR="00454CE8">
        <w:rPr>
          <w:color w:val="222222"/>
          <w:shd w:val="clear" w:color="auto" w:fill="FFFFFF"/>
        </w:rPr>
        <w:t>tenability</w:t>
      </w:r>
      <w:r w:rsidR="00DF5224">
        <w:rPr>
          <w:color w:val="222222"/>
          <w:shd w:val="clear" w:color="auto" w:fill="FFFFFF"/>
        </w:rPr>
        <w:t xml:space="preserve">, </w:t>
      </w:r>
      <w:r w:rsidR="009718E8">
        <w:rPr>
          <w:color w:val="222222"/>
          <w:shd w:val="clear" w:color="auto" w:fill="FFFFFF"/>
        </w:rPr>
        <w:t xml:space="preserve">likely work package </w:t>
      </w:r>
      <w:r w:rsidR="00DF5224">
        <w:rPr>
          <w:color w:val="222222"/>
          <w:shd w:val="clear" w:color="auto" w:fill="FFFFFF"/>
        </w:rPr>
        <w:t>cost, and</w:t>
      </w:r>
      <w:r w:rsidR="00586E44">
        <w:rPr>
          <w:color w:val="222222"/>
          <w:shd w:val="clear" w:color="auto" w:fill="FFFFFF"/>
        </w:rPr>
        <w:t xml:space="preserve"> thereby</w:t>
      </w:r>
      <w:r w:rsidR="00DF5224">
        <w:rPr>
          <w:color w:val="222222"/>
          <w:shd w:val="clear" w:color="auto" w:fill="FFFFFF"/>
        </w:rPr>
        <w:t xml:space="preserve"> sustainability.</w:t>
      </w:r>
    </w:p>
    <w:p w14:paraId="31DBCECC" w14:textId="6CF1FB55" w:rsidR="0020427B" w:rsidRDefault="00A67325" w:rsidP="003B2EEA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Using PowerShell, the D</w:t>
      </w:r>
      <w:r w:rsidR="002E1C57">
        <w:rPr>
          <w:color w:val="222222"/>
          <w:shd w:val="clear" w:color="auto" w:fill="FFFFFF"/>
        </w:rPr>
        <w:t>P</w:t>
      </w:r>
      <w:r w:rsidR="00A21264">
        <w:rPr>
          <w:color w:val="222222"/>
          <w:shd w:val="clear" w:color="auto" w:fill="FFFFFF"/>
        </w:rPr>
        <w:t xml:space="preserve"> area </w:t>
      </w:r>
      <w:r>
        <w:rPr>
          <w:color w:val="222222"/>
          <w:shd w:val="clear" w:color="auto" w:fill="FFFFFF"/>
        </w:rPr>
        <w:t>created a tool driven by DROID reports</w:t>
      </w:r>
      <w:r w:rsidR="00A21264">
        <w:rPr>
          <w:color w:val="222222"/>
          <w:shd w:val="clear" w:color="auto" w:fill="FFFFFF"/>
        </w:rPr>
        <w:t xml:space="preserve"> (“the LDFR tool”). D</w:t>
      </w:r>
      <w:r>
        <w:rPr>
          <w:color w:val="222222"/>
          <w:shd w:val="clear" w:color="auto" w:fill="FFFFFF"/>
        </w:rPr>
        <w:t xml:space="preserve">ropping </w:t>
      </w:r>
      <w:r w:rsidR="00C40933">
        <w:rPr>
          <w:color w:val="222222"/>
          <w:shd w:val="clear" w:color="auto" w:fill="FFFFFF"/>
        </w:rPr>
        <w:t xml:space="preserve">a DROID report </w:t>
      </w:r>
      <w:r>
        <w:rPr>
          <w:color w:val="222222"/>
          <w:shd w:val="clear" w:color="auto" w:fill="FFFFFF"/>
        </w:rPr>
        <w:t xml:space="preserve">into a particular network directory would execute a script that runs a comparison between the </w:t>
      </w:r>
      <w:r w:rsidR="00C40933">
        <w:rPr>
          <w:color w:val="222222"/>
          <w:shd w:val="clear" w:color="auto" w:fill="FFFFFF"/>
        </w:rPr>
        <w:t xml:space="preserve">DROID </w:t>
      </w:r>
      <w:r>
        <w:rPr>
          <w:color w:val="222222"/>
          <w:shd w:val="clear" w:color="auto" w:fill="FFFFFF"/>
        </w:rPr>
        <w:t>report and the LDFR database – and outputs color-coded results</w:t>
      </w:r>
      <w:r w:rsidR="00A21264">
        <w:rPr>
          <w:color w:val="222222"/>
          <w:shd w:val="clear" w:color="auto" w:fill="FFFFFF"/>
        </w:rPr>
        <w:t xml:space="preserve"> in HTML, which categorizes the target data according to the chart above</w:t>
      </w:r>
      <w:r w:rsidR="005F2696">
        <w:rPr>
          <w:color w:val="222222"/>
          <w:shd w:val="clear" w:color="auto" w:fill="FFFFFF"/>
        </w:rPr>
        <w:t xml:space="preserve"> – which speaks to its degree of compliance with the File Formats Policy.</w:t>
      </w:r>
      <w:r w:rsidR="00A21264">
        <w:rPr>
          <w:color w:val="222222"/>
          <w:shd w:val="clear" w:color="auto" w:fill="FFFFFF"/>
        </w:rPr>
        <w:t xml:space="preserve">  The </w:t>
      </w:r>
      <w:r w:rsidR="00C872C2">
        <w:rPr>
          <w:color w:val="222222"/>
          <w:shd w:val="clear" w:color="auto" w:fill="FFFFFF"/>
        </w:rPr>
        <w:t>table can be expanded to show all file formats identified</w:t>
      </w:r>
      <w:r w:rsidR="00720257">
        <w:rPr>
          <w:color w:val="222222"/>
          <w:shd w:val="clear" w:color="auto" w:fill="FFFFFF"/>
        </w:rPr>
        <w:t xml:space="preserve"> with file counts</w:t>
      </w:r>
      <w:r w:rsidR="005F2696">
        <w:rPr>
          <w:color w:val="222222"/>
          <w:shd w:val="clear" w:color="auto" w:fill="FFFFFF"/>
        </w:rPr>
        <w:t xml:space="preserve"> for each category</w:t>
      </w:r>
      <w:r w:rsidR="002E1C57">
        <w:rPr>
          <w:color w:val="222222"/>
          <w:shd w:val="clear" w:color="auto" w:fill="FFFFFF"/>
        </w:rPr>
        <w:t xml:space="preserve">.  </w:t>
      </w:r>
      <w:r w:rsidR="002E1C57">
        <w:rPr>
          <w:color w:val="222222"/>
          <w:shd w:val="clear" w:color="auto" w:fill="FFFFFF"/>
        </w:rPr>
        <w:t xml:space="preserve">Where the </w:t>
      </w:r>
      <w:r w:rsidR="008E3654">
        <w:rPr>
          <w:color w:val="222222"/>
          <w:shd w:val="clear" w:color="auto" w:fill="FFFFFF"/>
        </w:rPr>
        <w:t xml:space="preserve">analyzed </w:t>
      </w:r>
      <w:r w:rsidR="002E1C57">
        <w:rPr>
          <w:color w:val="222222"/>
          <w:shd w:val="clear" w:color="auto" w:fill="FFFFFF"/>
        </w:rPr>
        <w:t>data does not comply, the report a</w:t>
      </w:r>
      <w:r w:rsidR="002E1C57">
        <w:rPr>
          <w:color w:val="222222"/>
          <w:shd w:val="clear" w:color="auto" w:fill="FFFFFF"/>
        </w:rPr>
        <w:t xml:space="preserve">rticulates what percentage and file </w:t>
      </w:r>
      <w:r w:rsidR="002E1C57">
        <w:rPr>
          <w:color w:val="222222"/>
          <w:shd w:val="clear" w:color="auto" w:fill="FFFFFF"/>
        </w:rPr>
        <w:t>count</w:t>
      </w:r>
      <w:r w:rsidR="002E1C57">
        <w:rPr>
          <w:color w:val="222222"/>
          <w:shd w:val="clear" w:color="auto" w:fill="FFFFFF"/>
        </w:rPr>
        <w:t xml:space="preserve"> of the target dataset is implicated </w:t>
      </w:r>
      <w:r w:rsidR="00090FBA">
        <w:rPr>
          <w:color w:val="222222"/>
          <w:shd w:val="clear" w:color="auto" w:fill="FFFFFF"/>
        </w:rPr>
        <w:t xml:space="preserve">by category </w:t>
      </w:r>
      <w:r w:rsidR="002E1C57">
        <w:rPr>
          <w:color w:val="222222"/>
          <w:shd w:val="clear" w:color="auto" w:fill="FFFFFF"/>
        </w:rPr>
        <w:t xml:space="preserve">– and therefore </w:t>
      </w:r>
      <w:r w:rsidR="00090FBA">
        <w:rPr>
          <w:color w:val="222222"/>
          <w:shd w:val="clear" w:color="auto" w:fill="FFFFFF"/>
        </w:rPr>
        <w:t xml:space="preserve">what </w:t>
      </w:r>
      <w:r w:rsidR="002E1C57">
        <w:rPr>
          <w:color w:val="222222"/>
          <w:shd w:val="clear" w:color="auto" w:fill="FFFFFF"/>
        </w:rPr>
        <w:t>DP actions and work are necessary.  This makes the LDFR reports h</w:t>
      </w:r>
      <w:r w:rsidR="005F2696">
        <w:rPr>
          <w:color w:val="222222"/>
          <w:shd w:val="clear" w:color="auto" w:fill="FFFFFF"/>
        </w:rPr>
        <w:t>ighly granular, objective</w:t>
      </w:r>
      <w:r w:rsidR="00997740">
        <w:rPr>
          <w:color w:val="222222"/>
          <w:shd w:val="clear" w:color="auto" w:fill="FFFFFF"/>
        </w:rPr>
        <w:t>,</w:t>
      </w:r>
      <w:r w:rsidR="0076553C">
        <w:rPr>
          <w:color w:val="222222"/>
          <w:shd w:val="clear" w:color="auto" w:fill="FFFFFF"/>
        </w:rPr>
        <w:t xml:space="preserve"> and </w:t>
      </w:r>
      <w:r w:rsidR="005F2696">
        <w:rPr>
          <w:color w:val="222222"/>
          <w:shd w:val="clear" w:color="auto" w:fill="FFFFFF"/>
        </w:rPr>
        <w:t>machine-readable</w:t>
      </w:r>
      <w:r w:rsidR="0076553C">
        <w:rPr>
          <w:color w:val="222222"/>
          <w:shd w:val="clear" w:color="auto" w:fill="FFFFFF"/>
        </w:rPr>
        <w:t xml:space="preserve"> </w:t>
      </w:r>
      <w:r w:rsidR="0076553C">
        <w:rPr>
          <w:color w:val="222222"/>
          <w:shd w:val="clear" w:color="auto" w:fill="FFFFFF"/>
        </w:rPr>
        <w:t>(based on PRONOM and our current capacities</w:t>
      </w:r>
      <w:r w:rsidR="00090FBA">
        <w:rPr>
          <w:color w:val="222222"/>
          <w:shd w:val="clear" w:color="auto" w:fill="FFFFFF"/>
        </w:rPr>
        <w:t xml:space="preserve"> as reflected in LDFR</w:t>
      </w:r>
      <w:r w:rsidR="00997740">
        <w:rPr>
          <w:color w:val="222222"/>
          <w:shd w:val="clear" w:color="auto" w:fill="FFFFFF"/>
        </w:rPr>
        <w:t>!</w:t>
      </w:r>
      <w:r w:rsidR="0076553C">
        <w:rPr>
          <w:color w:val="222222"/>
          <w:shd w:val="clear" w:color="auto" w:fill="FFFFFF"/>
        </w:rPr>
        <w:t>),</w:t>
      </w:r>
      <w:r w:rsidR="0076553C">
        <w:rPr>
          <w:color w:val="222222"/>
          <w:shd w:val="clear" w:color="auto" w:fill="FFFFFF"/>
        </w:rPr>
        <w:t xml:space="preserve"> and </w:t>
      </w:r>
      <w:r w:rsidR="00997740">
        <w:rPr>
          <w:color w:val="222222"/>
          <w:shd w:val="clear" w:color="auto" w:fill="FFFFFF"/>
        </w:rPr>
        <w:t xml:space="preserve">also </w:t>
      </w:r>
      <w:r w:rsidR="0076553C">
        <w:rPr>
          <w:color w:val="222222"/>
          <w:shd w:val="clear" w:color="auto" w:fill="FFFFFF"/>
        </w:rPr>
        <w:t>easy-to-</w:t>
      </w:r>
      <w:r w:rsidR="005F2696">
        <w:rPr>
          <w:color w:val="222222"/>
          <w:shd w:val="clear" w:color="auto" w:fill="FFFFFF"/>
        </w:rPr>
        <w:t>use in facilitating discussions with e.g., archivists about the data they would like to acquire.</w:t>
      </w:r>
      <w:r w:rsidR="0009545D">
        <w:rPr>
          <w:color w:val="222222"/>
          <w:shd w:val="clear" w:color="auto" w:fill="FFFFFF"/>
        </w:rPr>
        <w:t xml:space="preserve">  </w:t>
      </w:r>
      <w:r w:rsidR="008961A3">
        <w:rPr>
          <w:color w:val="222222"/>
          <w:shd w:val="clear" w:color="auto" w:fill="FFFFFF"/>
        </w:rPr>
        <w:t xml:space="preserve">Often </w:t>
      </w:r>
      <w:r w:rsidR="00E45270">
        <w:rPr>
          <w:color w:val="222222"/>
          <w:shd w:val="clear" w:color="auto" w:fill="FFFFFF"/>
        </w:rPr>
        <w:t xml:space="preserve">this </w:t>
      </w:r>
      <w:r w:rsidR="0009545D">
        <w:rPr>
          <w:color w:val="222222"/>
          <w:shd w:val="clear" w:color="auto" w:fill="FFFFFF"/>
        </w:rPr>
        <w:t>trigger</w:t>
      </w:r>
      <w:r w:rsidR="008961A3">
        <w:rPr>
          <w:color w:val="222222"/>
          <w:shd w:val="clear" w:color="auto" w:fill="FFFFFF"/>
        </w:rPr>
        <w:t>ed</w:t>
      </w:r>
      <w:r w:rsidR="0009545D">
        <w:rPr>
          <w:color w:val="222222"/>
          <w:shd w:val="clear" w:color="auto" w:fill="FFFFFF"/>
        </w:rPr>
        <w:t xml:space="preserve"> decisions</w:t>
      </w:r>
      <w:r w:rsidR="008961A3">
        <w:rPr>
          <w:color w:val="222222"/>
          <w:shd w:val="clear" w:color="auto" w:fill="FFFFFF"/>
        </w:rPr>
        <w:t xml:space="preserve"> in consultation</w:t>
      </w:r>
      <w:r w:rsidR="0009545D">
        <w:rPr>
          <w:color w:val="222222"/>
          <w:shd w:val="clear" w:color="auto" w:fill="FFFFFF"/>
        </w:rPr>
        <w:t xml:space="preserve"> tha</w:t>
      </w:r>
      <w:r w:rsidR="009F6CD4">
        <w:rPr>
          <w:color w:val="222222"/>
          <w:shd w:val="clear" w:color="auto" w:fill="FFFFFF"/>
        </w:rPr>
        <w:t>t a high-effort but low-</w:t>
      </w:r>
      <w:r w:rsidR="0009545D">
        <w:rPr>
          <w:color w:val="222222"/>
          <w:shd w:val="clear" w:color="auto" w:fill="FFFFFF"/>
        </w:rPr>
        <w:t>value component of the</w:t>
      </w:r>
      <w:r w:rsidR="00C929F6">
        <w:rPr>
          <w:color w:val="222222"/>
          <w:shd w:val="clear" w:color="auto" w:fill="FFFFFF"/>
        </w:rPr>
        <w:t xml:space="preserve"> dataset wa</w:t>
      </w:r>
      <w:r w:rsidR="00E45270">
        <w:rPr>
          <w:color w:val="222222"/>
          <w:shd w:val="clear" w:color="auto" w:fill="FFFFFF"/>
        </w:rPr>
        <w:t>s not worth acquiring</w:t>
      </w:r>
      <w:r w:rsidR="002805F9">
        <w:rPr>
          <w:color w:val="222222"/>
          <w:shd w:val="clear" w:color="auto" w:fill="FFFFFF"/>
        </w:rPr>
        <w:t>, or conversely that a high-</w:t>
      </w:r>
      <w:r w:rsidR="00942B6C">
        <w:rPr>
          <w:color w:val="222222"/>
          <w:shd w:val="clear" w:color="auto" w:fill="FFFFFF"/>
        </w:rPr>
        <w:t>value component warranted extra work.</w:t>
      </w:r>
      <w:r w:rsidR="002805F9">
        <w:rPr>
          <w:color w:val="222222"/>
          <w:shd w:val="clear" w:color="auto" w:fill="FFFFFF"/>
        </w:rPr>
        <w:t xml:space="preserve">  What quickly emerged was the primacy of good collaboration and exchange of expertise in good collections management.</w:t>
      </w:r>
    </w:p>
    <w:p w14:paraId="5DF01941" w14:textId="59E74264" w:rsidR="00E06740" w:rsidRDefault="00E06740" w:rsidP="00E06740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These LDFR categories also begin to depict the relative degree of effort, cost and</w:t>
      </w:r>
      <w:r w:rsidR="006C1167">
        <w:rPr>
          <w:color w:val="222222"/>
          <w:shd w:val="clear" w:color="auto" w:fill="FFFFFF"/>
        </w:rPr>
        <w:t>/or accepted or inherent</w:t>
      </w:r>
      <w:r>
        <w:rPr>
          <w:color w:val="222222"/>
          <w:shd w:val="clear" w:color="auto" w:fill="FFFFFF"/>
        </w:rPr>
        <w:t xml:space="preserve"> ri</w:t>
      </w:r>
      <w:r w:rsidR="003B2780">
        <w:rPr>
          <w:color w:val="222222"/>
          <w:shd w:val="clear" w:color="auto" w:fill="FFFFFF"/>
        </w:rPr>
        <w:t xml:space="preserve">sk required to manage the tagged </w:t>
      </w:r>
      <w:r>
        <w:rPr>
          <w:color w:val="222222"/>
          <w:shd w:val="clear" w:color="auto" w:fill="FFFFFF"/>
        </w:rPr>
        <w:t>formats (category “A” requires no action</w:t>
      </w:r>
      <w:r w:rsidR="00843A09">
        <w:rPr>
          <w:color w:val="222222"/>
          <w:shd w:val="clear" w:color="auto" w:fill="FFFFFF"/>
        </w:rPr>
        <w:t xml:space="preserve"> as the ideal state</w:t>
      </w:r>
      <w:r>
        <w:rPr>
          <w:color w:val="222222"/>
          <w:shd w:val="clear" w:color="auto" w:fill="FFFFFF"/>
        </w:rPr>
        <w:t xml:space="preserve">, whereas “C” cannot be automated and necessitates </w:t>
      </w:r>
      <w:r w:rsidR="0066129B">
        <w:rPr>
          <w:color w:val="222222"/>
          <w:shd w:val="clear" w:color="auto" w:fill="FFFFFF"/>
        </w:rPr>
        <w:t>a DP subject matter expert</w:t>
      </w:r>
      <w:r>
        <w:rPr>
          <w:color w:val="222222"/>
          <w:shd w:val="clear" w:color="auto" w:fill="FFFFFF"/>
        </w:rPr>
        <w:t>. “X” and “Z” require elevated effort</w:t>
      </w:r>
      <w:r w:rsidR="0066129B">
        <w:rPr>
          <w:color w:val="222222"/>
          <w:shd w:val="clear" w:color="auto" w:fill="FFFFFF"/>
        </w:rPr>
        <w:t xml:space="preserve">, as they require </w:t>
      </w:r>
      <w:r w:rsidR="004C2B71">
        <w:rPr>
          <w:color w:val="222222"/>
          <w:shd w:val="clear" w:color="auto" w:fill="FFFFFF"/>
        </w:rPr>
        <w:t xml:space="preserve">DP </w:t>
      </w:r>
      <w:r w:rsidR="0066129B">
        <w:rPr>
          <w:color w:val="222222"/>
          <w:shd w:val="clear" w:color="auto" w:fill="FFFFFF"/>
        </w:rPr>
        <w:t>staff to conduct analysis</w:t>
      </w:r>
      <w:r w:rsidR="00BE3CDB">
        <w:rPr>
          <w:color w:val="222222"/>
          <w:shd w:val="clear" w:color="auto" w:fill="FFFFFF"/>
        </w:rPr>
        <w:t>,</w:t>
      </w:r>
      <w:r w:rsidR="0066129B">
        <w:rPr>
          <w:color w:val="222222"/>
          <w:shd w:val="clear" w:color="auto" w:fill="FFFFFF"/>
        </w:rPr>
        <w:t xml:space="preserve"> and so on</w:t>
      </w:r>
      <w:r w:rsidR="00BE3CDB">
        <w:rPr>
          <w:color w:val="222222"/>
          <w:shd w:val="clear" w:color="auto" w:fill="FFFFFF"/>
        </w:rPr>
        <w:t>).</w:t>
      </w:r>
    </w:p>
    <w:p w14:paraId="6B7237FC" w14:textId="46C340EF" w:rsidR="0020427B" w:rsidRDefault="00BE3CDB" w:rsidP="0020427B">
      <w:pPr>
        <w:pStyle w:val="Heading1"/>
        <w:numPr>
          <w:ilvl w:val="0"/>
          <w:numId w:val="3"/>
        </w:numPr>
      </w:pPr>
      <w:r>
        <w:t>Deploying the Tool and</w:t>
      </w:r>
      <w:r>
        <w:br/>
      </w:r>
      <w:r w:rsidR="0020427B">
        <w:t>Assessing Sustainability</w:t>
      </w:r>
    </w:p>
    <w:p w14:paraId="3570A640" w14:textId="5C66BB62" w:rsidR="00872B71" w:rsidRDefault="004B6F33" w:rsidP="00872B71">
      <w:pPr>
        <w:pStyle w:val="iPRESparagraphs"/>
        <w:ind w:firstLine="0"/>
        <w:rPr>
          <w:lang w:val="en-CA"/>
        </w:rPr>
      </w:pPr>
      <w:r>
        <w:rPr>
          <w:color w:val="222222"/>
          <w:shd w:val="clear" w:color="auto" w:fill="FFFFFF"/>
        </w:rPr>
        <w:t>In our</w:t>
      </w:r>
      <w:r w:rsidR="00E06740">
        <w:rPr>
          <w:color w:val="222222"/>
          <w:shd w:val="clear" w:color="auto" w:fill="FFFFFF"/>
        </w:rPr>
        <w:t xml:space="preserve"> initial stages, and for pre-transfer, pre-ingest, </w:t>
      </w:r>
      <w:r w:rsidR="007B742D">
        <w:rPr>
          <w:color w:val="222222"/>
          <w:shd w:val="clear" w:color="auto" w:fill="FFFFFF"/>
        </w:rPr>
        <w:t xml:space="preserve">the </w:t>
      </w:r>
      <w:r w:rsidR="008F4AE2">
        <w:rPr>
          <w:color w:val="222222"/>
          <w:shd w:val="clear" w:color="auto" w:fill="FFFFFF"/>
        </w:rPr>
        <w:t xml:space="preserve">digital archival records </w:t>
      </w:r>
      <w:r w:rsidR="00E06740">
        <w:rPr>
          <w:color w:val="222222"/>
          <w:shd w:val="clear" w:color="auto" w:fill="FFFFFF"/>
        </w:rPr>
        <w:t>backlog</w:t>
      </w:r>
      <w:r w:rsidR="007B742D">
        <w:rPr>
          <w:color w:val="222222"/>
          <w:shd w:val="clear" w:color="auto" w:fill="FFFFFF"/>
        </w:rPr>
        <w:t>,</w:t>
      </w:r>
      <w:r w:rsidR="00E06740">
        <w:rPr>
          <w:color w:val="222222"/>
          <w:shd w:val="clear" w:color="auto" w:fill="FFFFFF"/>
        </w:rPr>
        <w:t xml:space="preserve"> and </w:t>
      </w:r>
      <w:r w:rsidR="007B742D">
        <w:rPr>
          <w:color w:val="222222"/>
          <w:shd w:val="clear" w:color="auto" w:fill="FFFFFF"/>
        </w:rPr>
        <w:t xml:space="preserve">in </w:t>
      </w:r>
      <w:r w:rsidR="00050525">
        <w:rPr>
          <w:color w:val="222222"/>
          <w:shd w:val="clear" w:color="auto" w:fill="FFFFFF"/>
        </w:rPr>
        <w:t>pre-</w:t>
      </w:r>
      <w:r w:rsidR="00E06740">
        <w:rPr>
          <w:color w:val="222222"/>
          <w:shd w:val="clear" w:color="auto" w:fill="FFFFFF"/>
        </w:rPr>
        <w:t>acquisition contexts</w:t>
      </w:r>
      <w:r w:rsidR="008F4AE2">
        <w:rPr>
          <w:color w:val="222222"/>
          <w:shd w:val="clear" w:color="auto" w:fill="FFFFFF"/>
        </w:rPr>
        <w:t xml:space="preserve">, </w:t>
      </w:r>
      <w:r w:rsidR="00E06740">
        <w:rPr>
          <w:color w:val="222222"/>
          <w:shd w:val="clear" w:color="auto" w:fill="FFFFFF"/>
        </w:rPr>
        <w:t xml:space="preserve">the </w:t>
      </w:r>
      <w:r w:rsidR="008F4AE2">
        <w:rPr>
          <w:color w:val="222222"/>
          <w:shd w:val="clear" w:color="auto" w:fill="FFFFFF"/>
        </w:rPr>
        <w:t xml:space="preserve">LDFR </w:t>
      </w:r>
      <w:r w:rsidR="00E06740">
        <w:rPr>
          <w:color w:val="222222"/>
          <w:shd w:val="clear" w:color="auto" w:fill="FFFFFF"/>
        </w:rPr>
        <w:t xml:space="preserve">tool is intended for the </w:t>
      </w:r>
      <w:r>
        <w:rPr>
          <w:color w:val="222222"/>
          <w:shd w:val="clear" w:color="auto" w:fill="FFFFFF"/>
        </w:rPr>
        <w:t xml:space="preserve">“Digital Integration” (DI) </w:t>
      </w:r>
      <w:r w:rsidR="00E06740">
        <w:rPr>
          <w:color w:val="222222"/>
          <w:shd w:val="clear" w:color="auto" w:fill="FFFFFF"/>
        </w:rPr>
        <w:t xml:space="preserve">area </w:t>
      </w:r>
      <w:r>
        <w:rPr>
          <w:color w:val="222222"/>
          <w:shd w:val="clear" w:color="auto" w:fill="FFFFFF"/>
        </w:rPr>
        <w:t>(the team within the</w:t>
      </w:r>
      <w:r w:rsidR="00E06740">
        <w:rPr>
          <w:color w:val="222222"/>
          <w:shd w:val="clear" w:color="auto" w:fill="FFFFFF"/>
        </w:rPr>
        <w:t xml:space="preserve"> </w:t>
      </w:r>
      <w:r w:rsidR="00CD65A1">
        <w:rPr>
          <w:color w:val="222222"/>
          <w:shd w:val="clear" w:color="auto" w:fill="FFFFFF"/>
        </w:rPr>
        <w:t>LAC Digital Preservation D</w:t>
      </w:r>
      <w:r w:rsidR="00E06740">
        <w:rPr>
          <w:color w:val="222222"/>
          <w:shd w:val="clear" w:color="auto" w:fill="FFFFFF"/>
        </w:rPr>
        <w:t xml:space="preserve">ivision that is responsible for PAIMAS and the stages of the </w:t>
      </w:r>
      <w:r>
        <w:rPr>
          <w:color w:val="222222"/>
          <w:shd w:val="clear" w:color="auto" w:fill="FFFFFF"/>
        </w:rPr>
        <w:t>DP</w:t>
      </w:r>
      <w:r w:rsidR="00E06740">
        <w:rPr>
          <w:color w:val="222222"/>
          <w:shd w:val="clear" w:color="auto" w:fill="FFFFFF"/>
        </w:rPr>
        <w:t xml:space="preserve"> work</w:t>
      </w:r>
      <w:r>
        <w:rPr>
          <w:color w:val="222222"/>
          <w:shd w:val="clear" w:color="auto" w:fill="FFFFFF"/>
        </w:rPr>
        <w:t xml:space="preserve">flow up to and including </w:t>
      </w:r>
      <w:r w:rsidR="005F1CE2">
        <w:rPr>
          <w:color w:val="222222"/>
          <w:shd w:val="clear" w:color="auto" w:fill="FFFFFF"/>
        </w:rPr>
        <w:t xml:space="preserve">archival </w:t>
      </w:r>
      <w:r>
        <w:rPr>
          <w:color w:val="222222"/>
          <w:shd w:val="clear" w:color="auto" w:fill="FFFFFF"/>
        </w:rPr>
        <w:t>Submission Information Package</w:t>
      </w:r>
      <w:r w:rsidR="005F1CE2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 (SIP</w:t>
      </w:r>
      <w:r w:rsidR="005F1CE2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>)). T</w:t>
      </w:r>
      <w:r w:rsidR="00CD65A1">
        <w:rPr>
          <w:color w:val="222222"/>
          <w:shd w:val="clear" w:color="auto" w:fill="FFFFFF"/>
        </w:rPr>
        <w:t>he</w:t>
      </w:r>
      <w:r>
        <w:rPr>
          <w:color w:val="222222"/>
          <w:shd w:val="clear" w:color="auto" w:fill="FFFFFF"/>
        </w:rPr>
        <w:t xml:space="preserve"> LDFR tool</w:t>
      </w:r>
      <w:r w:rsidR="00CD65A1">
        <w:rPr>
          <w:color w:val="222222"/>
          <w:shd w:val="clear" w:color="auto" w:fill="FFFFFF"/>
        </w:rPr>
        <w:t>’s</w:t>
      </w:r>
      <w:r>
        <w:rPr>
          <w:color w:val="222222"/>
          <w:shd w:val="clear" w:color="auto" w:fill="FFFFFF"/>
        </w:rPr>
        <w:t xml:space="preserve"> output report therefore shows the DI </w:t>
      </w:r>
      <w:r w:rsidR="001F37E7">
        <w:rPr>
          <w:color w:val="222222"/>
          <w:shd w:val="clear" w:color="auto" w:fill="FFFFFF"/>
        </w:rPr>
        <w:t xml:space="preserve">power </w:t>
      </w:r>
      <w:r>
        <w:rPr>
          <w:color w:val="222222"/>
          <w:shd w:val="clear" w:color="auto" w:fill="FFFFFF"/>
        </w:rPr>
        <w:t xml:space="preserve">user how manageable or </w:t>
      </w:r>
      <w:r w:rsidR="00CD65A1">
        <w:rPr>
          <w:color w:val="222222"/>
          <w:shd w:val="clear" w:color="auto" w:fill="FFFFFF"/>
        </w:rPr>
        <w:t xml:space="preserve">non-compliant </w:t>
      </w:r>
      <w:r>
        <w:rPr>
          <w:color w:val="222222"/>
          <w:shd w:val="clear" w:color="auto" w:fill="FFFFFF"/>
        </w:rPr>
        <w:t xml:space="preserve">the payload data is against our current-to-the-moment migration and preservation capacities in the </w:t>
      </w:r>
      <w:r w:rsidR="001F37E7">
        <w:rPr>
          <w:color w:val="222222"/>
          <w:shd w:val="clear" w:color="auto" w:fill="FFFFFF"/>
        </w:rPr>
        <w:t xml:space="preserve">partner </w:t>
      </w:r>
      <w:r>
        <w:rPr>
          <w:color w:val="222222"/>
          <w:shd w:val="clear" w:color="auto" w:fill="FFFFFF"/>
        </w:rPr>
        <w:t>DP unit</w:t>
      </w:r>
      <w:r w:rsidR="00CD65A1">
        <w:rPr>
          <w:color w:val="222222"/>
          <w:shd w:val="clear" w:color="auto" w:fill="FFFFFF"/>
        </w:rPr>
        <w:t xml:space="preserve"> (the area </w:t>
      </w:r>
      <w:r w:rsidR="00CD65A1">
        <w:rPr>
          <w:color w:val="222222"/>
          <w:shd w:val="clear" w:color="auto" w:fill="FFFFFF"/>
        </w:rPr>
        <w:t>responsible for the A</w:t>
      </w:r>
      <w:r w:rsidR="001F37E7">
        <w:rPr>
          <w:color w:val="222222"/>
          <w:shd w:val="clear" w:color="auto" w:fill="FFFFFF"/>
        </w:rPr>
        <w:t>rchival and Distribution Packages, AIPs and DIPs</w:t>
      </w:r>
      <w:r w:rsidR="00CD65A1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>.</w:t>
      </w:r>
    </w:p>
    <w:p w14:paraId="72F59347" w14:textId="77F4C3D9" w:rsidR="008B44B2" w:rsidRPr="008B44B2" w:rsidRDefault="00872B71" w:rsidP="007B742D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lang w:val="en-CA"/>
        </w:rPr>
        <w:t xml:space="preserve">The </w:t>
      </w:r>
      <w:r w:rsidRPr="00704809">
        <w:rPr>
          <w:lang w:val="en-CA"/>
        </w:rPr>
        <w:t xml:space="preserve">LDFR tool </w:t>
      </w:r>
      <w:r>
        <w:rPr>
          <w:lang w:val="en-CA"/>
        </w:rPr>
        <w:t xml:space="preserve">will now be used in everyday operations within DI </w:t>
      </w:r>
      <w:r w:rsidR="00674132">
        <w:rPr>
          <w:lang w:val="en-CA"/>
        </w:rPr>
        <w:t xml:space="preserve">and DP </w:t>
      </w:r>
      <w:r>
        <w:rPr>
          <w:lang w:val="en-CA"/>
        </w:rPr>
        <w:t xml:space="preserve">to generate on-demand and </w:t>
      </w:r>
      <w:r w:rsidRPr="00704809">
        <w:rPr>
          <w:lang w:val="en-CA"/>
        </w:rPr>
        <w:t xml:space="preserve">objective </w:t>
      </w:r>
      <w:r>
        <w:rPr>
          <w:lang w:val="en-CA"/>
        </w:rPr>
        <w:t xml:space="preserve">data and </w:t>
      </w:r>
      <w:r w:rsidRPr="00704809">
        <w:rPr>
          <w:lang w:val="en-CA"/>
        </w:rPr>
        <w:t xml:space="preserve">evidence with which to advise internal clients on the digital curation tenability and sustainability of any given </w:t>
      </w:r>
      <w:r>
        <w:rPr>
          <w:lang w:val="en-CA"/>
        </w:rPr>
        <w:t>target data</w:t>
      </w:r>
      <w:r w:rsidR="006E3402">
        <w:rPr>
          <w:lang w:val="en-CA"/>
        </w:rPr>
        <w:t>, but also to begin planning for how our mutual capacity is occupied</w:t>
      </w:r>
      <w:r w:rsidR="005A191F">
        <w:rPr>
          <w:lang w:val="en-CA"/>
        </w:rPr>
        <w:t xml:space="preserve"> (leading to business cases for more FTEs!)</w:t>
      </w:r>
      <w:r>
        <w:rPr>
          <w:lang w:val="en-CA"/>
        </w:rPr>
        <w:t xml:space="preserve">  </w:t>
      </w:r>
      <w:r w:rsidR="007B742D">
        <w:rPr>
          <w:color w:val="222222"/>
          <w:shd w:val="clear" w:color="auto" w:fill="FFFFFF"/>
        </w:rPr>
        <w:t>The LDFR categories will also be associated with different levels of treatment in our institutional digital preservation service catalogue</w:t>
      </w:r>
      <w:r w:rsidR="007B742D">
        <w:rPr>
          <w:rStyle w:val="FootnoteReference"/>
          <w:color w:val="222222"/>
          <w:shd w:val="clear" w:color="auto" w:fill="FFFFFF"/>
        </w:rPr>
        <w:footnoteReference w:id="1"/>
      </w:r>
      <w:r w:rsidR="007B742D">
        <w:rPr>
          <w:color w:val="222222"/>
          <w:shd w:val="clear" w:color="auto" w:fill="FFFFFF"/>
        </w:rPr>
        <w:t>, which then speaks to effort and duration estimates to conduct any proposed work – since more complex work, represented by elevated LDFR categories, are linked to increased levels of required DP staff expertise and time vs. machine automation.</w:t>
      </w:r>
      <w:r w:rsidR="008B44B2">
        <w:rPr>
          <w:color w:val="222222"/>
          <w:shd w:val="clear" w:color="auto" w:fill="FFFFFF"/>
        </w:rPr>
        <w:t xml:space="preserve">  </w:t>
      </w:r>
      <w:r w:rsidR="008B44B2">
        <w:rPr>
          <w:color w:val="222222"/>
          <w:shd w:val="clear" w:color="auto" w:fill="FFFFFF"/>
        </w:rPr>
        <w:t xml:space="preserve">The color-coded LDFR tool’s output report can </w:t>
      </w:r>
      <w:r w:rsidR="00667DAA">
        <w:rPr>
          <w:color w:val="222222"/>
          <w:shd w:val="clear" w:color="auto" w:fill="FFFFFF"/>
        </w:rPr>
        <w:t xml:space="preserve">therefore </w:t>
      </w:r>
      <w:r w:rsidR="008B44B2">
        <w:rPr>
          <w:color w:val="222222"/>
          <w:shd w:val="clear" w:color="auto" w:fill="FFFFFF"/>
        </w:rPr>
        <w:t xml:space="preserve">also be used to brief </w:t>
      </w:r>
      <w:r w:rsidR="008B44B2" w:rsidRPr="00284C40">
        <w:rPr>
          <w:i/>
          <w:color w:val="222222"/>
          <w:shd w:val="clear" w:color="auto" w:fill="FFFFFF"/>
        </w:rPr>
        <w:t xml:space="preserve">clients on </w:t>
      </w:r>
      <w:r w:rsidR="008B44B2" w:rsidRPr="00284C40">
        <w:rPr>
          <w:rStyle w:val="Emphasis"/>
          <w:i w:val="0"/>
          <w:color w:val="222222"/>
          <w:shd w:val="clear" w:color="auto" w:fill="FFFFFF"/>
        </w:rPr>
        <w:t>how</w:t>
      </w:r>
      <w:r w:rsidR="008B44B2" w:rsidRPr="00284C40">
        <w:rPr>
          <w:i/>
          <w:color w:val="222222"/>
          <w:shd w:val="clear" w:color="auto" w:fill="FFFFFF"/>
        </w:rPr>
        <w:t xml:space="preserve"> the data will be managed</w:t>
      </w:r>
      <w:r w:rsidR="008B44B2">
        <w:rPr>
          <w:color w:val="222222"/>
          <w:shd w:val="clear" w:color="auto" w:fill="FFFFFF"/>
        </w:rPr>
        <w:t xml:space="preserve"> for processing and preservation at LAC.</w:t>
      </w:r>
    </w:p>
    <w:p w14:paraId="471AAC41" w14:textId="4873FE2D" w:rsidR="00872B71" w:rsidRDefault="00224E75" w:rsidP="00872B71">
      <w:pPr>
        <w:pStyle w:val="iPRESparagraphs"/>
        <w:ind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Rolling all these details up into a briefing for a given client for a particular or potential collection, while factoring the client’s access or project wishlist, would then be packaged as necessitating a certain level (“Gold”</w:t>
      </w:r>
      <w:r w:rsidR="004370AC">
        <w:rPr>
          <w:color w:val="222222"/>
          <w:shd w:val="clear" w:color="auto" w:fill="FFFFFF"/>
        </w:rPr>
        <w:t>, “Platinum”</w:t>
      </w:r>
      <w:r>
        <w:rPr>
          <w:color w:val="222222"/>
          <w:shd w:val="clear" w:color="auto" w:fill="FFFFFF"/>
        </w:rPr>
        <w:t xml:space="preserve">) of DP treatment </w:t>
      </w:r>
      <w:r w:rsidR="004370AC">
        <w:rPr>
          <w:color w:val="222222"/>
          <w:shd w:val="clear" w:color="auto" w:fill="FFFFFF"/>
        </w:rPr>
        <w:t xml:space="preserve">and engagement </w:t>
      </w:r>
      <w:r>
        <w:rPr>
          <w:color w:val="222222"/>
          <w:shd w:val="clear" w:color="auto" w:fill="FFFFFF"/>
        </w:rPr>
        <w:t xml:space="preserve">from the DP catalogue.  Where the collection is at the pre-transfer stage, this information might influence the acquisition decision, contribute a great deal to the PAIMAS-oriented pre-transfer submission agreement, or influence an improvement in overall data quality – </w:t>
      </w:r>
      <w:r w:rsidR="00872B71">
        <w:rPr>
          <w:color w:val="222222"/>
          <w:shd w:val="clear" w:color="auto" w:fill="FFFFFF"/>
        </w:rPr>
        <w:t xml:space="preserve">in order to mitigate </w:t>
      </w:r>
      <w:r>
        <w:rPr>
          <w:color w:val="222222"/>
          <w:shd w:val="clear" w:color="auto" w:fill="FFFFFF"/>
        </w:rPr>
        <w:t>estimated effort, risk, cost, and duration to acquire the target data and/or apply the desired services.</w:t>
      </w:r>
      <w:r w:rsidR="00B80914">
        <w:rPr>
          <w:color w:val="222222"/>
          <w:shd w:val="clear" w:color="auto" w:fill="FFFFFF"/>
        </w:rPr>
        <w:t xml:space="preserve">  At times, this has also led to the client delaying transfer</w:t>
      </w:r>
      <w:r w:rsidR="003939CC">
        <w:rPr>
          <w:color w:val="222222"/>
          <w:shd w:val="clear" w:color="auto" w:fill="FFFFFF"/>
        </w:rPr>
        <w:t xml:space="preserve"> of the data</w:t>
      </w:r>
      <w:r w:rsidR="00B80914">
        <w:rPr>
          <w:color w:val="222222"/>
          <w:shd w:val="clear" w:color="auto" w:fill="FFFFFF"/>
        </w:rPr>
        <w:t xml:space="preserve">, to enable the combined resources of LAC and the client to be </w:t>
      </w:r>
      <w:r w:rsidR="003939CC">
        <w:rPr>
          <w:color w:val="222222"/>
          <w:shd w:val="clear" w:color="auto" w:fill="FFFFFF"/>
        </w:rPr>
        <w:t>applied to the</w:t>
      </w:r>
      <w:r w:rsidR="005F6ECC">
        <w:rPr>
          <w:color w:val="222222"/>
          <w:shd w:val="clear" w:color="auto" w:fill="FFFFFF"/>
        </w:rPr>
        <w:t xml:space="preserve"> unanticipated </w:t>
      </w:r>
      <w:r w:rsidR="00B5595D">
        <w:rPr>
          <w:color w:val="222222"/>
          <w:shd w:val="clear" w:color="auto" w:fill="FFFFFF"/>
        </w:rPr>
        <w:t xml:space="preserve">but essential </w:t>
      </w:r>
      <w:r w:rsidR="005F6ECC">
        <w:rPr>
          <w:color w:val="222222"/>
          <w:shd w:val="clear" w:color="auto" w:fill="FFFFFF"/>
        </w:rPr>
        <w:t>work</w:t>
      </w:r>
      <w:r w:rsidR="003939CC">
        <w:rPr>
          <w:color w:val="222222"/>
          <w:shd w:val="clear" w:color="auto" w:fill="FFFFFF"/>
        </w:rPr>
        <w:t>.</w:t>
      </w:r>
      <w:r w:rsidR="003D5DCD">
        <w:rPr>
          <w:color w:val="222222"/>
          <w:shd w:val="clear" w:color="auto" w:fill="FFFFFF"/>
        </w:rPr>
        <w:t xml:space="preserve"> </w:t>
      </w:r>
      <w:r w:rsidR="00872B71">
        <w:rPr>
          <w:color w:val="222222"/>
          <w:shd w:val="clear" w:color="auto" w:fill="FFFFFF"/>
        </w:rPr>
        <w:t xml:space="preserve">Our vision is for this </w:t>
      </w:r>
      <w:r w:rsidR="003D5DCD">
        <w:rPr>
          <w:color w:val="222222"/>
          <w:shd w:val="clear" w:color="auto" w:fill="FFFFFF"/>
        </w:rPr>
        <w:t xml:space="preserve">work to </w:t>
      </w:r>
      <w:r w:rsidR="00872B71">
        <w:rPr>
          <w:color w:val="222222"/>
          <w:shd w:val="clear" w:color="auto" w:fill="FFFFFF"/>
        </w:rPr>
        <w:t>enable formulaically calculated effort, duration</w:t>
      </w:r>
      <w:r w:rsidR="005D6F72">
        <w:rPr>
          <w:color w:val="222222"/>
          <w:shd w:val="clear" w:color="auto" w:fill="FFFFFF"/>
        </w:rPr>
        <w:t>,</w:t>
      </w:r>
      <w:r w:rsidR="00872B71">
        <w:rPr>
          <w:color w:val="222222"/>
          <w:shd w:val="clear" w:color="auto" w:fill="FFFFFF"/>
        </w:rPr>
        <w:t xml:space="preserve"> and costs for </w:t>
      </w:r>
      <w:r w:rsidR="005D6F72">
        <w:rPr>
          <w:color w:val="222222"/>
          <w:shd w:val="clear" w:color="auto" w:fill="FFFFFF"/>
        </w:rPr>
        <w:t xml:space="preserve">projects and </w:t>
      </w:r>
      <w:r w:rsidR="00872B71">
        <w:rPr>
          <w:color w:val="222222"/>
          <w:shd w:val="clear" w:color="auto" w:fill="FFFFFF"/>
        </w:rPr>
        <w:t xml:space="preserve">communication to stakeholders, which in turn </w:t>
      </w:r>
      <w:r w:rsidR="00872B71">
        <w:rPr>
          <w:color w:val="222222"/>
          <w:shd w:val="clear" w:color="auto" w:fill="FFFFFF"/>
        </w:rPr>
        <w:t xml:space="preserve">also </w:t>
      </w:r>
      <w:r w:rsidR="00872B71">
        <w:rPr>
          <w:color w:val="222222"/>
          <w:shd w:val="clear" w:color="auto" w:fill="FFFFFF"/>
        </w:rPr>
        <w:t xml:space="preserve">assists in DP capacity </w:t>
      </w:r>
      <w:r w:rsidR="00C66F3B">
        <w:rPr>
          <w:color w:val="222222"/>
          <w:shd w:val="clear" w:color="auto" w:fill="FFFFFF"/>
        </w:rPr>
        <w:t xml:space="preserve">and migration </w:t>
      </w:r>
      <w:r w:rsidR="00872B71">
        <w:rPr>
          <w:color w:val="222222"/>
          <w:shd w:val="clear" w:color="auto" w:fill="FFFFFF"/>
        </w:rPr>
        <w:t>planning.</w:t>
      </w:r>
    </w:p>
    <w:p w14:paraId="6F14BC40" w14:textId="0603B25C" w:rsidR="00B206E7" w:rsidRDefault="00B206E7" w:rsidP="00B206E7">
      <w:pPr>
        <w:pStyle w:val="iPRESparagraphs"/>
        <w:ind w:firstLine="0"/>
        <w:rPr>
          <w:lang w:val="en-CA"/>
        </w:rPr>
      </w:pPr>
      <w:r>
        <w:rPr>
          <w:lang w:val="en-CA"/>
        </w:rPr>
        <w:t xml:space="preserve">In the DP unit, the LDFR tool will be used in the near-future on all data being migrated to new DP archive media.  This will describe exactly what data by PUID is on each of our 9600+ magnetic tapes, leading to risk-managed actions in migration from LTO-3-4-6 to LTO-9 </w:t>
      </w:r>
      <w:r w:rsidR="00B856F8">
        <w:rPr>
          <w:lang w:val="en-CA"/>
        </w:rPr>
        <w:t>in our Tape Library</w:t>
      </w:r>
      <w:r>
        <w:rPr>
          <w:lang w:val="en-CA"/>
        </w:rPr>
        <w:t xml:space="preserve">.  We would then capture these details in our DP master database – which enables DP </w:t>
      </w:r>
      <w:r w:rsidR="00297314">
        <w:rPr>
          <w:lang w:val="en-CA"/>
        </w:rPr>
        <w:t xml:space="preserve">Archive </w:t>
      </w:r>
      <w:r>
        <w:rPr>
          <w:lang w:val="en-CA"/>
        </w:rPr>
        <w:t xml:space="preserve">planning and migration for distant years, when </w:t>
      </w:r>
      <w:r w:rsidR="00297314">
        <w:rPr>
          <w:lang w:val="en-CA"/>
        </w:rPr>
        <w:t xml:space="preserve">it </w:t>
      </w:r>
      <w:r>
        <w:rPr>
          <w:lang w:val="en-CA"/>
        </w:rPr>
        <w:t>must again be migrated forward.</w:t>
      </w:r>
    </w:p>
    <w:p w14:paraId="14ECA776" w14:textId="77777777" w:rsidR="00E902FB" w:rsidRPr="00425F6D" w:rsidRDefault="00E902FB" w:rsidP="00E902FB">
      <w:pPr>
        <w:pStyle w:val="Heading1"/>
        <w:numPr>
          <w:ilvl w:val="0"/>
          <w:numId w:val="3"/>
        </w:numPr>
      </w:pPr>
      <w:r>
        <w:t>Lessons Learned</w:t>
      </w:r>
    </w:p>
    <w:p w14:paraId="70A77986" w14:textId="77777777" w:rsidR="00434CD2" w:rsidRDefault="00434CD2" w:rsidP="00434CD2">
      <w:pPr>
        <w:pStyle w:val="iPRESparagraphs"/>
        <w:ind w:firstLine="0"/>
        <w:rPr>
          <w:lang w:val="en-CA"/>
        </w:rPr>
      </w:pPr>
      <w:r>
        <w:rPr>
          <w:lang w:val="en-CA"/>
        </w:rPr>
        <w:t xml:space="preserve">The DP area will </w:t>
      </w:r>
      <w:r w:rsidRPr="00704809">
        <w:rPr>
          <w:lang w:val="en-CA"/>
        </w:rPr>
        <w:t xml:space="preserve">begin including the DROID and LDFR tool reports in </w:t>
      </w:r>
      <w:r>
        <w:rPr>
          <w:lang w:val="en-CA"/>
        </w:rPr>
        <w:t xml:space="preserve">future </w:t>
      </w:r>
      <w:r w:rsidRPr="00704809">
        <w:rPr>
          <w:lang w:val="en-CA"/>
        </w:rPr>
        <w:t xml:space="preserve">AIP payloads, thereby transferring the file format analysis, capacity context, and file format migration decisions forward into our </w:t>
      </w:r>
      <w:r>
        <w:rPr>
          <w:lang w:val="en-CA"/>
        </w:rPr>
        <w:t>DP archive</w:t>
      </w:r>
      <w:r w:rsidRPr="00704809">
        <w:rPr>
          <w:lang w:val="en-CA"/>
        </w:rPr>
        <w:t xml:space="preserve"> master database </w:t>
      </w:r>
      <w:r>
        <w:rPr>
          <w:lang w:val="en-CA"/>
        </w:rPr>
        <w:t>– as</w:t>
      </w:r>
      <w:r w:rsidRPr="00704809">
        <w:rPr>
          <w:lang w:val="en-CA"/>
        </w:rPr>
        <w:t xml:space="preserve"> additional context and provenance </w:t>
      </w:r>
      <w:r w:rsidRPr="00704809">
        <w:rPr>
          <w:lang w:val="en-CA"/>
        </w:rPr>
        <w:lastRenderedPageBreak/>
        <w:t>information, that may elucidate preservation decisions made now for the benefit o</w:t>
      </w:r>
      <w:r>
        <w:rPr>
          <w:lang w:val="en-CA"/>
        </w:rPr>
        <w:t>f our successors in the future.</w:t>
      </w:r>
    </w:p>
    <w:p w14:paraId="30EBDDEB" w14:textId="5DE90028" w:rsidR="00D52406" w:rsidRDefault="00D52406" w:rsidP="00D52406">
      <w:pPr>
        <w:pStyle w:val="iPRESparagraphs"/>
        <w:ind w:firstLine="0"/>
        <w:rPr>
          <w:lang w:val="en-CA"/>
        </w:rPr>
      </w:pPr>
      <w:r w:rsidRPr="0089384D">
        <w:rPr>
          <w:lang w:val="en-CA"/>
        </w:rPr>
        <w:t>The File Format Policy will now remain evergreen</w:t>
      </w:r>
      <w:r>
        <w:rPr>
          <w:lang w:val="en-CA"/>
        </w:rPr>
        <w:t>, since the full c</w:t>
      </w:r>
      <w:r w:rsidR="00A8085F">
        <w:rPr>
          <w:lang w:val="en-CA"/>
        </w:rPr>
        <w:t xml:space="preserve">ontent of the LDFR database can </w:t>
      </w:r>
      <w:r>
        <w:rPr>
          <w:lang w:val="en-CA"/>
        </w:rPr>
        <w:t xml:space="preserve">be </w:t>
      </w:r>
      <w:r w:rsidRPr="0089384D">
        <w:rPr>
          <w:lang w:val="en-CA"/>
        </w:rPr>
        <w:t>expor</w:t>
      </w:r>
      <w:r>
        <w:rPr>
          <w:lang w:val="en-CA"/>
        </w:rPr>
        <w:t>ted, i</w:t>
      </w:r>
      <w:r w:rsidRPr="0089384D">
        <w:rPr>
          <w:lang w:val="en-CA"/>
        </w:rPr>
        <w:t>n document format</w:t>
      </w:r>
      <w:r w:rsidR="003A1E79">
        <w:rPr>
          <w:lang w:val="en-CA"/>
        </w:rPr>
        <w:t>,</w:t>
      </w:r>
      <w:r>
        <w:rPr>
          <w:lang w:val="en-CA"/>
        </w:rPr>
        <w:t xml:space="preserve"> and </w:t>
      </w:r>
      <w:r w:rsidRPr="0089384D">
        <w:rPr>
          <w:lang w:val="en-CA"/>
        </w:rPr>
        <w:t>on-demand</w:t>
      </w:r>
      <w:r>
        <w:rPr>
          <w:lang w:val="en-CA"/>
        </w:rPr>
        <w:t>.  Thus, w</w:t>
      </w:r>
      <w:r w:rsidRPr="0089384D">
        <w:rPr>
          <w:lang w:val="en-CA"/>
        </w:rPr>
        <w:t xml:space="preserve">e can provide a fresh copy whenever clients and other departments in the Government of Canada request – in addition to issuing it periodically.  While legacy data is legacy data and a File Formats Policy will not always be consulted, applying the thinking as far upstream as possible is our goal, to enable </w:t>
      </w:r>
      <w:r w:rsidR="00223C3D">
        <w:rPr>
          <w:lang w:val="en-CA"/>
        </w:rPr>
        <w:t xml:space="preserve">Government of Canada clients to conduct self-assessment, leading to </w:t>
      </w:r>
      <w:r w:rsidRPr="0089384D">
        <w:rPr>
          <w:lang w:val="en-CA"/>
        </w:rPr>
        <w:t xml:space="preserve">early </w:t>
      </w:r>
      <w:r w:rsidR="00223C3D">
        <w:rPr>
          <w:lang w:val="en-CA"/>
        </w:rPr>
        <w:t>analysis and warning for future federal record transfers.</w:t>
      </w:r>
    </w:p>
    <w:p w14:paraId="63AD4FB8" w14:textId="349C6D98" w:rsidR="00D52406" w:rsidRPr="0089384D" w:rsidRDefault="00D52406" w:rsidP="00D52406">
      <w:pPr>
        <w:pStyle w:val="iPRESparagraphs"/>
        <w:ind w:firstLine="0"/>
        <w:rPr>
          <w:lang w:val="en-CA"/>
        </w:rPr>
      </w:pPr>
      <w:r w:rsidRPr="00704809">
        <w:rPr>
          <w:lang w:val="en-CA"/>
        </w:rPr>
        <w:t xml:space="preserve">Given the framework that is now in place, we can also begin building the data necessary to </w:t>
      </w:r>
      <w:r w:rsidR="00B80191">
        <w:rPr>
          <w:lang w:val="en-CA"/>
        </w:rPr>
        <w:t>estimate</w:t>
      </w:r>
      <w:r w:rsidRPr="00704809">
        <w:rPr>
          <w:lang w:val="en-CA"/>
        </w:rPr>
        <w:t xml:space="preserve"> our bandwidth requirements for the use of Preservica’s pathways for perform</w:t>
      </w:r>
      <w:r>
        <w:rPr>
          <w:lang w:val="en-CA"/>
        </w:rPr>
        <w:t>ing migration work in the Cloud.</w:t>
      </w:r>
    </w:p>
    <w:p w14:paraId="5DEFEB40" w14:textId="0D11D187" w:rsidR="0028411C" w:rsidRDefault="00197815" w:rsidP="00B801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>N</w:t>
      </w:r>
      <w:r w:rsidRPr="00280AE4">
        <w:rPr>
          <w:rFonts w:eastAsia="Open Sans"/>
          <w:color w:val="000000"/>
        </w:rPr>
        <w:t xml:space="preserve">ot all collections were created equal in terms of data quality or sustainability, and so </w:t>
      </w:r>
      <w:r>
        <w:rPr>
          <w:rFonts w:eastAsia="Open Sans"/>
          <w:color w:val="000000"/>
        </w:rPr>
        <w:t>not all of them</w:t>
      </w:r>
      <w:r w:rsidR="00EB7A1B">
        <w:rPr>
          <w:rFonts w:eastAsia="Open Sans"/>
          <w:color w:val="000000"/>
        </w:rPr>
        <w:t xml:space="preserve"> can objectively </w:t>
      </w:r>
      <w:r>
        <w:rPr>
          <w:rFonts w:eastAsia="Open Sans"/>
          <w:color w:val="000000"/>
        </w:rPr>
        <w:t xml:space="preserve">warrant high investment or can support </w:t>
      </w:r>
      <w:r w:rsidR="00B95CE4">
        <w:rPr>
          <w:rFonts w:eastAsia="Open Sans"/>
          <w:color w:val="000000"/>
        </w:rPr>
        <w:t>advanced access options</w:t>
      </w:r>
      <w:r w:rsidR="0028411C">
        <w:rPr>
          <w:rFonts w:eastAsia="Open Sans"/>
          <w:color w:val="000000"/>
        </w:rPr>
        <w:t>.  C</w:t>
      </w:r>
      <w:r w:rsidR="002E7CAB">
        <w:rPr>
          <w:rFonts w:eastAsia="Open Sans"/>
          <w:color w:val="000000"/>
        </w:rPr>
        <w:t xml:space="preserve">apacity and resources are always at a premium.  This is perhaps not an easy thing to socialize, even when the digital preservation practitioner deeply understands and shares the collection specialist’s sense of intellectual responsibility for acquiring important but </w:t>
      </w:r>
      <w:r w:rsidR="0028411C">
        <w:rPr>
          <w:rFonts w:eastAsia="Open Sans"/>
          <w:color w:val="000000"/>
        </w:rPr>
        <w:t xml:space="preserve">not always great quality </w:t>
      </w:r>
      <w:r w:rsidR="002E7CAB">
        <w:rPr>
          <w:rFonts w:eastAsia="Open Sans"/>
          <w:color w:val="000000"/>
        </w:rPr>
        <w:t>data.</w:t>
      </w:r>
    </w:p>
    <w:p w14:paraId="72375683" w14:textId="77777777" w:rsidR="0028411C" w:rsidRDefault="0028411C" w:rsidP="00B801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</w:p>
    <w:p w14:paraId="4F1633F9" w14:textId="3A13DF31" w:rsidR="0028411C" w:rsidRPr="0028411C" w:rsidRDefault="00B80191" w:rsidP="002841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>I</w:t>
      </w:r>
      <w:r>
        <w:rPr>
          <w:rFonts w:eastAsia="Open Sans"/>
          <w:color w:val="000000"/>
        </w:rPr>
        <w:t xml:space="preserve">t is essential to </w:t>
      </w:r>
      <w:r w:rsidR="00E05E74">
        <w:rPr>
          <w:rFonts w:eastAsia="Open Sans"/>
          <w:color w:val="000000"/>
        </w:rPr>
        <w:t xml:space="preserve">impart </w:t>
      </w:r>
      <w:r>
        <w:rPr>
          <w:rFonts w:eastAsia="Open Sans"/>
          <w:color w:val="000000"/>
        </w:rPr>
        <w:t>to</w:t>
      </w:r>
      <w:r w:rsidRPr="00280AE4">
        <w:rPr>
          <w:rFonts w:eastAsia="Open Sans"/>
          <w:color w:val="000000"/>
        </w:rPr>
        <w:t xml:space="preserve"> </w:t>
      </w:r>
      <w:r>
        <w:rPr>
          <w:rFonts w:eastAsia="Open Sans"/>
          <w:color w:val="000000"/>
        </w:rPr>
        <w:t xml:space="preserve">internal stakeholders that their participation in PAIMAS </w:t>
      </w:r>
      <w:r w:rsidR="00E05E74">
        <w:rPr>
          <w:rFonts w:eastAsia="Open Sans"/>
          <w:color w:val="000000"/>
        </w:rPr>
        <w:t xml:space="preserve">and digital </w:t>
      </w:r>
      <w:r w:rsidR="0028411C">
        <w:rPr>
          <w:rFonts w:eastAsia="Open Sans"/>
          <w:color w:val="000000"/>
        </w:rPr>
        <w:t xml:space="preserve">curation and </w:t>
      </w:r>
      <w:r w:rsidR="00E05E74">
        <w:rPr>
          <w:rFonts w:eastAsia="Open Sans"/>
          <w:color w:val="000000"/>
        </w:rPr>
        <w:t xml:space="preserve">preservation </w:t>
      </w:r>
      <w:r>
        <w:rPr>
          <w:rFonts w:eastAsia="Open Sans"/>
          <w:color w:val="000000"/>
        </w:rPr>
        <w:t xml:space="preserve">is not designed to control what they can acquire.  </w:t>
      </w:r>
      <w:r w:rsidR="002E7CAB">
        <w:rPr>
          <w:rFonts w:eastAsia="Open Sans"/>
          <w:color w:val="000000"/>
        </w:rPr>
        <w:t xml:space="preserve">It is to ensure that </w:t>
      </w:r>
      <w:r w:rsidR="0028411C">
        <w:rPr>
          <w:rFonts w:eastAsia="Open Sans"/>
          <w:color w:val="000000"/>
        </w:rPr>
        <w:t xml:space="preserve">preservation tenability and </w:t>
      </w:r>
      <w:r w:rsidR="002E7CAB">
        <w:rPr>
          <w:rFonts w:eastAsia="Open Sans"/>
          <w:color w:val="000000"/>
        </w:rPr>
        <w:t xml:space="preserve">sustainability is possible in alignment with core OAIS and PAIMAS principles.  </w:t>
      </w:r>
      <w:r w:rsidR="0028411C">
        <w:rPr>
          <w:rFonts w:eastAsia="Open Sans"/>
          <w:color w:val="000000"/>
        </w:rPr>
        <w:t xml:space="preserve">Digital </w:t>
      </w:r>
      <w:r w:rsidR="002E7CAB">
        <w:rPr>
          <w:rFonts w:eastAsia="Open Sans"/>
          <w:color w:val="000000"/>
        </w:rPr>
        <w:t xml:space="preserve">advocacy is for </w:t>
      </w:r>
      <w:r w:rsidR="00E05E74">
        <w:rPr>
          <w:rFonts w:eastAsia="Open Sans"/>
          <w:color w:val="000000"/>
        </w:rPr>
        <w:t>secur</w:t>
      </w:r>
      <w:r w:rsidR="002E7CAB">
        <w:rPr>
          <w:rFonts w:eastAsia="Open Sans"/>
          <w:color w:val="000000"/>
        </w:rPr>
        <w:t>ing</w:t>
      </w:r>
      <w:r w:rsidR="00E05E74">
        <w:rPr>
          <w:rFonts w:eastAsia="Open Sans"/>
          <w:color w:val="000000"/>
        </w:rPr>
        <w:t xml:space="preserve"> the needed resources to address the prescribed</w:t>
      </w:r>
      <w:r w:rsidR="0028411C">
        <w:rPr>
          <w:rFonts w:eastAsia="Open Sans"/>
          <w:color w:val="000000"/>
        </w:rPr>
        <w:t xml:space="preserve"> and required</w:t>
      </w:r>
      <w:r w:rsidR="00E05E74">
        <w:rPr>
          <w:rFonts w:eastAsia="Open Sans"/>
          <w:color w:val="000000"/>
        </w:rPr>
        <w:t xml:space="preserve"> DP work, </w:t>
      </w:r>
      <w:r w:rsidR="002E7CAB">
        <w:rPr>
          <w:rFonts w:eastAsia="Open Sans"/>
          <w:color w:val="000000"/>
        </w:rPr>
        <w:t>and to</w:t>
      </w:r>
      <w:r>
        <w:rPr>
          <w:rFonts w:eastAsia="Open Sans"/>
          <w:color w:val="000000"/>
        </w:rPr>
        <w:t xml:space="preserve"> </w:t>
      </w:r>
      <w:r w:rsidR="002E7CAB">
        <w:rPr>
          <w:rFonts w:eastAsia="Open Sans"/>
          <w:color w:val="000000"/>
        </w:rPr>
        <w:t>improve</w:t>
      </w:r>
      <w:r>
        <w:rPr>
          <w:rFonts w:eastAsia="Open Sans"/>
          <w:color w:val="000000"/>
        </w:rPr>
        <w:t xml:space="preserve"> pre-transfer and pre-acquisition conditions, leading to greater efficiency, capacity and improved (</w:t>
      </w:r>
      <w:r w:rsidR="002E7CAB">
        <w:rPr>
          <w:rFonts w:eastAsia="Open Sans"/>
          <w:color w:val="000000"/>
        </w:rPr>
        <w:t xml:space="preserve">data) quality of life for the </w:t>
      </w:r>
      <w:r>
        <w:rPr>
          <w:rFonts w:eastAsia="Open Sans"/>
          <w:color w:val="000000"/>
        </w:rPr>
        <w:t>collections</w:t>
      </w:r>
      <w:r w:rsidR="002E7CAB">
        <w:rPr>
          <w:rFonts w:eastAsia="Open Sans"/>
          <w:color w:val="000000"/>
        </w:rPr>
        <w:t>.</w:t>
      </w:r>
      <w:r w:rsidR="0028411C">
        <w:rPr>
          <w:rFonts w:eastAsia="Open Sans"/>
          <w:color w:val="000000"/>
        </w:rPr>
        <w:t xml:space="preserve">  </w:t>
      </w:r>
      <w:r w:rsidR="002E7CAB">
        <w:rPr>
          <w:rFonts w:eastAsia="Open Sans"/>
          <w:color w:val="000000"/>
        </w:rPr>
        <w:t xml:space="preserve">If we can improve the </w:t>
      </w:r>
      <w:r w:rsidR="00D80539">
        <w:rPr>
          <w:rFonts w:eastAsia="Open Sans"/>
          <w:color w:val="000000"/>
        </w:rPr>
        <w:t xml:space="preserve">state </w:t>
      </w:r>
      <w:r w:rsidR="002E7CAB">
        <w:rPr>
          <w:rFonts w:eastAsia="Open Sans"/>
          <w:color w:val="000000"/>
        </w:rPr>
        <w:t xml:space="preserve">of data </w:t>
      </w:r>
      <w:r w:rsidR="00D80539">
        <w:rPr>
          <w:rFonts w:eastAsia="Open Sans"/>
          <w:color w:val="000000"/>
        </w:rPr>
        <w:t xml:space="preserve">prior to </w:t>
      </w:r>
      <w:r>
        <w:rPr>
          <w:rFonts w:eastAsia="Open Sans"/>
          <w:color w:val="000000"/>
        </w:rPr>
        <w:t xml:space="preserve">transfers via this </w:t>
      </w:r>
      <w:r w:rsidR="00EB7A1B">
        <w:rPr>
          <w:rFonts w:eastAsia="Open Sans"/>
          <w:color w:val="000000"/>
        </w:rPr>
        <w:t xml:space="preserve">characterization </w:t>
      </w:r>
      <w:r>
        <w:rPr>
          <w:rFonts w:eastAsia="Open Sans"/>
          <w:color w:val="000000"/>
        </w:rPr>
        <w:t xml:space="preserve">methodology for compliance measuring and cost of ownership </w:t>
      </w:r>
      <w:r w:rsidR="00EB7A1B">
        <w:rPr>
          <w:rFonts w:eastAsia="Open Sans"/>
          <w:color w:val="000000"/>
        </w:rPr>
        <w:t>estimation</w:t>
      </w:r>
      <w:r>
        <w:rPr>
          <w:rFonts w:eastAsia="Open Sans"/>
          <w:color w:val="000000"/>
        </w:rPr>
        <w:t xml:space="preserve">, and mitigate </w:t>
      </w:r>
      <w:r w:rsidR="00EB7A1B">
        <w:rPr>
          <w:rFonts w:eastAsia="Open Sans"/>
          <w:color w:val="000000"/>
        </w:rPr>
        <w:t>them</w:t>
      </w:r>
      <w:r>
        <w:rPr>
          <w:rFonts w:eastAsia="Open Sans"/>
          <w:color w:val="000000"/>
        </w:rPr>
        <w:t xml:space="preserve"> through </w:t>
      </w:r>
      <w:r w:rsidR="00D80539">
        <w:rPr>
          <w:rFonts w:eastAsia="Open Sans"/>
          <w:color w:val="000000"/>
        </w:rPr>
        <w:t>PAIMAS</w:t>
      </w:r>
      <w:r>
        <w:rPr>
          <w:rFonts w:eastAsia="Open Sans"/>
          <w:color w:val="000000"/>
        </w:rPr>
        <w:t xml:space="preserve"> negotiations</w:t>
      </w:r>
      <w:r w:rsidR="00D80539">
        <w:rPr>
          <w:rFonts w:eastAsia="Open Sans"/>
          <w:color w:val="000000"/>
        </w:rPr>
        <w:t xml:space="preserve">, we can avoid </w:t>
      </w:r>
      <w:r w:rsidR="0028411C">
        <w:rPr>
          <w:rFonts w:eastAsia="Open Sans"/>
          <w:color w:val="000000"/>
        </w:rPr>
        <w:t xml:space="preserve">future (but absolutely inevitable) </w:t>
      </w:r>
      <w:r w:rsidR="00D80539">
        <w:rPr>
          <w:rFonts w:eastAsia="Open Sans"/>
          <w:color w:val="000000"/>
        </w:rPr>
        <w:t xml:space="preserve">impact on the institutional reputation, </w:t>
      </w:r>
      <w:r>
        <w:rPr>
          <w:rFonts w:eastAsia="Open Sans"/>
          <w:color w:val="000000"/>
        </w:rPr>
        <w:t>elevated resource and capacity consumption,</w:t>
      </w:r>
      <w:r w:rsidR="00110472">
        <w:rPr>
          <w:rFonts w:eastAsia="Open Sans"/>
          <w:color w:val="000000"/>
        </w:rPr>
        <w:t xml:space="preserve"> and </w:t>
      </w:r>
      <w:r>
        <w:rPr>
          <w:rFonts w:eastAsia="Open Sans"/>
          <w:color w:val="000000"/>
        </w:rPr>
        <w:t>an inability to access collections</w:t>
      </w:r>
      <w:r w:rsidR="005D4E10">
        <w:rPr>
          <w:rFonts w:eastAsia="Open Sans"/>
          <w:color w:val="000000"/>
        </w:rPr>
        <w:t xml:space="preserve"> </w:t>
      </w:r>
      <w:r w:rsidR="002E7CAB">
        <w:rPr>
          <w:rFonts w:eastAsia="Open Sans"/>
          <w:color w:val="000000"/>
        </w:rPr>
        <w:t>in the future.</w:t>
      </w:r>
      <w:r w:rsidR="0028411C">
        <w:rPr>
          <w:rFonts w:eastAsia="Open Sans"/>
          <w:color w:val="000000"/>
        </w:rPr>
        <w:t xml:space="preserve">  For these reasons</w:t>
      </w:r>
      <w:r w:rsidR="00A14BD5">
        <w:rPr>
          <w:rFonts w:eastAsia="Open Sans"/>
          <w:color w:val="000000"/>
        </w:rPr>
        <w:t>,</w:t>
      </w:r>
      <w:r w:rsidR="0028411C">
        <w:rPr>
          <w:rFonts w:eastAsia="Open Sans"/>
          <w:color w:val="000000"/>
        </w:rPr>
        <w:t xml:space="preserve"> I </w:t>
      </w:r>
      <w:r w:rsidR="0028411C">
        <w:rPr>
          <w:lang w:val="en-CA"/>
        </w:rPr>
        <w:t xml:space="preserve">thought this work was important to publish </w:t>
      </w:r>
      <w:r w:rsidR="00A14BD5">
        <w:rPr>
          <w:lang w:val="en-CA"/>
        </w:rPr>
        <w:t xml:space="preserve">if </w:t>
      </w:r>
      <w:r w:rsidR="0028411C">
        <w:rPr>
          <w:lang w:val="en-CA"/>
        </w:rPr>
        <w:t xml:space="preserve">conceptually, as </w:t>
      </w:r>
      <w:r w:rsidR="0028411C" w:rsidRPr="00704809">
        <w:rPr>
          <w:lang w:val="en-CA"/>
        </w:rPr>
        <w:t xml:space="preserve">this </w:t>
      </w:r>
      <w:r w:rsidR="0028411C">
        <w:rPr>
          <w:lang w:val="en-CA"/>
        </w:rPr>
        <w:t>approach would be easy to re</w:t>
      </w:r>
      <w:r w:rsidR="00A14BD5">
        <w:rPr>
          <w:lang w:val="en-CA"/>
        </w:rPr>
        <w:t>-</w:t>
      </w:r>
      <w:r w:rsidR="0028411C">
        <w:rPr>
          <w:lang w:val="en-CA"/>
        </w:rPr>
        <w:t>purpose anywhere.  Our LDFR t</w:t>
      </w:r>
      <w:r w:rsidR="0028411C" w:rsidRPr="00704809">
        <w:rPr>
          <w:lang w:val="en-CA"/>
        </w:rPr>
        <w:t xml:space="preserve">ool is driven by </w:t>
      </w:r>
      <w:r w:rsidR="0028411C">
        <w:rPr>
          <w:lang w:val="en-CA"/>
        </w:rPr>
        <w:t xml:space="preserve">DROID and PRONOM, so it is simple to update, and does not require any adjustments to the rolled-out </w:t>
      </w:r>
      <w:r w:rsidR="0028411C" w:rsidRPr="00704809">
        <w:rPr>
          <w:lang w:val="en-CA"/>
        </w:rPr>
        <w:t>tool</w:t>
      </w:r>
      <w:r w:rsidR="0028411C">
        <w:rPr>
          <w:lang w:val="en-CA"/>
        </w:rPr>
        <w:t>.</w:t>
      </w:r>
    </w:p>
    <w:p w14:paraId="11B73A00" w14:textId="77777777" w:rsidR="0028411C" w:rsidRDefault="0028411C" w:rsidP="002841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</w:p>
    <w:p w14:paraId="05ACBBB9" w14:textId="0735E3AA" w:rsidR="0028411C" w:rsidRDefault="0028411C" w:rsidP="002841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Acquiring data we cannot provide access to is against the cardinal </w:t>
      </w:r>
      <w:r w:rsidR="008A5A55">
        <w:rPr>
          <w:rFonts w:eastAsia="Open Sans"/>
          <w:color w:val="000000"/>
        </w:rPr>
        <w:t>rule of digital preservation</w:t>
      </w:r>
      <w:r>
        <w:rPr>
          <w:rFonts w:eastAsia="Open Sans"/>
          <w:color w:val="000000"/>
        </w:rPr>
        <w:t xml:space="preserve">.  All stakeholders should therefore be concerned with data quality.  To ensure informational continuity, digital preservation imposes requirements on data – it must after all, if presumes to </w:t>
      </w:r>
      <w:r w:rsidR="003A1665">
        <w:rPr>
          <w:rFonts w:eastAsia="Open Sans"/>
          <w:color w:val="000000"/>
        </w:rPr>
        <w:t>en</w:t>
      </w:r>
      <w:r>
        <w:rPr>
          <w:rFonts w:eastAsia="Open Sans"/>
          <w:color w:val="000000"/>
        </w:rPr>
        <w:t xml:space="preserve">sure access, </w:t>
      </w:r>
      <w:r>
        <w:rPr>
          <w:rFonts w:eastAsia="Open Sans"/>
          <w:color w:val="000000"/>
        </w:rPr>
        <w:t>be tenable in the long-term</w:t>
      </w:r>
      <w:r>
        <w:rPr>
          <w:rFonts w:eastAsia="Open Sans"/>
          <w:color w:val="000000"/>
        </w:rPr>
        <w:t xml:space="preserve">, or at </w:t>
      </w:r>
      <w:r>
        <w:rPr>
          <w:rFonts w:eastAsia="Open Sans"/>
          <w:color w:val="000000"/>
        </w:rPr>
        <w:t>all sustainable.</w:t>
      </w:r>
    </w:p>
    <w:p w14:paraId="20FC89C3" w14:textId="26AF6ED4" w:rsidR="002E7CAB" w:rsidRDefault="002E7CAB" w:rsidP="002E7CA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lang w:val="en-CA"/>
        </w:rPr>
      </w:pPr>
    </w:p>
    <w:p w14:paraId="079A5913" w14:textId="4A066D23" w:rsidR="002E7CAB" w:rsidRDefault="002E7CAB" w:rsidP="002E7CA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Open Sans"/>
          <w:color w:val="000000"/>
        </w:rPr>
      </w:pPr>
    </w:p>
    <w:p w14:paraId="0000007A" w14:textId="0F9F6285" w:rsidR="009C0F38" w:rsidRDefault="00197815">
      <w:pPr>
        <w:pStyle w:val="Heading4"/>
      </w:pPr>
      <w:r>
        <w:t>ACKNOWLEDGMENT</w:t>
      </w:r>
    </w:p>
    <w:p w14:paraId="22E35A68" w14:textId="3D1617CF" w:rsidR="00197815" w:rsidRDefault="00766489" w:rsidP="0019781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>T</w:t>
      </w:r>
      <w:r w:rsidR="00BF3802">
        <w:rPr>
          <w:rFonts w:eastAsia="Open Sans"/>
          <w:color w:val="000000"/>
        </w:rPr>
        <w:t xml:space="preserve">he highest praise </w:t>
      </w:r>
      <w:r>
        <w:rPr>
          <w:rFonts w:eastAsia="Open Sans"/>
          <w:color w:val="000000"/>
        </w:rPr>
        <w:t xml:space="preserve">is due to the </w:t>
      </w:r>
      <w:r w:rsidR="00BF3802">
        <w:rPr>
          <w:rFonts w:eastAsia="Open Sans"/>
          <w:color w:val="000000"/>
        </w:rPr>
        <w:t xml:space="preserve">warrior women and men comprising the Digital Integration unit at LAC.  I </w:t>
      </w:r>
      <w:r w:rsidR="00C2573E">
        <w:rPr>
          <w:rFonts w:eastAsia="Open Sans"/>
          <w:color w:val="000000"/>
        </w:rPr>
        <w:t xml:space="preserve">remain </w:t>
      </w:r>
      <w:r w:rsidR="00BF3802">
        <w:rPr>
          <w:rFonts w:eastAsia="Open Sans"/>
          <w:color w:val="000000"/>
        </w:rPr>
        <w:t xml:space="preserve">humbled </w:t>
      </w:r>
      <w:r w:rsidR="00C2573E">
        <w:rPr>
          <w:rFonts w:eastAsia="Open Sans"/>
          <w:color w:val="000000"/>
        </w:rPr>
        <w:t xml:space="preserve">and privileged to </w:t>
      </w:r>
      <w:r w:rsidR="00BF3802">
        <w:rPr>
          <w:rFonts w:eastAsia="Open Sans"/>
          <w:color w:val="000000"/>
        </w:rPr>
        <w:t>work with you</w:t>
      </w:r>
      <w:r w:rsidR="00C2573E">
        <w:rPr>
          <w:rFonts w:eastAsia="Open Sans"/>
          <w:color w:val="000000"/>
        </w:rPr>
        <w:t>,</w:t>
      </w:r>
      <w:r w:rsidR="0028411C">
        <w:rPr>
          <w:rFonts w:eastAsia="Open Sans"/>
          <w:color w:val="000000"/>
        </w:rPr>
        <w:t xml:space="preserve"> as has been the case since 2013</w:t>
      </w:r>
      <w:r w:rsidR="00C2573E">
        <w:rPr>
          <w:rFonts w:eastAsia="Open Sans"/>
          <w:color w:val="000000"/>
        </w:rPr>
        <w:t>.  Y</w:t>
      </w:r>
      <w:r w:rsidR="00BF3802">
        <w:rPr>
          <w:rFonts w:eastAsia="Open Sans"/>
          <w:color w:val="000000"/>
        </w:rPr>
        <w:t>our digital curation and web archival expertise are</w:t>
      </w:r>
      <w:r w:rsidR="00A44977">
        <w:rPr>
          <w:rFonts w:eastAsia="Open Sans"/>
          <w:color w:val="000000"/>
        </w:rPr>
        <w:t xml:space="preserve"> unmatched</w:t>
      </w:r>
      <w:r w:rsidR="003057F5">
        <w:rPr>
          <w:rFonts w:eastAsia="Open Sans"/>
          <w:color w:val="000000"/>
        </w:rPr>
        <w:t>, and on day y</w:t>
      </w:r>
      <w:r w:rsidR="00BF3802">
        <w:rPr>
          <w:rFonts w:eastAsia="Open Sans"/>
          <w:color w:val="000000"/>
        </w:rPr>
        <w:t xml:space="preserve">ou </w:t>
      </w:r>
      <w:r w:rsidR="00C2573E">
        <w:rPr>
          <w:rFonts w:eastAsia="Open Sans"/>
          <w:color w:val="000000"/>
        </w:rPr>
        <w:t xml:space="preserve">will be viewed as </w:t>
      </w:r>
      <w:r w:rsidR="00836AAC">
        <w:rPr>
          <w:rFonts w:eastAsia="Open Sans"/>
          <w:color w:val="000000"/>
        </w:rPr>
        <w:t xml:space="preserve">among </w:t>
      </w:r>
      <w:r w:rsidR="00C2573E">
        <w:rPr>
          <w:rFonts w:eastAsia="Open Sans"/>
          <w:color w:val="000000"/>
        </w:rPr>
        <w:t>LAC’s</w:t>
      </w:r>
      <w:r w:rsidR="00BF3802">
        <w:rPr>
          <w:rFonts w:eastAsia="Open Sans"/>
          <w:color w:val="000000"/>
        </w:rPr>
        <w:t xml:space="preserve"> </w:t>
      </w:r>
      <w:r w:rsidR="0057029C">
        <w:rPr>
          <w:rFonts w:eastAsia="Open Sans"/>
          <w:color w:val="000000"/>
        </w:rPr>
        <w:t xml:space="preserve">digital </w:t>
      </w:r>
      <w:r w:rsidR="00BF3802">
        <w:rPr>
          <w:rFonts w:eastAsia="Open Sans"/>
          <w:color w:val="000000"/>
        </w:rPr>
        <w:t>pioneers</w:t>
      </w:r>
      <w:r w:rsidR="003057F5">
        <w:rPr>
          <w:rFonts w:eastAsia="Open Sans"/>
          <w:color w:val="000000"/>
        </w:rPr>
        <w:t>.</w:t>
      </w:r>
    </w:p>
    <w:p w14:paraId="412024B5" w14:textId="4C56F62F" w:rsidR="00C2573E" w:rsidRDefault="00BF3802" w:rsidP="0019781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The work </w:t>
      </w:r>
      <w:r w:rsidR="00836AAC">
        <w:rPr>
          <w:rFonts w:eastAsia="Open Sans"/>
          <w:color w:val="000000"/>
        </w:rPr>
        <w:t xml:space="preserve">underpinning this </w:t>
      </w:r>
      <w:r>
        <w:rPr>
          <w:rFonts w:eastAsia="Open Sans"/>
          <w:color w:val="000000"/>
        </w:rPr>
        <w:t xml:space="preserve">paper was conducted </w:t>
      </w:r>
      <w:r w:rsidR="00C2573E">
        <w:rPr>
          <w:rFonts w:eastAsia="Open Sans"/>
          <w:color w:val="000000"/>
        </w:rPr>
        <w:t xml:space="preserve">in tandem with </w:t>
      </w:r>
      <w:r>
        <w:rPr>
          <w:rFonts w:eastAsia="Open Sans"/>
          <w:color w:val="000000"/>
        </w:rPr>
        <w:t>Maxime Champagne</w:t>
      </w:r>
      <w:r w:rsidR="00C2573E">
        <w:rPr>
          <w:rFonts w:eastAsia="Open Sans"/>
          <w:color w:val="000000"/>
        </w:rPr>
        <w:t xml:space="preserve"> and the </w:t>
      </w:r>
      <w:r w:rsidR="00C2573E" w:rsidRPr="00C2573E">
        <w:rPr>
          <w:rFonts w:eastAsia="Open Sans"/>
          <w:i/>
          <w:color w:val="000000"/>
        </w:rPr>
        <w:t>berserkers</w:t>
      </w:r>
      <w:r w:rsidR="00C2573E">
        <w:rPr>
          <w:rFonts w:eastAsia="Open Sans"/>
          <w:color w:val="000000"/>
        </w:rPr>
        <w:t xml:space="preserve"> of the Digital Preservation unit</w:t>
      </w:r>
      <w:r>
        <w:rPr>
          <w:rFonts w:eastAsia="Open Sans"/>
          <w:color w:val="000000"/>
        </w:rPr>
        <w:t>,</w:t>
      </w:r>
      <w:r w:rsidR="00C2573E">
        <w:rPr>
          <w:rFonts w:eastAsia="Open Sans"/>
          <w:color w:val="000000"/>
        </w:rPr>
        <w:t xml:space="preserve"> who do a great deal of heavy lifting on a daily basis.  I am </w:t>
      </w:r>
      <w:r w:rsidR="000432E6">
        <w:rPr>
          <w:rFonts w:eastAsia="Open Sans"/>
          <w:color w:val="000000"/>
        </w:rPr>
        <w:t>honored</w:t>
      </w:r>
      <w:r w:rsidR="00C2573E">
        <w:rPr>
          <w:rFonts w:eastAsia="Open Sans"/>
          <w:color w:val="000000"/>
        </w:rPr>
        <w:t xml:space="preserve"> to </w:t>
      </w:r>
      <w:bookmarkStart w:id="0" w:name="_GoBack"/>
      <w:bookmarkEnd w:id="0"/>
      <w:r w:rsidR="00C2573E">
        <w:rPr>
          <w:rFonts w:eastAsia="Open Sans"/>
          <w:color w:val="000000"/>
        </w:rPr>
        <w:t>work with you.</w:t>
      </w:r>
    </w:p>
    <w:p w14:paraId="32FD3967" w14:textId="77777777" w:rsidR="00836AAC" w:rsidRDefault="00836AAC" w:rsidP="0019781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rFonts w:eastAsia="Open Sans"/>
          <w:color w:val="000000"/>
        </w:rPr>
      </w:pPr>
    </w:p>
    <w:p w14:paraId="0000007D" w14:textId="77777777" w:rsidR="009C0F38" w:rsidRDefault="00D142B4">
      <w:pPr>
        <w:pStyle w:val="Heading1"/>
      </w:pPr>
      <w:r>
        <w:t>REFERENCES</w:t>
      </w:r>
    </w:p>
    <w:p w14:paraId="63C6AA2B" w14:textId="56451247" w:rsidR="00986038" w:rsidRPr="003E37D1" w:rsidRDefault="008145BE" w:rsidP="00814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The National Archives. </w:t>
      </w:r>
      <w:r w:rsidRPr="008145BE">
        <w:rPr>
          <w:i/>
          <w:sz w:val="16"/>
          <w:szCs w:val="16"/>
        </w:rPr>
        <w:t>Digital Record Object Identification Software Tool (DROID).</w:t>
      </w:r>
      <w:r>
        <w:rPr>
          <w:sz w:val="16"/>
          <w:szCs w:val="16"/>
        </w:rPr>
        <w:t xml:space="preserve"> </w:t>
      </w:r>
      <w:r w:rsidRPr="008145BE">
        <w:rPr>
          <w:sz w:val="16"/>
          <w:szCs w:val="16"/>
        </w:rPr>
        <w:t>https://www.nationalarchives.gov.uk/information-management/manage-information/preserving-digital-records/droid/</w:t>
      </w:r>
    </w:p>
    <w:p w14:paraId="32786F6F" w14:textId="65E3F9E9" w:rsidR="00986038" w:rsidRPr="003E37D1" w:rsidRDefault="008145BE" w:rsidP="00814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8145BE">
        <w:rPr>
          <w:rFonts w:ascii="Lucida Grande" w:hAnsi="Lucida Grande"/>
          <w:sz w:val="16"/>
          <w:szCs w:val="16"/>
        </w:rPr>
        <w:t>Canadian Centre for Architecture and Tessa Walsh</w:t>
      </w:r>
      <w:r>
        <w:rPr>
          <w:rFonts w:ascii="Lucida Grande" w:hAnsi="Lucida Grande"/>
          <w:sz w:val="16"/>
          <w:szCs w:val="16"/>
        </w:rPr>
        <w:t xml:space="preserve">. </w:t>
      </w:r>
      <w:r w:rsidR="00986038" w:rsidRPr="008145BE">
        <w:rPr>
          <w:rFonts w:ascii="Lucida Grande" w:hAnsi="Lucida Grande"/>
          <w:i/>
          <w:sz w:val="16"/>
          <w:szCs w:val="16"/>
        </w:rPr>
        <w:t>Brunnhilde: Si</w:t>
      </w:r>
      <w:r w:rsidR="00986038" w:rsidRPr="008145BE">
        <w:rPr>
          <w:rFonts w:ascii="Lucida Grande" w:hAnsi="Lucida Grande"/>
          <w:i/>
          <w:sz w:val="16"/>
          <w:szCs w:val="16"/>
        </w:rPr>
        <w:t>e</w:t>
      </w:r>
      <w:r w:rsidR="00986038" w:rsidRPr="008145BE">
        <w:rPr>
          <w:rFonts w:ascii="Lucida Grande" w:hAnsi="Lucida Grande"/>
          <w:i/>
          <w:sz w:val="16"/>
          <w:szCs w:val="16"/>
        </w:rPr>
        <w:t>gfried-based characterization tool for directories and disk images</w:t>
      </w:r>
      <w:r w:rsidRPr="008145BE">
        <w:rPr>
          <w:rFonts w:ascii="Lucida Grande" w:hAnsi="Lucida Grande"/>
          <w:i/>
          <w:sz w:val="16"/>
          <w:szCs w:val="16"/>
        </w:rPr>
        <w:t>.</w:t>
      </w:r>
      <w:r w:rsidRPr="008145BE">
        <w:t xml:space="preserve"> </w:t>
      </w:r>
      <w:r w:rsidRPr="008145BE">
        <w:rPr>
          <w:rStyle w:val="Hyperlink"/>
          <w:sz w:val="16"/>
          <w:szCs w:val="16"/>
        </w:rPr>
        <w:t>https://github.com/tw4l/brunnhilde</w:t>
      </w:r>
    </w:p>
    <w:p w14:paraId="06CDBFE8" w14:textId="7BCAB93B" w:rsidR="00986038" w:rsidRPr="003E37D1" w:rsidRDefault="008145BE" w:rsidP="00814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Lucida Grande" w:hAnsi="Lucida Grande"/>
          <w:sz w:val="16"/>
          <w:szCs w:val="16"/>
        </w:rPr>
        <w:t xml:space="preserve">Harvard University and </w:t>
      </w:r>
      <w:r w:rsidRPr="008145BE">
        <w:rPr>
          <w:rFonts w:ascii="Lucida Grande" w:hAnsi="Lucida Grande"/>
          <w:sz w:val="16"/>
          <w:szCs w:val="16"/>
        </w:rPr>
        <w:t>Open Preservation Foundation</w:t>
      </w:r>
      <w:r>
        <w:rPr>
          <w:rFonts w:ascii="Lucida Grande" w:hAnsi="Lucida Grande"/>
          <w:sz w:val="16"/>
          <w:szCs w:val="16"/>
        </w:rPr>
        <w:t xml:space="preserve">. </w:t>
      </w:r>
      <w:r w:rsidRPr="008145BE">
        <w:rPr>
          <w:rFonts w:ascii="Lucida Grande" w:hAnsi="Lucida Grande"/>
          <w:sz w:val="16"/>
          <w:szCs w:val="16"/>
        </w:rPr>
        <w:t xml:space="preserve"> </w:t>
      </w:r>
      <w:r w:rsidR="00986038" w:rsidRPr="008145BE">
        <w:rPr>
          <w:rFonts w:ascii="Lucida Grande" w:hAnsi="Lucida Grande"/>
          <w:i/>
          <w:sz w:val="16"/>
          <w:szCs w:val="16"/>
        </w:rPr>
        <w:t>JHOVE Harvar</w:t>
      </w:r>
      <w:r w:rsidR="00986038" w:rsidRPr="008145BE">
        <w:rPr>
          <w:rFonts w:ascii="Lucida Grande" w:hAnsi="Lucida Grande"/>
          <w:i/>
          <w:sz w:val="16"/>
          <w:szCs w:val="16"/>
        </w:rPr>
        <w:t>d</w:t>
      </w:r>
      <w:r w:rsidR="00986038" w:rsidRPr="008145BE">
        <w:rPr>
          <w:rFonts w:ascii="Lucida Grande" w:hAnsi="Lucida Grande"/>
          <w:i/>
          <w:sz w:val="16"/>
          <w:szCs w:val="16"/>
        </w:rPr>
        <w:t xml:space="preserve"> Object Validation Environment</w:t>
      </w:r>
      <w:r>
        <w:rPr>
          <w:rFonts w:ascii="Lucida Grande" w:hAnsi="Lucida Grande"/>
          <w:i/>
          <w:sz w:val="16"/>
          <w:szCs w:val="16"/>
        </w:rPr>
        <w:t xml:space="preserve">. </w:t>
      </w:r>
      <w:r w:rsidRPr="008145BE">
        <w:rPr>
          <w:rFonts w:ascii="Lucida Grande" w:hAnsi="Lucida Grande"/>
          <w:i/>
          <w:sz w:val="16"/>
          <w:szCs w:val="16"/>
        </w:rPr>
        <w:t>https://jhove.openpreservation.org/#:~:text=JHOVE%20is%20a%20file%20format,A%20command%2Dline%20interface</w:t>
      </w:r>
      <w:r w:rsidR="00986038" w:rsidRPr="008145BE">
        <w:rPr>
          <w:rFonts w:ascii="Lucida Grande" w:hAnsi="Lucida Grande"/>
          <w:sz w:val="16"/>
          <w:szCs w:val="16"/>
        </w:rPr>
        <w:t xml:space="preserve"> </w:t>
      </w:r>
    </w:p>
    <w:p w14:paraId="2D5C753B" w14:textId="263CC4F4" w:rsidR="008145BE" w:rsidRPr="008145BE" w:rsidRDefault="008145BE" w:rsidP="00814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>The National Archives.</w:t>
      </w:r>
      <w:r>
        <w:rPr>
          <w:sz w:val="16"/>
          <w:szCs w:val="16"/>
        </w:rPr>
        <w:t xml:space="preserve">  </w:t>
      </w:r>
      <w:r w:rsidRPr="008145BE">
        <w:rPr>
          <w:i/>
          <w:sz w:val="16"/>
          <w:szCs w:val="16"/>
        </w:rPr>
        <w:t xml:space="preserve">PRONOM. </w:t>
      </w:r>
      <w:r w:rsidRPr="008145BE">
        <w:rPr>
          <w:rFonts w:ascii="Lucida Grande" w:hAnsi="Lucida Grande"/>
          <w:sz w:val="16"/>
          <w:szCs w:val="16"/>
        </w:rPr>
        <w:t>https://www.nationalarchives.gov.uk/PRONOM/Default.aspx</w:t>
      </w:r>
    </w:p>
    <w:p w14:paraId="00000089" w14:textId="42064E7A" w:rsidR="009C0F38" w:rsidRPr="003E37D1" w:rsidRDefault="003E37D1" w:rsidP="00814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8145BE">
        <w:rPr>
          <w:rFonts w:ascii="Lucida Grande" w:hAnsi="Lucida Grande"/>
          <w:sz w:val="16"/>
          <w:szCs w:val="16"/>
        </w:rPr>
        <w:t>N</w:t>
      </w:r>
      <w:r w:rsidR="008145BE">
        <w:rPr>
          <w:rFonts w:ascii="Lucida Grande" w:hAnsi="Lucida Grande"/>
          <w:sz w:val="16"/>
          <w:szCs w:val="16"/>
        </w:rPr>
        <w:t xml:space="preserve">ational Digital Stewardship Alliance (NDSA).  </w:t>
      </w:r>
      <w:r w:rsidRPr="008145BE">
        <w:rPr>
          <w:rFonts w:ascii="Lucida Grande" w:hAnsi="Lucida Grande"/>
          <w:i/>
          <w:sz w:val="16"/>
          <w:szCs w:val="16"/>
        </w:rPr>
        <w:t>Levels of Di</w:t>
      </w:r>
      <w:r w:rsidRPr="008145BE">
        <w:rPr>
          <w:rFonts w:ascii="Lucida Grande" w:hAnsi="Lucida Grande"/>
          <w:i/>
          <w:sz w:val="16"/>
          <w:szCs w:val="16"/>
        </w:rPr>
        <w:t>g</w:t>
      </w:r>
      <w:r w:rsidRPr="008145BE">
        <w:rPr>
          <w:rFonts w:ascii="Lucida Grande" w:hAnsi="Lucida Grande"/>
          <w:i/>
          <w:sz w:val="16"/>
          <w:szCs w:val="16"/>
        </w:rPr>
        <w:t>ital Preservation</w:t>
      </w:r>
      <w:r w:rsidR="008145BE">
        <w:rPr>
          <w:rFonts w:ascii="Lucida Grande" w:hAnsi="Lucida Grande"/>
          <w:sz w:val="16"/>
          <w:szCs w:val="16"/>
        </w:rPr>
        <w:t xml:space="preserve">. </w:t>
      </w:r>
      <w:r w:rsidR="008145BE" w:rsidRPr="008145BE">
        <w:rPr>
          <w:rFonts w:ascii="Lucida Grande" w:hAnsi="Lucida Grande"/>
          <w:sz w:val="16"/>
          <w:szCs w:val="16"/>
        </w:rPr>
        <w:t>https://ndsa.org/publications/levels-of-digital-preservation/</w:t>
      </w:r>
    </w:p>
    <w:sectPr w:rsidR="009C0F38" w:rsidRPr="003E37D1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3AECE" w14:textId="77777777" w:rsidR="001C4F2E" w:rsidRDefault="001C4F2E">
      <w:r>
        <w:separator/>
      </w:r>
    </w:p>
  </w:endnote>
  <w:endnote w:type="continuationSeparator" w:id="0">
    <w:p w14:paraId="13CB41DC" w14:textId="77777777" w:rsidR="001C4F2E" w:rsidRDefault="001C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 Sans">
    <w:altName w:val="Times New Roman"/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B" w14:textId="77777777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0000008C" w14:textId="77777777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8D" w14:textId="77777777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8E" w14:textId="77777777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77777777" w:rsidR="00E902FB" w:rsidRPr="005F30BD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Merriweather Sans"/>
        <w:color w:val="000000"/>
        <w:sz w:val="16"/>
        <w:szCs w:val="16"/>
      </w:rPr>
    </w:pPr>
    <w:r w:rsidRPr="00D73CF9">
      <w:rPr>
        <w:rFonts w:ascii="Merriweather Sans" w:eastAsia="Merriweather Sans" w:hAnsi="Merriweather Sans" w:cs="Merriweather Sans"/>
        <w:b/>
        <w:bCs/>
        <w:color w:val="000000"/>
        <w:sz w:val="16"/>
        <w:szCs w:val="16"/>
      </w:rPr>
      <w:t>i</w:t>
    </w:r>
    <w:r w:rsidRPr="00D73CF9">
      <w:rPr>
        <w:rFonts w:eastAsia="Merriweather Sans"/>
        <w:b/>
        <w:bCs/>
        <w:color w:val="000000"/>
        <w:sz w:val="16"/>
        <w:szCs w:val="16"/>
      </w:rPr>
      <w:t>Pres 2022:</w:t>
    </w:r>
    <w:r w:rsidRPr="005F30BD">
      <w:rPr>
        <w:rFonts w:eastAsia="Merriweather Sans"/>
        <w:color w:val="000000"/>
        <w:sz w:val="16"/>
        <w:szCs w:val="16"/>
      </w:rPr>
      <w:t xml:space="preserve"> The 18th International Conference on Digital Preservation</w:t>
    </w:r>
    <w:r w:rsidRPr="005F30BD">
      <w:rPr>
        <w:rFonts w:eastAsia="Open Sans"/>
        <w:color w:val="000000"/>
        <w:sz w:val="16"/>
        <w:szCs w:val="16"/>
      </w:rPr>
      <w:tab/>
    </w:r>
  </w:p>
  <w:p w14:paraId="00000092" w14:textId="77777777" w:rsidR="00E902FB" w:rsidRPr="00D73CF9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Merriweather Sans"/>
        <w:b/>
        <w:bCs/>
        <w:color w:val="000000"/>
        <w:sz w:val="16"/>
        <w:szCs w:val="16"/>
      </w:rPr>
    </w:pPr>
    <w:r w:rsidRPr="00D73CF9">
      <w:rPr>
        <w:rFonts w:eastAsia="Merriweather Sans"/>
        <w:b/>
        <w:bCs/>
        <w:color w:val="000000"/>
        <w:sz w:val="16"/>
        <w:szCs w:val="16"/>
      </w:rPr>
      <w:t>September 12-16, 2022, Glasgow, Scotland.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F" w14:textId="77777777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  <w:r>
      <w:rPr>
        <w:rFonts w:eastAsia="Open Sans"/>
        <w:color w:val="000000"/>
        <w:sz w:val="16"/>
        <w:szCs w:val="16"/>
      </w:rPr>
      <w:t xml:space="preserve">iPres 2022: The 18th International Conference on Digital Preservation, Glasgow, Scotland. </w:t>
    </w: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hidden="0" allowOverlap="1" wp14:anchorId="7975F413" wp14:editId="3D217CA8">
          <wp:simplePos x="0" y="0"/>
          <wp:positionH relativeFrom="column">
            <wp:posOffset>5182235</wp:posOffset>
          </wp:positionH>
          <wp:positionV relativeFrom="paragraph">
            <wp:posOffset>10795</wp:posOffset>
          </wp:positionV>
          <wp:extent cx="1398270" cy="830467"/>
          <wp:effectExtent l="0" t="0" r="0" b="0"/>
          <wp:wrapNone/>
          <wp:docPr id="7" name="image3.jpg" descr="Diagram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iagram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0" cy="83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90" w14:textId="77777777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  <w:r>
      <w:rPr>
        <w:rFonts w:eastAsia="Open Sans"/>
        <w:color w:val="000000"/>
        <w:sz w:val="16"/>
        <w:szCs w:val="16"/>
      </w:rPr>
      <w:t xml:space="preserve">Copyright held by the author(s). The text of this paper is published </w:t>
    </w:r>
    <w:r>
      <w:rPr>
        <w:rFonts w:eastAsia="Open Sans"/>
        <w:color w:val="000000"/>
        <w:sz w:val="16"/>
        <w:szCs w:val="16"/>
      </w:rPr>
      <w:br/>
      <w:t>under a CC BY-SA license (https://creativecommons.org/licenses/by/4.0/).</w:t>
    </w:r>
    <w:r>
      <w:rPr>
        <w:rFonts w:eastAsia="Open Sans"/>
        <w:color w:val="000000"/>
        <w:sz w:val="16"/>
        <w:szCs w:val="16"/>
      </w:rPr>
      <w:br/>
      <w:t xml:space="preserve">DOI: 10.1145/nnnnnnn.nnnnnnn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C32C" w14:textId="77777777" w:rsidR="001C4F2E" w:rsidRDefault="001C4F2E">
      <w:r>
        <w:separator/>
      </w:r>
    </w:p>
  </w:footnote>
  <w:footnote w:type="continuationSeparator" w:id="0">
    <w:p w14:paraId="5144A5E3" w14:textId="77777777" w:rsidR="001C4F2E" w:rsidRDefault="001C4F2E">
      <w:r>
        <w:continuationSeparator/>
      </w:r>
    </w:p>
  </w:footnote>
  <w:footnote w:id="1">
    <w:p w14:paraId="1314E885" w14:textId="10B5AFBB" w:rsidR="007B742D" w:rsidRPr="004D1873" w:rsidRDefault="007B742D" w:rsidP="007B742D">
      <w:pPr>
        <w:pStyle w:val="FootnoteText"/>
        <w:rPr>
          <w:lang w:val="en-CA"/>
        </w:rPr>
      </w:pPr>
      <w:r w:rsidRPr="008145BE">
        <w:rPr>
          <w:rStyle w:val="FootnoteReference"/>
          <w:sz w:val="18"/>
        </w:rPr>
        <w:footnoteRef/>
      </w:r>
      <w:r w:rsidRPr="008145BE">
        <w:rPr>
          <w:sz w:val="18"/>
        </w:rPr>
        <w:t xml:space="preserve"> </w:t>
      </w:r>
      <w:r w:rsidR="008145BE">
        <w:rPr>
          <w:sz w:val="18"/>
        </w:rPr>
        <w:t xml:space="preserve">Our vision for a DP services catalogue was </w:t>
      </w:r>
      <w:r w:rsidR="008145BE">
        <w:rPr>
          <w:sz w:val="18"/>
          <w:lang w:val="en-CA"/>
        </w:rPr>
        <w:t>i</w:t>
      </w:r>
      <w:r w:rsidRPr="008145BE">
        <w:rPr>
          <w:sz w:val="18"/>
          <w:lang w:val="en-CA"/>
        </w:rPr>
        <w:t>nspired by the NDSA Levels of Digital Preservation Treatment.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A" w14:textId="3037C461" w:rsidR="00E902FB" w:rsidRDefault="00E902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110"/>
      <w:jc w:val="right"/>
      <w:rPr>
        <w:rFonts w:eastAsia="Open Sans"/>
        <w:color w:val="000000"/>
      </w:rPr>
    </w:pPr>
    <w:r>
      <w:fldChar w:fldCharType="begin"/>
    </w:r>
    <w:r>
      <w:instrText>PAGE</w:instrText>
    </w:r>
    <w:r>
      <w:fldChar w:fldCharType="separate"/>
    </w:r>
    <w:r w:rsidR="007B580A">
      <w:rPr>
        <w:noProof/>
      </w:rPr>
      <w:t>4</w:t>
    </w:r>
    <w:r>
      <w:fldChar w:fldCharType="end"/>
    </w:r>
    <w:r>
      <w:t xml:space="preserve"> of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3" w14:textId="60F509E1" w:rsidR="00E902FB" w:rsidRDefault="00E902FB">
    <w:pPr>
      <w:jc w:val="right"/>
    </w:pPr>
    <w:r>
      <w:fldChar w:fldCharType="begin"/>
    </w:r>
    <w:r>
      <w:instrText>PAGE</w:instrText>
    </w:r>
    <w:r>
      <w:fldChar w:fldCharType="separate"/>
    </w:r>
    <w:r w:rsidR="007B580A">
      <w:rPr>
        <w:noProof/>
      </w:rPr>
      <w:t>1</w:t>
    </w:r>
    <w:r>
      <w:fldChar w:fldCharType="end"/>
    </w:r>
    <w:r w:rsidR="00910D81">
      <w:t xml:space="preserve"> </w:t>
    </w:r>
    <w:r>
      <w:t xml:space="preserve">of 4 </w:t>
    </w:r>
  </w:p>
  <w:p w14:paraId="00000094" w14:textId="77777777" w:rsidR="00E902FB" w:rsidRDefault="00E90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821"/>
    <w:multiLevelType w:val="multilevel"/>
    <w:tmpl w:val="2B5259C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AD12A2"/>
    <w:multiLevelType w:val="multilevel"/>
    <w:tmpl w:val="F74258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53344B50"/>
    <w:multiLevelType w:val="multilevel"/>
    <w:tmpl w:val="F45E72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524EF1"/>
    <w:multiLevelType w:val="multilevel"/>
    <w:tmpl w:val="6E5072C4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38"/>
    <w:rsid w:val="00022C61"/>
    <w:rsid w:val="000246CB"/>
    <w:rsid w:val="00035F72"/>
    <w:rsid w:val="000363F8"/>
    <w:rsid w:val="000432E6"/>
    <w:rsid w:val="00046066"/>
    <w:rsid w:val="0004684F"/>
    <w:rsid w:val="00046ADB"/>
    <w:rsid w:val="00050525"/>
    <w:rsid w:val="000535E0"/>
    <w:rsid w:val="0006012B"/>
    <w:rsid w:val="0006032F"/>
    <w:rsid w:val="000664E9"/>
    <w:rsid w:val="000840BE"/>
    <w:rsid w:val="00090FBA"/>
    <w:rsid w:val="000916B3"/>
    <w:rsid w:val="00091D1F"/>
    <w:rsid w:val="000950D9"/>
    <w:rsid w:val="0009545D"/>
    <w:rsid w:val="000A240D"/>
    <w:rsid w:val="000A326F"/>
    <w:rsid w:val="000B0DC9"/>
    <w:rsid w:val="000B5174"/>
    <w:rsid w:val="000C67D5"/>
    <w:rsid w:val="000D0744"/>
    <w:rsid w:val="000D3C19"/>
    <w:rsid w:val="000E1B21"/>
    <w:rsid w:val="000F1CB9"/>
    <w:rsid w:val="000F2138"/>
    <w:rsid w:val="000F582B"/>
    <w:rsid w:val="000F5922"/>
    <w:rsid w:val="00105EA7"/>
    <w:rsid w:val="00110472"/>
    <w:rsid w:val="001131F5"/>
    <w:rsid w:val="0015011B"/>
    <w:rsid w:val="0015058F"/>
    <w:rsid w:val="001546A0"/>
    <w:rsid w:val="00157829"/>
    <w:rsid w:val="00171025"/>
    <w:rsid w:val="0017389F"/>
    <w:rsid w:val="0019021E"/>
    <w:rsid w:val="00197463"/>
    <w:rsid w:val="00197815"/>
    <w:rsid w:val="001A24F1"/>
    <w:rsid w:val="001A5A67"/>
    <w:rsid w:val="001A7033"/>
    <w:rsid w:val="001B10C8"/>
    <w:rsid w:val="001B1D56"/>
    <w:rsid w:val="001B5423"/>
    <w:rsid w:val="001B7B4B"/>
    <w:rsid w:val="001C4F2E"/>
    <w:rsid w:val="001C6C58"/>
    <w:rsid w:val="001E0755"/>
    <w:rsid w:val="001F1207"/>
    <w:rsid w:val="001F37E7"/>
    <w:rsid w:val="0020427B"/>
    <w:rsid w:val="00216FFC"/>
    <w:rsid w:val="00223C3D"/>
    <w:rsid w:val="00224CCB"/>
    <w:rsid w:val="00224E75"/>
    <w:rsid w:val="00231CA9"/>
    <w:rsid w:val="0023297C"/>
    <w:rsid w:val="00254F8A"/>
    <w:rsid w:val="00266FA4"/>
    <w:rsid w:val="00274C56"/>
    <w:rsid w:val="002805F9"/>
    <w:rsid w:val="00280AE4"/>
    <w:rsid w:val="0028411C"/>
    <w:rsid w:val="00284C40"/>
    <w:rsid w:val="00297314"/>
    <w:rsid w:val="002977B5"/>
    <w:rsid w:val="002A43EA"/>
    <w:rsid w:val="002C09F0"/>
    <w:rsid w:val="002E1C57"/>
    <w:rsid w:val="002E7CAB"/>
    <w:rsid w:val="002E7D88"/>
    <w:rsid w:val="002F00D2"/>
    <w:rsid w:val="003057F5"/>
    <w:rsid w:val="0031215D"/>
    <w:rsid w:val="00314049"/>
    <w:rsid w:val="00322018"/>
    <w:rsid w:val="00327CE3"/>
    <w:rsid w:val="00342524"/>
    <w:rsid w:val="00364D27"/>
    <w:rsid w:val="00367FBB"/>
    <w:rsid w:val="00374C36"/>
    <w:rsid w:val="00376817"/>
    <w:rsid w:val="00377310"/>
    <w:rsid w:val="003866A5"/>
    <w:rsid w:val="00386D80"/>
    <w:rsid w:val="003939CC"/>
    <w:rsid w:val="003A1665"/>
    <w:rsid w:val="003A1E79"/>
    <w:rsid w:val="003A7EE9"/>
    <w:rsid w:val="003B2780"/>
    <w:rsid w:val="003B2EEA"/>
    <w:rsid w:val="003B3C18"/>
    <w:rsid w:val="003B4138"/>
    <w:rsid w:val="003B47F4"/>
    <w:rsid w:val="003C4228"/>
    <w:rsid w:val="003C598D"/>
    <w:rsid w:val="003C7F0B"/>
    <w:rsid w:val="003D286F"/>
    <w:rsid w:val="003D41E2"/>
    <w:rsid w:val="003D5DCD"/>
    <w:rsid w:val="003E26AE"/>
    <w:rsid w:val="003E37D1"/>
    <w:rsid w:val="003F3D42"/>
    <w:rsid w:val="00400B8B"/>
    <w:rsid w:val="00420BC7"/>
    <w:rsid w:val="00420DAB"/>
    <w:rsid w:val="00425F6D"/>
    <w:rsid w:val="00434CD2"/>
    <w:rsid w:val="004352C3"/>
    <w:rsid w:val="004370AC"/>
    <w:rsid w:val="00443AB7"/>
    <w:rsid w:val="00450D38"/>
    <w:rsid w:val="00454CE8"/>
    <w:rsid w:val="0045510C"/>
    <w:rsid w:val="004642CE"/>
    <w:rsid w:val="004A01E5"/>
    <w:rsid w:val="004A61A1"/>
    <w:rsid w:val="004A6969"/>
    <w:rsid w:val="004A7D6A"/>
    <w:rsid w:val="004B17DD"/>
    <w:rsid w:val="004B6F33"/>
    <w:rsid w:val="004C0B0B"/>
    <w:rsid w:val="004C0E71"/>
    <w:rsid w:val="004C2B71"/>
    <w:rsid w:val="004C39C3"/>
    <w:rsid w:val="004C40CF"/>
    <w:rsid w:val="004D1873"/>
    <w:rsid w:val="004D2A7A"/>
    <w:rsid w:val="004D4475"/>
    <w:rsid w:val="004F4A76"/>
    <w:rsid w:val="0050330A"/>
    <w:rsid w:val="005034BD"/>
    <w:rsid w:val="00503EC7"/>
    <w:rsid w:val="00506A1C"/>
    <w:rsid w:val="005078FC"/>
    <w:rsid w:val="00513660"/>
    <w:rsid w:val="00514BE1"/>
    <w:rsid w:val="005274B7"/>
    <w:rsid w:val="005358F5"/>
    <w:rsid w:val="00535F85"/>
    <w:rsid w:val="00540927"/>
    <w:rsid w:val="005434B8"/>
    <w:rsid w:val="005473D1"/>
    <w:rsid w:val="0055105B"/>
    <w:rsid w:val="005526F7"/>
    <w:rsid w:val="00561C6D"/>
    <w:rsid w:val="005644D5"/>
    <w:rsid w:val="0057029C"/>
    <w:rsid w:val="005720B6"/>
    <w:rsid w:val="00573372"/>
    <w:rsid w:val="00574C13"/>
    <w:rsid w:val="005751EB"/>
    <w:rsid w:val="00577A44"/>
    <w:rsid w:val="00586E44"/>
    <w:rsid w:val="00590F96"/>
    <w:rsid w:val="0059389C"/>
    <w:rsid w:val="00594B01"/>
    <w:rsid w:val="005A191F"/>
    <w:rsid w:val="005A22DF"/>
    <w:rsid w:val="005A4E41"/>
    <w:rsid w:val="005B2E6F"/>
    <w:rsid w:val="005D494E"/>
    <w:rsid w:val="005D4E10"/>
    <w:rsid w:val="005D6F72"/>
    <w:rsid w:val="005E5CD2"/>
    <w:rsid w:val="005E5FA9"/>
    <w:rsid w:val="005F1CE2"/>
    <w:rsid w:val="005F2696"/>
    <w:rsid w:val="005F30BD"/>
    <w:rsid w:val="005F6ECC"/>
    <w:rsid w:val="00605C38"/>
    <w:rsid w:val="00607D55"/>
    <w:rsid w:val="0063578D"/>
    <w:rsid w:val="0066129B"/>
    <w:rsid w:val="00667DAA"/>
    <w:rsid w:val="00670801"/>
    <w:rsid w:val="00670B64"/>
    <w:rsid w:val="00674132"/>
    <w:rsid w:val="006760BD"/>
    <w:rsid w:val="0068165D"/>
    <w:rsid w:val="00684F59"/>
    <w:rsid w:val="00685E6C"/>
    <w:rsid w:val="006954B9"/>
    <w:rsid w:val="006B73B2"/>
    <w:rsid w:val="006C047B"/>
    <w:rsid w:val="006C1167"/>
    <w:rsid w:val="006D1704"/>
    <w:rsid w:val="006E3402"/>
    <w:rsid w:val="006E3927"/>
    <w:rsid w:val="006F2E7E"/>
    <w:rsid w:val="006F652E"/>
    <w:rsid w:val="006F70E5"/>
    <w:rsid w:val="007012A0"/>
    <w:rsid w:val="00704809"/>
    <w:rsid w:val="00706AC2"/>
    <w:rsid w:val="00711BAE"/>
    <w:rsid w:val="00720257"/>
    <w:rsid w:val="007444CB"/>
    <w:rsid w:val="00744C41"/>
    <w:rsid w:val="00751006"/>
    <w:rsid w:val="00751F82"/>
    <w:rsid w:val="0075711D"/>
    <w:rsid w:val="00761366"/>
    <w:rsid w:val="0076553C"/>
    <w:rsid w:val="00766489"/>
    <w:rsid w:val="0077390E"/>
    <w:rsid w:val="00773F3F"/>
    <w:rsid w:val="0077668C"/>
    <w:rsid w:val="00790BEF"/>
    <w:rsid w:val="007936AA"/>
    <w:rsid w:val="007A397F"/>
    <w:rsid w:val="007B580A"/>
    <w:rsid w:val="007B742D"/>
    <w:rsid w:val="007C0BF2"/>
    <w:rsid w:val="007D5713"/>
    <w:rsid w:val="007D6E6E"/>
    <w:rsid w:val="007E3376"/>
    <w:rsid w:val="007E6CE5"/>
    <w:rsid w:val="007E7DB1"/>
    <w:rsid w:val="007F31C8"/>
    <w:rsid w:val="007F39AF"/>
    <w:rsid w:val="007F4C00"/>
    <w:rsid w:val="007F578D"/>
    <w:rsid w:val="00800314"/>
    <w:rsid w:val="008145BE"/>
    <w:rsid w:val="0083194D"/>
    <w:rsid w:val="00836AAC"/>
    <w:rsid w:val="00843A09"/>
    <w:rsid w:val="008637AA"/>
    <w:rsid w:val="00867890"/>
    <w:rsid w:val="0087180F"/>
    <w:rsid w:val="00872B71"/>
    <w:rsid w:val="0088688E"/>
    <w:rsid w:val="008876DF"/>
    <w:rsid w:val="00890EF3"/>
    <w:rsid w:val="008915BC"/>
    <w:rsid w:val="0089384D"/>
    <w:rsid w:val="008961A3"/>
    <w:rsid w:val="008A5A55"/>
    <w:rsid w:val="008B0A30"/>
    <w:rsid w:val="008B44B2"/>
    <w:rsid w:val="008C200C"/>
    <w:rsid w:val="008C48F4"/>
    <w:rsid w:val="008C70C0"/>
    <w:rsid w:val="008D58DD"/>
    <w:rsid w:val="008D7907"/>
    <w:rsid w:val="008E3654"/>
    <w:rsid w:val="008F4AE2"/>
    <w:rsid w:val="00903B37"/>
    <w:rsid w:val="00910D81"/>
    <w:rsid w:val="009110B6"/>
    <w:rsid w:val="00936498"/>
    <w:rsid w:val="00942B6C"/>
    <w:rsid w:val="0094325E"/>
    <w:rsid w:val="009473E6"/>
    <w:rsid w:val="00953F89"/>
    <w:rsid w:val="0095436F"/>
    <w:rsid w:val="00955A36"/>
    <w:rsid w:val="009663C3"/>
    <w:rsid w:val="00967F93"/>
    <w:rsid w:val="009718E8"/>
    <w:rsid w:val="009729D4"/>
    <w:rsid w:val="009748F7"/>
    <w:rsid w:val="00986038"/>
    <w:rsid w:val="00997740"/>
    <w:rsid w:val="009A1F93"/>
    <w:rsid w:val="009A746B"/>
    <w:rsid w:val="009B6ED5"/>
    <w:rsid w:val="009B7CED"/>
    <w:rsid w:val="009C0F38"/>
    <w:rsid w:val="009C2542"/>
    <w:rsid w:val="009D0CF3"/>
    <w:rsid w:val="009D5981"/>
    <w:rsid w:val="009F55F8"/>
    <w:rsid w:val="009F6CD4"/>
    <w:rsid w:val="00A020A8"/>
    <w:rsid w:val="00A14BD5"/>
    <w:rsid w:val="00A21264"/>
    <w:rsid w:val="00A26A9C"/>
    <w:rsid w:val="00A34E41"/>
    <w:rsid w:val="00A44977"/>
    <w:rsid w:val="00A472DC"/>
    <w:rsid w:val="00A51050"/>
    <w:rsid w:val="00A61514"/>
    <w:rsid w:val="00A6730B"/>
    <w:rsid w:val="00A67325"/>
    <w:rsid w:val="00A74E74"/>
    <w:rsid w:val="00A8085F"/>
    <w:rsid w:val="00A97720"/>
    <w:rsid w:val="00A97A1E"/>
    <w:rsid w:val="00AA54DF"/>
    <w:rsid w:val="00AA55F3"/>
    <w:rsid w:val="00AB0E07"/>
    <w:rsid w:val="00AB2EF5"/>
    <w:rsid w:val="00AB6519"/>
    <w:rsid w:val="00AB75AE"/>
    <w:rsid w:val="00AC68BF"/>
    <w:rsid w:val="00AE3F37"/>
    <w:rsid w:val="00AF0D43"/>
    <w:rsid w:val="00AF775F"/>
    <w:rsid w:val="00B01C67"/>
    <w:rsid w:val="00B07D1A"/>
    <w:rsid w:val="00B206E7"/>
    <w:rsid w:val="00B24791"/>
    <w:rsid w:val="00B41B71"/>
    <w:rsid w:val="00B5595D"/>
    <w:rsid w:val="00B607E0"/>
    <w:rsid w:val="00B65BB7"/>
    <w:rsid w:val="00B70EC0"/>
    <w:rsid w:val="00B73FB6"/>
    <w:rsid w:val="00B80191"/>
    <w:rsid w:val="00B80914"/>
    <w:rsid w:val="00B856F8"/>
    <w:rsid w:val="00B9007C"/>
    <w:rsid w:val="00B9380D"/>
    <w:rsid w:val="00B95CE4"/>
    <w:rsid w:val="00BB42F8"/>
    <w:rsid w:val="00BC0AE5"/>
    <w:rsid w:val="00BC3A7A"/>
    <w:rsid w:val="00BC57FD"/>
    <w:rsid w:val="00BD4A3F"/>
    <w:rsid w:val="00BD5D4C"/>
    <w:rsid w:val="00BE3CDB"/>
    <w:rsid w:val="00BF3802"/>
    <w:rsid w:val="00C02026"/>
    <w:rsid w:val="00C041DE"/>
    <w:rsid w:val="00C06882"/>
    <w:rsid w:val="00C17ACE"/>
    <w:rsid w:val="00C2573E"/>
    <w:rsid w:val="00C34078"/>
    <w:rsid w:val="00C34A22"/>
    <w:rsid w:val="00C36A21"/>
    <w:rsid w:val="00C40933"/>
    <w:rsid w:val="00C503B8"/>
    <w:rsid w:val="00C52E11"/>
    <w:rsid w:val="00C57716"/>
    <w:rsid w:val="00C605C5"/>
    <w:rsid w:val="00C66F3B"/>
    <w:rsid w:val="00C70B35"/>
    <w:rsid w:val="00C72E58"/>
    <w:rsid w:val="00C76564"/>
    <w:rsid w:val="00C823D6"/>
    <w:rsid w:val="00C872C2"/>
    <w:rsid w:val="00C929F6"/>
    <w:rsid w:val="00C92BAB"/>
    <w:rsid w:val="00CC06DF"/>
    <w:rsid w:val="00CC0C9B"/>
    <w:rsid w:val="00CD2F51"/>
    <w:rsid w:val="00CD3510"/>
    <w:rsid w:val="00CD58C4"/>
    <w:rsid w:val="00CD65A1"/>
    <w:rsid w:val="00CE153D"/>
    <w:rsid w:val="00CF25AF"/>
    <w:rsid w:val="00CF467E"/>
    <w:rsid w:val="00CF7D4D"/>
    <w:rsid w:val="00D03CE9"/>
    <w:rsid w:val="00D050B6"/>
    <w:rsid w:val="00D142B4"/>
    <w:rsid w:val="00D14C24"/>
    <w:rsid w:val="00D44501"/>
    <w:rsid w:val="00D46380"/>
    <w:rsid w:val="00D47540"/>
    <w:rsid w:val="00D52406"/>
    <w:rsid w:val="00D617C1"/>
    <w:rsid w:val="00D63F10"/>
    <w:rsid w:val="00D73CF9"/>
    <w:rsid w:val="00D74856"/>
    <w:rsid w:val="00D80539"/>
    <w:rsid w:val="00D81337"/>
    <w:rsid w:val="00D9107D"/>
    <w:rsid w:val="00DA52C2"/>
    <w:rsid w:val="00DB030C"/>
    <w:rsid w:val="00DB30F9"/>
    <w:rsid w:val="00DB7D8D"/>
    <w:rsid w:val="00DD0684"/>
    <w:rsid w:val="00DD121A"/>
    <w:rsid w:val="00DD3E4C"/>
    <w:rsid w:val="00DE20CA"/>
    <w:rsid w:val="00DF2E46"/>
    <w:rsid w:val="00DF5224"/>
    <w:rsid w:val="00DF7F4E"/>
    <w:rsid w:val="00E0571C"/>
    <w:rsid w:val="00E05E74"/>
    <w:rsid w:val="00E06740"/>
    <w:rsid w:val="00E14C9B"/>
    <w:rsid w:val="00E25B59"/>
    <w:rsid w:val="00E26E9C"/>
    <w:rsid w:val="00E32244"/>
    <w:rsid w:val="00E45270"/>
    <w:rsid w:val="00E46CD9"/>
    <w:rsid w:val="00E50DFE"/>
    <w:rsid w:val="00E5574C"/>
    <w:rsid w:val="00E56A4D"/>
    <w:rsid w:val="00E57460"/>
    <w:rsid w:val="00E71670"/>
    <w:rsid w:val="00E72C95"/>
    <w:rsid w:val="00E8267B"/>
    <w:rsid w:val="00E82E7A"/>
    <w:rsid w:val="00E86859"/>
    <w:rsid w:val="00E902FB"/>
    <w:rsid w:val="00EA5571"/>
    <w:rsid w:val="00EB1FE6"/>
    <w:rsid w:val="00EB670E"/>
    <w:rsid w:val="00EB7A1B"/>
    <w:rsid w:val="00EC5EEA"/>
    <w:rsid w:val="00ED178D"/>
    <w:rsid w:val="00EE3D70"/>
    <w:rsid w:val="00EE5439"/>
    <w:rsid w:val="00EE5627"/>
    <w:rsid w:val="00EF4633"/>
    <w:rsid w:val="00EF7967"/>
    <w:rsid w:val="00F06FDD"/>
    <w:rsid w:val="00F23C7A"/>
    <w:rsid w:val="00F31727"/>
    <w:rsid w:val="00F43504"/>
    <w:rsid w:val="00F46B45"/>
    <w:rsid w:val="00F4796E"/>
    <w:rsid w:val="00F51929"/>
    <w:rsid w:val="00F51BCA"/>
    <w:rsid w:val="00F540BF"/>
    <w:rsid w:val="00F609DA"/>
    <w:rsid w:val="00F632A6"/>
    <w:rsid w:val="00F70476"/>
    <w:rsid w:val="00F716E6"/>
    <w:rsid w:val="00F77452"/>
    <w:rsid w:val="00F8541E"/>
    <w:rsid w:val="00F91E61"/>
    <w:rsid w:val="00FA3EC0"/>
    <w:rsid w:val="00FA3EDA"/>
    <w:rsid w:val="00FB119C"/>
    <w:rsid w:val="00FB4DF7"/>
    <w:rsid w:val="00FB570E"/>
    <w:rsid w:val="00FD073B"/>
    <w:rsid w:val="00FD2D45"/>
    <w:rsid w:val="00FD4434"/>
    <w:rsid w:val="00FF4885"/>
    <w:rsid w:val="00FF537B"/>
    <w:rsid w:val="00FF70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CB60"/>
  <w15:docId w15:val="{1FECB4BB-B07F-4D3E-9AA3-FB0CD6C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lang w:val="en-US" w:eastAsia="en-GB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PRES Normal"/>
    <w:qFormat/>
    <w:rsid w:val="003D4A2D"/>
    <w:rPr>
      <w:rFonts w:eastAsiaTheme="minorEastAsia"/>
      <w:lang w:eastAsia="zh-TW"/>
    </w:rPr>
  </w:style>
  <w:style w:type="paragraph" w:styleId="Heading1">
    <w:name w:val="heading 1"/>
    <w:basedOn w:val="Normal"/>
    <w:next w:val="iPRESparagraphs"/>
    <w:link w:val="Heading1Char"/>
    <w:uiPriority w:val="9"/>
    <w:qFormat/>
    <w:rsid w:val="00DA047B"/>
    <w:pPr>
      <w:numPr>
        <w:numId w:val="4"/>
      </w:numPr>
      <w:spacing w:before="240" w:after="120"/>
      <w:jc w:val="center"/>
      <w:outlineLvl w:val="0"/>
    </w:pPr>
    <w:rPr>
      <w:rFonts w:cs="Times New Roman (Body CS)"/>
      <w:smallCaps/>
    </w:rPr>
  </w:style>
  <w:style w:type="paragraph" w:styleId="Heading2">
    <w:name w:val="heading 2"/>
    <w:basedOn w:val="Heading1"/>
    <w:next w:val="iPRESparagraphs"/>
    <w:link w:val="Heading2Char"/>
    <w:uiPriority w:val="9"/>
    <w:unhideWhenUsed/>
    <w:qFormat/>
    <w:rsid w:val="00BC62AC"/>
    <w:pPr>
      <w:numPr>
        <w:ilvl w:val="1"/>
      </w:numPr>
      <w:spacing w:before="120"/>
      <w:ind w:left="0"/>
      <w:jc w:val="both"/>
      <w:outlineLvl w:val="1"/>
    </w:pPr>
    <w:rPr>
      <w:i/>
      <w:small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47B"/>
    <w:pPr>
      <w:keepNext/>
      <w:keepLines/>
      <w:numPr>
        <w:ilvl w:val="2"/>
        <w:numId w:val="4"/>
      </w:numPr>
      <w:spacing w:before="40"/>
      <w:ind w:left="142"/>
      <w:outlineLvl w:val="2"/>
    </w:pPr>
    <w:rPr>
      <w:rFonts w:eastAsiaTheme="majorEastAsia" w:cstheme="majorBidi"/>
      <w:i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722114"/>
    <w:pPr>
      <w:numPr>
        <w:numId w:val="0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44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44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44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44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44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RES Title"/>
    <w:basedOn w:val="Heading1"/>
    <w:next w:val="Normal"/>
    <w:link w:val="TitleChar"/>
    <w:uiPriority w:val="10"/>
    <w:qFormat/>
    <w:rsid w:val="001F74F3"/>
    <w:pPr>
      <w:numPr>
        <w:numId w:val="0"/>
      </w:numPr>
      <w:ind w:left="360" w:hanging="360"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238B"/>
    <w:rPr>
      <w:rFonts w:ascii="Lucida Grande" w:eastAsiaTheme="majorEastAsia" w:hAnsi="Lucida Grande" w:cstheme="majorBidi"/>
      <w:i/>
      <w:color w:val="595959" w:themeColor="text1" w:themeTint="A6"/>
      <w:sz w:val="40"/>
      <w:lang w:eastAsia="zh-TW"/>
    </w:rPr>
  </w:style>
  <w:style w:type="paragraph" w:styleId="Footer">
    <w:name w:val="footer"/>
    <w:aliases w:val="iPRES Footer"/>
    <w:basedOn w:val="Normal"/>
    <w:link w:val="FooterChar"/>
    <w:uiPriority w:val="99"/>
    <w:unhideWhenUsed/>
    <w:qFormat/>
    <w:rsid w:val="00AE5B2F"/>
    <w:pPr>
      <w:tabs>
        <w:tab w:val="center" w:pos="4680"/>
        <w:tab w:val="right" w:pos="9360"/>
      </w:tabs>
      <w:ind w:right="360" w:firstLine="0"/>
      <w:jc w:val="left"/>
    </w:pPr>
    <w:rPr>
      <w:noProof/>
      <w:sz w:val="16"/>
      <w:szCs w:val="16"/>
    </w:rPr>
  </w:style>
  <w:style w:type="character" w:customStyle="1" w:styleId="FooterChar">
    <w:name w:val="Footer Char"/>
    <w:aliases w:val="iPRES Footer Char"/>
    <w:basedOn w:val="DefaultParagraphFont"/>
    <w:link w:val="Footer"/>
    <w:uiPriority w:val="99"/>
    <w:rsid w:val="00AE5B2F"/>
    <w:rPr>
      <w:rFonts w:ascii="Lucida Grande" w:eastAsiaTheme="minorEastAsia" w:hAnsi="Lucida Grande"/>
      <w:noProof/>
      <w:sz w:val="16"/>
      <w:szCs w:val="16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62D28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unhideWhenUsed/>
    <w:rsid w:val="00062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28"/>
    <w:rPr>
      <w:rFonts w:ascii="Lucida Grande" w:eastAsiaTheme="minorEastAsia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DA047B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leChar">
    <w:name w:val="Title Char"/>
    <w:aliases w:val="iPRES Title Char"/>
    <w:basedOn w:val="DefaultParagraphFont"/>
    <w:link w:val="Title"/>
    <w:uiPriority w:val="10"/>
    <w:rsid w:val="001F74F3"/>
    <w:rPr>
      <w:rFonts w:ascii="Lucida Grande" w:eastAsiaTheme="minorEastAsia" w:hAnsi="Lucida Grande"/>
      <w:b/>
      <w:sz w:val="48"/>
      <w:szCs w:val="48"/>
      <w:lang w:eastAsia="zh-TW"/>
    </w:rPr>
  </w:style>
  <w:style w:type="table" w:styleId="TableGrid">
    <w:name w:val="Table Grid"/>
    <w:basedOn w:val="TableNormal"/>
    <w:uiPriority w:val="39"/>
    <w:rsid w:val="00D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441"/>
    <w:rPr>
      <w:rFonts w:ascii="Lucida Grande" w:hAnsi="Lucida Grande"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238B"/>
    <w:rPr>
      <w:rFonts w:ascii="Lucida Grande" w:hAnsi="Lucida Grande"/>
      <w:color w:val="605E5C"/>
      <w:shd w:val="clear" w:color="auto" w:fill="E1DFDD"/>
    </w:rPr>
  </w:style>
  <w:style w:type="paragraph" w:customStyle="1" w:styleId="iPRESAuthorInfo">
    <w:name w:val="iPRES Author Info"/>
    <w:basedOn w:val="Normal"/>
    <w:qFormat/>
    <w:rsid w:val="00FD073C"/>
    <w:pPr>
      <w:jc w:val="center"/>
    </w:pPr>
    <w:rPr>
      <w:i/>
    </w:rPr>
  </w:style>
  <w:style w:type="paragraph" w:customStyle="1" w:styleId="iPRESAuthorName">
    <w:name w:val="iPRES Author Name"/>
    <w:basedOn w:val="Normal"/>
    <w:qFormat/>
    <w:rsid w:val="00FD073C"/>
    <w:pPr>
      <w:spacing w:line="276" w:lineRule="auto"/>
      <w:jc w:val="center"/>
    </w:pPr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2AC"/>
    <w:rPr>
      <w:rFonts w:ascii="Lucida Sans" w:eastAsiaTheme="minorEastAsia" w:hAnsi="Lucida Sans" w:cs="Times New Roman (Body CS)"/>
      <w:i/>
      <w:sz w:val="20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DA047B"/>
    <w:rPr>
      <w:rFonts w:ascii="Open Sans" w:eastAsiaTheme="majorEastAsia" w:hAnsi="Open Sans" w:cstheme="majorBidi"/>
      <w:i/>
      <w:sz w:val="20"/>
      <w:szCs w:val="20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722114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4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4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4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PRESabstract">
    <w:name w:val="iPRES abstract"/>
    <w:basedOn w:val="Normal"/>
    <w:next w:val="iPRESparagraphs"/>
    <w:qFormat/>
    <w:rsid w:val="00A62BDB"/>
    <w:rPr>
      <w:b/>
      <w:sz w:val="18"/>
      <w:szCs w:val="18"/>
    </w:rPr>
  </w:style>
  <w:style w:type="paragraph" w:customStyle="1" w:styleId="iPRESTableCaption">
    <w:name w:val="iPRES Table Caption"/>
    <w:basedOn w:val="Normal"/>
    <w:link w:val="iPRESTableCaptionChar"/>
    <w:qFormat/>
    <w:rsid w:val="008E69BB"/>
    <w:pPr>
      <w:tabs>
        <w:tab w:val="left" w:pos="360"/>
      </w:tabs>
      <w:overflowPunct w:val="0"/>
      <w:autoSpaceDE w:val="0"/>
      <w:autoSpaceDN w:val="0"/>
      <w:adjustRightInd w:val="0"/>
      <w:snapToGrid w:val="0"/>
      <w:ind w:firstLine="0"/>
      <w:jc w:val="center"/>
      <w:textAlignment w:val="baseline"/>
    </w:pPr>
    <w:rPr>
      <w:rFonts w:eastAsia="PMingLiU" w:cs="Times New Roman"/>
      <w:sz w:val="16"/>
      <w:szCs w:val="16"/>
    </w:rPr>
  </w:style>
  <w:style w:type="character" w:customStyle="1" w:styleId="iPRESTableCaptionChar">
    <w:name w:val="iPRES Table Caption Char"/>
    <w:link w:val="iPRESTableCaption"/>
    <w:rsid w:val="008E69BB"/>
    <w:rPr>
      <w:rFonts w:ascii="Open Sans" w:eastAsia="PMingLiU" w:hAnsi="Open Sans" w:cs="Times New Roman"/>
      <w:sz w:val="16"/>
      <w:szCs w:val="16"/>
      <w:lang w:val="en-US" w:eastAsia="zh-TW"/>
    </w:rPr>
  </w:style>
  <w:style w:type="paragraph" w:customStyle="1" w:styleId="iPRESparagraphs">
    <w:name w:val="iPRES paragraphs"/>
    <w:basedOn w:val="Normal"/>
    <w:qFormat/>
    <w:rsid w:val="00B43E66"/>
    <w:pPr>
      <w:spacing w:after="120"/>
    </w:pPr>
  </w:style>
  <w:style w:type="paragraph" w:customStyle="1" w:styleId="FigureCaption">
    <w:name w:val="Figure Caption"/>
    <w:basedOn w:val="Normal"/>
    <w:link w:val="FigureCaptionChar"/>
    <w:uiPriority w:val="99"/>
    <w:rsid w:val="009C1D16"/>
    <w:pPr>
      <w:ind w:firstLine="0"/>
    </w:pPr>
    <w:rPr>
      <w:rFonts w:eastAsia="Times New Roman" w:cs="Times New Roman"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uiPriority w:val="99"/>
    <w:rsid w:val="009C1D16"/>
    <w:rPr>
      <w:rFonts w:ascii="Lucida Grande" w:eastAsia="Times New Roman" w:hAnsi="Lucida Grande" w:cs="Times New Roman"/>
      <w:sz w:val="16"/>
      <w:szCs w:val="16"/>
      <w:lang w:val="en-US"/>
    </w:rPr>
  </w:style>
  <w:style w:type="paragraph" w:customStyle="1" w:styleId="iPRESReferenceentry">
    <w:name w:val="iPRES Reference entry"/>
    <w:basedOn w:val="Normal"/>
    <w:link w:val="iPRESReferenceentryChar"/>
    <w:qFormat/>
    <w:rsid w:val="003212BC"/>
    <w:pPr>
      <w:tabs>
        <w:tab w:val="num" w:pos="270"/>
        <w:tab w:val="num" w:pos="720"/>
      </w:tabs>
      <w:overflowPunct w:val="0"/>
      <w:autoSpaceDE w:val="0"/>
      <w:autoSpaceDN w:val="0"/>
      <w:adjustRightInd w:val="0"/>
      <w:snapToGrid w:val="0"/>
      <w:ind w:left="270" w:hanging="270"/>
      <w:textAlignment w:val="baseline"/>
    </w:pPr>
    <w:rPr>
      <w:rFonts w:eastAsia="SimSun" w:cs="Times New Roman"/>
      <w:sz w:val="16"/>
      <w:szCs w:val="16"/>
      <w:lang w:eastAsia="zh-CN"/>
    </w:rPr>
  </w:style>
  <w:style w:type="character" w:customStyle="1" w:styleId="iPRESReferenceentryChar">
    <w:name w:val="iPRES Reference entry Char"/>
    <w:link w:val="iPRESReferenceentry"/>
    <w:rsid w:val="003212BC"/>
    <w:rPr>
      <w:rFonts w:eastAsia="SimSu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53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290"/>
    <w:rPr>
      <w:rFonts w:ascii="Open Sans" w:hAnsi="Open Sans"/>
      <w:color w:val="954F72" w:themeColor="followedHyperlink"/>
      <w:u w:val="single"/>
    </w:rPr>
  </w:style>
  <w:style w:type="paragraph" w:styleId="Caption">
    <w:name w:val="caption"/>
    <w:aliases w:val="iPRES Caption"/>
    <w:basedOn w:val="Normal"/>
    <w:next w:val="Normal"/>
    <w:uiPriority w:val="35"/>
    <w:unhideWhenUsed/>
    <w:qFormat/>
    <w:rsid w:val="008E69BB"/>
    <w:pPr>
      <w:spacing w:after="200"/>
      <w:ind w:firstLine="0"/>
      <w:jc w:val="center"/>
    </w:pPr>
    <w:rPr>
      <w:iCs/>
      <w:sz w:val="16"/>
      <w:szCs w:val="16"/>
    </w:rPr>
  </w:style>
  <w:style w:type="paragraph" w:styleId="Revision">
    <w:name w:val="Revision"/>
    <w:hidden/>
    <w:uiPriority w:val="99"/>
    <w:semiHidden/>
    <w:rsid w:val="00B01AFF"/>
    <w:rPr>
      <w:rFonts w:eastAsiaTheme="minorEastAsia"/>
      <w:lang w:eastAsia="zh-TW"/>
    </w:rPr>
  </w:style>
  <w:style w:type="character" w:styleId="FootnoteReference">
    <w:name w:val="footnote reference"/>
    <w:basedOn w:val="DefaultParagraphFont"/>
    <w:uiPriority w:val="99"/>
    <w:unhideWhenUsed/>
    <w:rsid w:val="00B01AFF"/>
    <w:rPr>
      <w:rFonts w:ascii="Open Sans" w:hAnsi="Open San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01A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FF"/>
    <w:rPr>
      <w:rFonts w:ascii="Open Sans" w:eastAsiaTheme="minorEastAsia" w:hAnsi="Open Sans"/>
      <w:sz w:val="20"/>
      <w:szCs w:val="2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614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2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23F"/>
    <w:rPr>
      <w:rFonts w:ascii="Open Sans" w:eastAsiaTheme="minorEastAsia" w:hAnsi="Open Sans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3F"/>
    <w:rPr>
      <w:rFonts w:ascii="Open Sans" w:eastAsiaTheme="minorEastAsia" w:hAnsi="Open Sans"/>
      <w:b/>
      <w:bCs/>
      <w:sz w:val="20"/>
      <w:szCs w:val="20"/>
      <w:lang w:eastAsia="zh-TW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47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7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rcid.org/0000-0002-3829-2980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rwJMkfP/ogVMUnzcmx+3908xQ==">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C3B76A-849B-431F-9260-CF2F9385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2852</Words>
  <Characters>16260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tom.smyth@bac-lac.gc.ca</dc:creator>
  <cp:lastModifiedBy>Smyth, Tom</cp:lastModifiedBy>
  <cp:revision>403</cp:revision>
  <dcterms:created xsi:type="dcterms:W3CDTF">2022-03-07T14:19:00Z</dcterms:created>
  <dcterms:modified xsi:type="dcterms:W3CDTF">2022-03-08T23:34:00Z</dcterms:modified>
</cp:coreProperties>
</file>