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pacing w:after="120" w:before="240" w:line="240" w:lineRule="auto"/>
        <w:ind w:left="360" w:firstLine="0"/>
        <w:jc w:val="center"/>
        <w:rPr>
          <w:rFonts w:ascii="Open Sans" w:cs="Open Sans" w:eastAsia="Open Sans" w:hAnsi="Open Sans"/>
          <w:smallCaps w:val="1"/>
          <w:sz w:val="48"/>
          <w:szCs w:val="48"/>
        </w:rPr>
      </w:pPr>
      <w:r w:rsidDel="00000000" w:rsidR="00000000" w:rsidRPr="00000000">
        <w:rPr>
          <w:rFonts w:ascii="Open Sans" w:cs="Open Sans" w:eastAsia="Open Sans" w:hAnsi="Open Sans"/>
          <w:smallCaps w:val="1"/>
          <w:sz w:val="48"/>
          <w:szCs w:val="48"/>
          <w:rtl w:val="0"/>
        </w:rPr>
        <w:t xml:space="preserve">Evaluating a Taxonomy for </w:t>
        <w:br w:type="textWrapping"/>
        <w:t xml:space="preserve">Video Game Development Artifacts</w:t>
      </w:r>
    </w:p>
    <w:p w:rsidR="00000000" w:rsidDel="00000000" w:rsidP="00000000" w:rsidRDefault="00000000" w:rsidRPr="00000000" w14:paraId="00000002">
      <w:pPr>
        <w:pStyle w:val="Subtitle"/>
        <w:keepNext w:val="0"/>
        <w:keepLines w:val="0"/>
        <w:spacing w:after="180" w:before="120" w:line="240" w:lineRule="auto"/>
        <w:ind w:firstLine="340"/>
        <w:jc w:val="center"/>
        <w:rPr>
          <w:rFonts w:ascii="Open Sans" w:cs="Open Sans" w:eastAsia="Open Sans" w:hAnsi="Open Sans"/>
          <w:i w:val="1"/>
          <w:color w:val="595959"/>
          <w:sz w:val="40"/>
          <w:szCs w:val="40"/>
        </w:rPr>
      </w:pPr>
      <w:r w:rsidDel="00000000" w:rsidR="00000000" w:rsidRPr="00000000">
        <w:rPr>
          <w:rFonts w:ascii="Open Sans" w:cs="Open Sans" w:eastAsia="Open Sans" w:hAnsi="Open Sans"/>
          <w:i w:val="1"/>
          <w:color w:val="595959"/>
          <w:sz w:val="40"/>
          <w:szCs w:val="40"/>
          <w:rtl w:val="0"/>
        </w:rPr>
        <w:t xml:space="preserve">Taxonomies for New and Innovative Domains</w:t>
      </w:r>
      <w:r w:rsidDel="00000000" w:rsidR="00000000" w:rsidRPr="00000000">
        <w:rPr>
          <w:rtl w:val="0"/>
        </w:rPr>
      </w:r>
    </w:p>
    <w:p w:rsidR="00000000" w:rsidDel="00000000" w:rsidP="00000000" w:rsidRDefault="00000000" w:rsidRPr="00000000" w14:paraId="00000003">
      <w:pPr>
        <w:spacing w:line="240" w:lineRule="auto"/>
        <w:ind w:firstLine="340"/>
        <w:jc w:val="both"/>
        <w:rPr>
          <w:rFonts w:ascii="Open Sans" w:cs="Open Sans" w:eastAsia="Open Sans" w:hAnsi="Open Sans"/>
          <w:sz w:val="20"/>
          <w:szCs w:val="20"/>
        </w:rPr>
      </w:pPr>
      <w:r w:rsidDel="00000000" w:rsidR="00000000" w:rsidRPr="00000000">
        <w:rPr>
          <w:rtl w:val="0"/>
        </w:rPr>
      </w:r>
    </w:p>
    <w:tbl>
      <w:tblPr>
        <w:tblStyle w:val="Table1"/>
        <w:tblW w:w="901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03"/>
        <w:gridCol w:w="3003"/>
        <w:gridCol w:w="3004"/>
        <w:tblGridChange w:id="0">
          <w:tblGrid>
            <w:gridCol w:w="3003"/>
            <w:gridCol w:w="3003"/>
            <w:gridCol w:w="3004"/>
          </w:tblGrid>
        </w:tblGridChange>
      </w:tblGrid>
      <w:tr>
        <w:trPr>
          <w:cantSplit w:val="0"/>
          <w:tblHeader w:val="0"/>
        </w:trPr>
        <w:tc>
          <w:tcPr/>
          <w:p w:rsidR="00000000" w:rsidDel="00000000" w:rsidP="00000000" w:rsidRDefault="00000000" w:rsidRPr="00000000" w14:paraId="00000004">
            <w:pPr>
              <w:ind w:firstLine="340"/>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Marc Schmalz</w:t>
            </w:r>
          </w:p>
        </w:tc>
        <w:tc>
          <w:tcPr/>
          <w:p w:rsidR="00000000" w:rsidDel="00000000" w:rsidP="00000000" w:rsidRDefault="00000000" w:rsidRPr="00000000" w14:paraId="00000005">
            <w:pPr>
              <w:ind w:firstLine="340"/>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Kylie Snyder</w:t>
            </w:r>
          </w:p>
        </w:tc>
        <w:tc>
          <w:tcPr/>
          <w:p w:rsidR="00000000" w:rsidDel="00000000" w:rsidP="00000000" w:rsidRDefault="00000000" w:rsidRPr="00000000" w14:paraId="00000006">
            <w:pPr>
              <w:ind w:firstLine="340"/>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Lidia Morris</w:t>
            </w:r>
          </w:p>
        </w:tc>
      </w:tr>
      <w:tr>
        <w:trPr>
          <w:cantSplit w:val="0"/>
          <w:trHeight w:val="578" w:hRule="atLeast"/>
          <w:tblHeader w:val="0"/>
        </w:trPr>
        <w:tc>
          <w:tcPr/>
          <w:p w:rsidR="00000000" w:rsidDel="00000000" w:rsidP="00000000" w:rsidRDefault="00000000" w:rsidRPr="00000000" w14:paraId="00000007">
            <w:pPr>
              <w:spacing w:line="240" w:lineRule="auto"/>
              <w:ind w:firstLine="340"/>
              <w:jc w:val="cente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University of Washington</w:t>
            </w:r>
          </w:p>
          <w:p w:rsidR="00000000" w:rsidDel="00000000" w:rsidP="00000000" w:rsidRDefault="00000000" w:rsidRPr="00000000" w14:paraId="00000008">
            <w:pPr>
              <w:spacing w:line="240" w:lineRule="auto"/>
              <w:ind w:firstLine="340"/>
              <w:jc w:val="cente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USA</w:t>
            </w:r>
          </w:p>
          <w:p w:rsidR="00000000" w:rsidDel="00000000" w:rsidP="00000000" w:rsidRDefault="00000000" w:rsidRPr="00000000" w14:paraId="00000009">
            <w:pPr>
              <w:spacing w:line="240" w:lineRule="auto"/>
              <w:ind w:firstLine="340"/>
              <w:jc w:val="cente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mschmalz@uw.edu</w:t>
            </w:r>
          </w:p>
          <w:p w:rsidR="00000000" w:rsidDel="00000000" w:rsidP="00000000" w:rsidRDefault="00000000" w:rsidRPr="00000000" w14:paraId="0000000A">
            <w:pPr>
              <w:spacing w:line="240" w:lineRule="auto"/>
              <w:ind w:firstLine="340"/>
              <w:jc w:val="cente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0000-0003-1027-696X</w:t>
            </w:r>
          </w:p>
        </w:tc>
        <w:tc>
          <w:tcPr/>
          <w:p w:rsidR="00000000" w:rsidDel="00000000" w:rsidP="00000000" w:rsidRDefault="00000000" w:rsidRPr="00000000" w14:paraId="0000000B">
            <w:pPr>
              <w:spacing w:line="240" w:lineRule="auto"/>
              <w:ind w:firstLine="340"/>
              <w:jc w:val="cente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University of Washington</w:t>
            </w:r>
          </w:p>
          <w:p w:rsidR="00000000" w:rsidDel="00000000" w:rsidP="00000000" w:rsidRDefault="00000000" w:rsidRPr="00000000" w14:paraId="0000000C">
            <w:pPr>
              <w:spacing w:line="240" w:lineRule="auto"/>
              <w:ind w:firstLine="340"/>
              <w:jc w:val="cente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USA</w:t>
            </w:r>
          </w:p>
          <w:p w:rsidR="00000000" w:rsidDel="00000000" w:rsidP="00000000" w:rsidRDefault="00000000" w:rsidRPr="00000000" w14:paraId="0000000D">
            <w:pPr>
              <w:spacing w:line="240" w:lineRule="auto"/>
              <w:ind w:firstLine="340"/>
              <w:jc w:val="cente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ksnyd@uw.edu</w:t>
            </w:r>
          </w:p>
          <w:p w:rsidR="00000000" w:rsidDel="00000000" w:rsidP="00000000" w:rsidRDefault="00000000" w:rsidRPr="00000000" w14:paraId="0000000E">
            <w:pPr>
              <w:spacing w:line="240" w:lineRule="auto"/>
              <w:ind w:firstLine="340"/>
              <w:jc w:val="cente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0000-0002-3374-2364</w:t>
            </w:r>
          </w:p>
        </w:tc>
        <w:tc>
          <w:tcPr/>
          <w:p w:rsidR="00000000" w:rsidDel="00000000" w:rsidP="00000000" w:rsidRDefault="00000000" w:rsidRPr="00000000" w14:paraId="0000000F">
            <w:pPr>
              <w:spacing w:line="240" w:lineRule="auto"/>
              <w:ind w:firstLine="340"/>
              <w:jc w:val="cente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University of Washington</w:t>
            </w:r>
          </w:p>
          <w:p w:rsidR="00000000" w:rsidDel="00000000" w:rsidP="00000000" w:rsidRDefault="00000000" w:rsidRPr="00000000" w14:paraId="00000010">
            <w:pPr>
              <w:spacing w:line="240" w:lineRule="auto"/>
              <w:ind w:firstLine="340"/>
              <w:jc w:val="cente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USA</w:t>
            </w:r>
          </w:p>
          <w:p w:rsidR="00000000" w:rsidDel="00000000" w:rsidP="00000000" w:rsidRDefault="00000000" w:rsidRPr="00000000" w14:paraId="00000011">
            <w:pPr>
              <w:spacing w:line="240" w:lineRule="auto"/>
              <w:ind w:firstLine="340"/>
              <w:jc w:val="cente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ljmorris@uw.edu</w:t>
            </w:r>
          </w:p>
          <w:p w:rsidR="00000000" w:rsidDel="00000000" w:rsidP="00000000" w:rsidRDefault="00000000" w:rsidRPr="00000000" w14:paraId="00000012">
            <w:pPr>
              <w:spacing w:line="240" w:lineRule="auto"/>
              <w:ind w:firstLine="340"/>
              <w:jc w:val="cente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0000-0002-4702-6975</w:t>
            </w:r>
          </w:p>
        </w:tc>
      </w:tr>
    </w:tbl>
    <w:p w:rsidR="00000000" w:rsidDel="00000000" w:rsidP="00000000" w:rsidRDefault="00000000" w:rsidRPr="00000000" w14:paraId="00000013">
      <w:pPr>
        <w:spacing w:line="240" w:lineRule="auto"/>
        <w:ind w:firstLine="340"/>
        <w:jc w:val="both"/>
        <w:rPr>
          <w:rFonts w:ascii="Open Sans" w:cs="Open Sans" w:eastAsia="Open Sans" w:hAnsi="Open Sans"/>
          <w:sz w:val="20"/>
          <w:szCs w:val="20"/>
        </w:rPr>
      </w:pPr>
      <w:r w:rsidDel="00000000" w:rsidR="00000000" w:rsidRPr="00000000">
        <w:rPr>
          <w:rtl w:val="0"/>
        </w:rPr>
      </w:r>
    </w:p>
    <w:tbl>
      <w:tblPr>
        <w:tblStyle w:val="Table2"/>
        <w:tblW w:w="901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03"/>
        <w:gridCol w:w="3003"/>
        <w:gridCol w:w="3004"/>
        <w:tblGridChange w:id="0">
          <w:tblGrid>
            <w:gridCol w:w="3003"/>
            <w:gridCol w:w="3003"/>
            <w:gridCol w:w="3004"/>
          </w:tblGrid>
        </w:tblGridChange>
      </w:tblGrid>
      <w:tr>
        <w:trPr>
          <w:cantSplit w:val="0"/>
          <w:tblHeader w:val="0"/>
        </w:trPr>
        <w:tc>
          <w:tcPr/>
          <w:p w:rsidR="00000000" w:rsidDel="00000000" w:rsidP="00000000" w:rsidRDefault="00000000" w:rsidRPr="00000000" w14:paraId="00000014">
            <w:pPr>
              <w:ind w:firstLine="340"/>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Corey Cherrington</w:t>
            </w:r>
          </w:p>
        </w:tc>
        <w:tc>
          <w:tcPr/>
          <w:p w:rsidR="00000000" w:rsidDel="00000000" w:rsidP="00000000" w:rsidRDefault="00000000" w:rsidRPr="00000000" w14:paraId="00000015">
            <w:pPr>
              <w:ind w:firstLine="340"/>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Tara Disher</w:t>
            </w:r>
          </w:p>
        </w:tc>
        <w:tc>
          <w:tcPr/>
          <w:p w:rsidR="00000000" w:rsidDel="00000000" w:rsidP="00000000" w:rsidRDefault="00000000" w:rsidRPr="00000000" w14:paraId="00000016">
            <w:pPr>
              <w:ind w:firstLine="340"/>
              <w:jc w:val="center"/>
              <w:rPr>
                <w:rFonts w:ascii="Open Sans" w:cs="Open Sans" w:eastAsia="Open Sans" w:hAnsi="Open Sans"/>
                <w:b w:val="1"/>
                <w:sz w:val="24"/>
                <w:szCs w:val="24"/>
              </w:rPr>
            </w:pPr>
            <w:r w:rsidDel="00000000" w:rsidR="00000000" w:rsidRPr="00000000">
              <w:rPr>
                <w:rFonts w:ascii="Open Sans" w:cs="Open Sans" w:eastAsia="Open Sans" w:hAnsi="Open Sans"/>
                <w:b w:val="1"/>
                <w:sz w:val="24"/>
                <w:szCs w:val="24"/>
                <w:rtl w:val="0"/>
              </w:rPr>
              <w:t xml:space="preserve">Jin Ha Lee</w:t>
            </w:r>
          </w:p>
        </w:tc>
      </w:tr>
      <w:tr>
        <w:trPr>
          <w:cantSplit w:val="0"/>
          <w:trHeight w:val="578" w:hRule="atLeast"/>
          <w:tblHeader w:val="0"/>
        </w:trPr>
        <w:tc>
          <w:tcPr/>
          <w:p w:rsidR="00000000" w:rsidDel="00000000" w:rsidP="00000000" w:rsidRDefault="00000000" w:rsidRPr="00000000" w14:paraId="00000017">
            <w:pPr>
              <w:spacing w:line="240" w:lineRule="auto"/>
              <w:ind w:firstLine="340"/>
              <w:jc w:val="cente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University of Washington</w:t>
            </w:r>
          </w:p>
          <w:p w:rsidR="00000000" w:rsidDel="00000000" w:rsidP="00000000" w:rsidRDefault="00000000" w:rsidRPr="00000000" w14:paraId="00000018">
            <w:pPr>
              <w:spacing w:line="240" w:lineRule="auto"/>
              <w:ind w:firstLine="340"/>
              <w:jc w:val="cente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USA</w:t>
            </w:r>
          </w:p>
          <w:p w:rsidR="00000000" w:rsidDel="00000000" w:rsidP="00000000" w:rsidRDefault="00000000" w:rsidRPr="00000000" w14:paraId="00000019">
            <w:pPr>
              <w:spacing w:line="240" w:lineRule="auto"/>
              <w:ind w:firstLine="340"/>
              <w:jc w:val="cente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cherri93@uw.edu</w:t>
            </w:r>
          </w:p>
          <w:p w:rsidR="00000000" w:rsidDel="00000000" w:rsidP="00000000" w:rsidRDefault="00000000" w:rsidRPr="00000000" w14:paraId="0000001A">
            <w:pPr>
              <w:spacing w:line="240" w:lineRule="auto"/>
              <w:ind w:firstLine="340"/>
              <w:jc w:val="cente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0000-0001-6965-9987</w:t>
            </w:r>
          </w:p>
        </w:tc>
        <w:tc>
          <w:tcPr/>
          <w:p w:rsidR="00000000" w:rsidDel="00000000" w:rsidP="00000000" w:rsidRDefault="00000000" w:rsidRPr="00000000" w14:paraId="0000001B">
            <w:pPr>
              <w:spacing w:line="240" w:lineRule="auto"/>
              <w:ind w:firstLine="340"/>
              <w:jc w:val="cente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University of Washington</w:t>
            </w:r>
          </w:p>
          <w:p w:rsidR="00000000" w:rsidDel="00000000" w:rsidP="00000000" w:rsidRDefault="00000000" w:rsidRPr="00000000" w14:paraId="0000001C">
            <w:pPr>
              <w:spacing w:line="240" w:lineRule="auto"/>
              <w:ind w:firstLine="340"/>
              <w:jc w:val="cente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USA</w:t>
            </w:r>
          </w:p>
          <w:p w:rsidR="00000000" w:rsidDel="00000000" w:rsidP="00000000" w:rsidRDefault="00000000" w:rsidRPr="00000000" w14:paraId="0000001D">
            <w:pPr>
              <w:spacing w:line="240" w:lineRule="auto"/>
              <w:ind w:firstLine="340"/>
              <w:jc w:val="cente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tdisher@uw.edu</w:t>
            </w:r>
          </w:p>
          <w:p w:rsidR="00000000" w:rsidDel="00000000" w:rsidP="00000000" w:rsidRDefault="00000000" w:rsidRPr="00000000" w14:paraId="0000001E">
            <w:pPr>
              <w:spacing w:line="240" w:lineRule="auto"/>
              <w:ind w:firstLine="340"/>
              <w:jc w:val="cente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0000-0002-3285-1411</w:t>
            </w:r>
          </w:p>
        </w:tc>
        <w:tc>
          <w:tcPr/>
          <w:p w:rsidR="00000000" w:rsidDel="00000000" w:rsidP="00000000" w:rsidRDefault="00000000" w:rsidRPr="00000000" w14:paraId="0000001F">
            <w:pPr>
              <w:spacing w:line="240" w:lineRule="auto"/>
              <w:ind w:firstLine="340"/>
              <w:jc w:val="cente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University of Washington</w:t>
            </w:r>
          </w:p>
          <w:p w:rsidR="00000000" w:rsidDel="00000000" w:rsidP="00000000" w:rsidRDefault="00000000" w:rsidRPr="00000000" w14:paraId="00000020">
            <w:pPr>
              <w:spacing w:line="240" w:lineRule="auto"/>
              <w:ind w:firstLine="340"/>
              <w:jc w:val="cente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USA</w:t>
            </w:r>
          </w:p>
          <w:p w:rsidR="00000000" w:rsidDel="00000000" w:rsidP="00000000" w:rsidRDefault="00000000" w:rsidRPr="00000000" w14:paraId="00000021">
            <w:pPr>
              <w:spacing w:line="240" w:lineRule="auto"/>
              <w:ind w:firstLine="340"/>
              <w:jc w:val="cente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jinhalee@uw.edu</w:t>
            </w:r>
          </w:p>
          <w:p w:rsidR="00000000" w:rsidDel="00000000" w:rsidP="00000000" w:rsidRDefault="00000000" w:rsidRPr="00000000" w14:paraId="00000022">
            <w:pPr>
              <w:spacing w:line="240" w:lineRule="auto"/>
              <w:ind w:firstLine="340"/>
              <w:jc w:val="center"/>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0000-0002-9007-514X</w:t>
            </w:r>
          </w:p>
        </w:tc>
      </w:tr>
    </w:tbl>
    <w:p w:rsidR="00000000" w:rsidDel="00000000" w:rsidP="00000000" w:rsidRDefault="00000000" w:rsidRPr="00000000" w14:paraId="00000023">
      <w:pPr>
        <w:spacing w:line="240" w:lineRule="auto"/>
        <w:ind w:firstLine="340"/>
        <w:jc w:val="both"/>
        <w:rPr>
          <w:rFonts w:ascii="Open Sans" w:cs="Open Sans" w:eastAsia="Open Sans" w:hAnsi="Open Sans"/>
          <w:sz w:val="20"/>
          <w:szCs w:val="20"/>
        </w:rPr>
        <w:sectPr>
          <w:headerReference r:id="rId7" w:type="default"/>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24">
      <w:pPr>
        <w:spacing w:line="240" w:lineRule="auto"/>
        <w:ind w:firstLine="340"/>
        <w:jc w:val="both"/>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Abstract – Digital game development is innovative and intersectional, producing cultural texts in an emerging field across new technology,  </w:t>
      </w:r>
      <w:r w:rsidDel="00000000" w:rsidR="00000000" w:rsidRPr="00000000">
        <w:rPr>
          <w:rFonts w:ascii="Open Sans" w:cs="Open Sans" w:eastAsia="Open Sans" w:hAnsi="Open Sans"/>
          <w:b w:val="1"/>
          <w:sz w:val="18"/>
          <w:szCs w:val="18"/>
          <w:rtl w:val="0"/>
        </w:rPr>
        <w:t xml:space="preserve">physical,</w:t>
      </w:r>
      <w:r w:rsidDel="00000000" w:rsidR="00000000" w:rsidRPr="00000000">
        <w:rPr>
          <w:rFonts w:ascii="Open Sans" w:cs="Open Sans" w:eastAsia="Open Sans" w:hAnsi="Open Sans"/>
          <w:b w:val="1"/>
          <w:sz w:val="18"/>
          <w:szCs w:val="18"/>
          <w:rtl w:val="0"/>
        </w:rPr>
        <w:t xml:space="preserve"> and digital media. As such, it offers fertile ground for designing and evaluating structures to help creators, information professionals, and others organize and preserve new domains, and to expand the processes of knowledge organization. Participants classified digital game development artifacts from one online  and two physical archives. Data were analyzed with mixed methods, generating recommendations for improving the taxonomy and insights on evaluation framework.</w:t>
      </w:r>
    </w:p>
    <w:p w:rsidR="00000000" w:rsidDel="00000000" w:rsidP="00000000" w:rsidRDefault="00000000" w:rsidRPr="00000000" w14:paraId="00000025">
      <w:pPr>
        <w:spacing w:line="240" w:lineRule="auto"/>
        <w:ind w:firstLine="340"/>
        <w:jc w:val="both"/>
        <w:rPr>
          <w:rFonts w:ascii="Open Sans" w:cs="Open Sans" w:eastAsia="Open Sans" w:hAnsi="Open Sans"/>
          <w:b w:val="1"/>
          <w:sz w:val="18"/>
          <w:szCs w:val="18"/>
        </w:rPr>
      </w:pPr>
      <w:r w:rsidDel="00000000" w:rsidR="00000000" w:rsidRPr="00000000">
        <w:rPr>
          <w:rtl w:val="0"/>
        </w:rPr>
      </w:r>
    </w:p>
    <w:p w:rsidR="00000000" w:rsidDel="00000000" w:rsidP="00000000" w:rsidRDefault="00000000" w:rsidRPr="00000000" w14:paraId="00000026">
      <w:pPr>
        <w:spacing w:line="240" w:lineRule="auto"/>
        <w:ind w:firstLine="340"/>
        <w:jc w:val="both"/>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Keywords – Metadata, Games, Taxonomy Evaluation</w:t>
      </w:r>
    </w:p>
    <w:p w:rsidR="00000000" w:rsidDel="00000000" w:rsidP="00000000" w:rsidRDefault="00000000" w:rsidRPr="00000000" w14:paraId="00000027">
      <w:pPr>
        <w:spacing w:line="240" w:lineRule="auto"/>
        <w:ind w:firstLine="340"/>
        <w:jc w:val="both"/>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Conference Topics – Innovation</w:t>
      </w:r>
    </w:p>
    <w:p w:rsidR="00000000" w:rsidDel="00000000" w:rsidP="00000000" w:rsidRDefault="00000000" w:rsidRPr="00000000" w14:paraId="00000028">
      <w:pPr>
        <w:pStyle w:val="Heading1"/>
        <w:keepNext w:val="0"/>
        <w:keepLines w:val="0"/>
        <w:numPr>
          <w:ilvl w:val="0"/>
          <w:numId w:val="2"/>
        </w:numPr>
        <w:spacing w:before="240" w:line="240" w:lineRule="auto"/>
        <w:ind w:left="0" w:firstLine="0"/>
        <w:jc w:val="center"/>
        <w:rPr>
          <w:rFonts w:ascii="Open Sans" w:cs="Open Sans" w:eastAsia="Open Sans" w:hAnsi="Open Sans"/>
          <w:smallCaps w:val="1"/>
          <w:sz w:val="20"/>
          <w:szCs w:val="20"/>
        </w:rPr>
      </w:pPr>
      <w:r w:rsidDel="00000000" w:rsidR="00000000" w:rsidRPr="00000000">
        <w:rPr>
          <w:rFonts w:ascii="Open Sans" w:cs="Open Sans" w:eastAsia="Open Sans" w:hAnsi="Open Sans"/>
          <w:smallCaps w:val="1"/>
          <w:sz w:val="20"/>
          <w:szCs w:val="20"/>
          <w:rtl w:val="0"/>
        </w:rPr>
        <w:t xml:space="preserve">Introduction</w:t>
      </w:r>
    </w:p>
    <w:p w:rsidR="00000000" w:rsidDel="00000000" w:rsidP="00000000" w:rsidRDefault="00000000" w:rsidRPr="00000000" w14:paraId="00000029">
      <w:pPr>
        <w:spacing w:after="120" w:line="240" w:lineRule="auto"/>
        <w:ind w:firstLine="34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Institutions such as the Strong National Museum of Play, the Stanford Libraries, and the National Media Museum in the UK now seek to catalog, classify, and preserve digital games, but are primarily focused on preservation of the final product. Less consideration has been given to the artifacts associated with their development, materials that future researchers, historians, and professionals will rely upon. Development artifacts are vital for study of the medium, helping us understand game design, intended audience, public reception, and impact on the parent organization. Today, many of these artifacts are born-digital, facing a new set of challenges for archiving. Without organized efforts to preserve such materials, they will be lost.</w:t>
      </w:r>
    </w:p>
    <w:p w:rsidR="00000000" w:rsidDel="00000000" w:rsidP="00000000" w:rsidRDefault="00000000" w:rsidRPr="00000000" w14:paraId="0000002A">
      <w:pPr>
        <w:spacing w:after="120" w:line="240" w:lineRule="auto"/>
        <w:ind w:firstLine="34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Researchers at the University of Washington Information School received a National Leadership Grant from the Institute of Museum and Library Services (IMLS) in 2018 to “create a conceptual data model and metadata schema for describing and representing artifacts related to the development of digital games” </w:t>
      </w:r>
      <w:r w:rsidDel="00000000" w:rsidR="00000000" w:rsidRPr="00000000">
        <w:rPr>
          <w:rFonts w:ascii="Open Sans" w:cs="Open Sans" w:eastAsia="Open Sans" w:hAnsi="Open Sans"/>
          <w:sz w:val="20"/>
          <w:szCs w:val="20"/>
          <w:rtl w:val="0"/>
        </w:rPr>
        <w:t xml:space="preserve">[1, p. 1]</w:t>
      </w:r>
      <w:r w:rsidDel="00000000" w:rsidR="00000000" w:rsidRPr="00000000">
        <w:rPr>
          <w:rFonts w:ascii="Open Sans" w:cs="Open Sans" w:eastAsia="Open Sans" w:hAnsi="Open Sans"/>
          <w:sz w:val="20"/>
          <w:szCs w:val="20"/>
          <w:rtl w:val="0"/>
        </w:rPr>
        <w:t xml:space="preserve">:</w:t>
      </w:r>
      <w:r w:rsidDel="00000000" w:rsidR="00000000" w:rsidRPr="00000000">
        <w:rPr>
          <w:rFonts w:ascii="Open Sans" w:cs="Open Sans" w:eastAsia="Open Sans" w:hAnsi="Open Sans"/>
          <w:sz w:val="20"/>
          <w:szCs w:val="20"/>
          <w:rtl w:val="0"/>
        </w:rPr>
        <w:t xml:space="preserve"> the Taxonomy of Video Game Development Artfacts (TVGDA)</w:t>
      </w:r>
      <w:r w:rsidDel="00000000" w:rsidR="00000000" w:rsidRPr="00000000">
        <w:rPr>
          <w:rFonts w:ascii="Open Sans" w:cs="Open Sans" w:eastAsia="Open Sans" w:hAnsi="Open Sans"/>
          <w:sz w:val="20"/>
          <w:szCs w:val="20"/>
          <w:rtl w:val="0"/>
        </w:rPr>
        <w:t xml:space="preserve">. Evaluation of the TVGDA, as a newly developed taxonomy, is ongoing. We contribute to its evaluation by having users apply it to real-life collections and evaluating the results.</w:t>
      </w:r>
    </w:p>
    <w:p w:rsidR="00000000" w:rsidDel="00000000" w:rsidP="00000000" w:rsidRDefault="00000000" w:rsidRPr="00000000" w14:paraId="0000002B">
      <w:pPr>
        <w:spacing w:after="120" w:line="240" w:lineRule="auto"/>
        <w:ind w:firstLine="34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There is limited prior research on evaluating methods for taxonomies in library and information science literature. </w:t>
      </w:r>
      <w:r w:rsidDel="00000000" w:rsidR="00000000" w:rsidRPr="00000000">
        <w:rPr>
          <w:rFonts w:ascii="Open Sans" w:cs="Open Sans" w:eastAsia="Open Sans" w:hAnsi="Open Sans"/>
          <w:sz w:val="20"/>
          <w:szCs w:val="20"/>
          <w:rtl w:val="0"/>
        </w:rPr>
        <w:t xml:space="preserve">Reference [2]</w:t>
      </w:r>
      <w:r w:rsidDel="00000000" w:rsidR="00000000" w:rsidRPr="00000000">
        <w:rPr>
          <w:rFonts w:ascii="Open Sans" w:cs="Open Sans" w:eastAsia="Open Sans" w:hAnsi="Open Sans"/>
          <w:sz w:val="20"/>
          <w:szCs w:val="20"/>
          <w:rtl w:val="0"/>
        </w:rPr>
        <w:t xml:space="preserve"> does provide a set of qualities by which a taxonomy may be evaluated (concise, robust, comprehensive, extendible, and explanatory) and that serves as a frame for analysis. </w:t>
      </w:r>
    </w:p>
    <w:p w:rsidR="00000000" w:rsidDel="00000000" w:rsidP="00000000" w:rsidRDefault="00000000" w:rsidRPr="00000000" w14:paraId="0000002C">
      <w:pPr>
        <w:spacing w:after="120" w:line="240" w:lineRule="auto"/>
        <w:ind w:firstLine="34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Stated formally, our research questions are: 1) In what manner does the TVGDA exhibit the qualities of the criteria suggested in [2] for evaluating taxonomies?; 2) What suggestions can be made to further improve the TVGDA?; 3) How can this evaluation of the TVGDA inform and improve upon taxonomy evaluation processes?</w:t>
      </w:r>
    </w:p>
    <w:p w:rsidR="00000000" w:rsidDel="00000000" w:rsidP="00000000" w:rsidRDefault="00000000" w:rsidRPr="00000000" w14:paraId="0000002D">
      <w:pPr>
        <w:spacing w:after="120" w:line="240" w:lineRule="auto"/>
        <w:ind w:firstLine="34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Analysis of the TVGDA based on user feedback informs innovative strategies for preservation of materials about digital interactive games, as the TVGDA provides a controlled vocabulary (CV) capable of describing this unique set of information objects known as video game development (VGD) artifacts.</w:t>
      </w:r>
    </w:p>
    <w:p w:rsidR="00000000" w:rsidDel="00000000" w:rsidP="00000000" w:rsidRDefault="00000000" w:rsidRPr="00000000" w14:paraId="0000002E">
      <w:pPr>
        <w:pStyle w:val="Heading1"/>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Open Sans" w:cs="Open Sans" w:eastAsia="Open Sans" w:hAnsi="Open Sans"/>
          <w:smallCaps w:val="1"/>
          <w:sz w:val="20"/>
          <w:szCs w:val="20"/>
        </w:rPr>
      </w:pPr>
      <w:bookmarkStart w:colFirst="0" w:colLast="0" w:name="_heading=h.7zjzkidv7dzh" w:id="0"/>
      <w:bookmarkEnd w:id="0"/>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smallCaps w:val="1"/>
          <w:sz w:val="20"/>
          <w:szCs w:val="20"/>
          <w:rtl w:val="0"/>
        </w:rPr>
        <w:t xml:space="preserve">Literature </w:t>
      </w:r>
      <w:r w:rsidDel="00000000" w:rsidR="00000000" w:rsidRPr="00000000">
        <w:rPr>
          <w:rFonts w:ascii="Open Sans" w:cs="Open Sans" w:eastAsia="Open Sans" w:hAnsi="Open Sans"/>
          <w:smallCaps w:val="1"/>
          <w:sz w:val="20"/>
          <w:szCs w:val="20"/>
          <w:rtl w:val="0"/>
        </w:rPr>
        <w:t xml:space="preserve">Review</w:t>
      </w:r>
      <w:r w:rsidDel="00000000" w:rsidR="00000000" w:rsidRPr="00000000">
        <w:rPr>
          <w:rtl w:val="0"/>
        </w:rPr>
      </w:r>
    </w:p>
    <w:p w:rsidR="00000000" w:rsidDel="00000000" w:rsidP="00000000" w:rsidRDefault="00000000" w:rsidRPr="00000000" w14:paraId="0000002F">
      <w:pPr>
        <w:spacing w:after="120" w:line="240" w:lineRule="auto"/>
        <w:ind w:firstLine="34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Though suggested best practices for CVs and metadata exist, there is no common standard for taxonomy quality and few specifics for testing CV efficacy. “Most evaluation seeks to identify and improve metadata quality, but few attempt to define concretely what ‘quality’ entails” </w:t>
      </w:r>
      <w:r w:rsidDel="00000000" w:rsidR="00000000" w:rsidRPr="00000000">
        <w:rPr>
          <w:rFonts w:ascii="Open Sans" w:cs="Open Sans" w:eastAsia="Open Sans" w:hAnsi="Open Sans"/>
          <w:sz w:val="20"/>
          <w:szCs w:val="20"/>
          <w:rtl w:val="0"/>
        </w:rPr>
        <w:t xml:space="preserve">[3, p. 3]</w:t>
      </w:r>
      <w:r w:rsidDel="00000000" w:rsidR="00000000" w:rsidRPr="00000000">
        <w:rPr>
          <w:rFonts w:ascii="Open Sans" w:cs="Open Sans" w:eastAsia="Open Sans" w:hAnsi="Open Sans"/>
          <w:sz w:val="20"/>
          <w:szCs w:val="20"/>
          <w:rtl w:val="0"/>
        </w:rPr>
        <w:t xml:space="preserve">. Due to this lack of literature, many taxonomies remain unevaluated </w:t>
      </w:r>
      <w:r w:rsidDel="00000000" w:rsidR="00000000" w:rsidRPr="00000000">
        <w:rPr>
          <w:rFonts w:ascii="Open Sans" w:cs="Open Sans" w:eastAsia="Open Sans" w:hAnsi="Open Sans"/>
          <w:sz w:val="20"/>
          <w:szCs w:val="20"/>
          <w:rtl w:val="0"/>
        </w:rPr>
        <w:t xml:space="preserve">[4]</w:t>
      </w:r>
      <w:r w:rsidDel="00000000" w:rsidR="00000000" w:rsidRPr="00000000">
        <w:rPr>
          <w:rFonts w:ascii="Open Sans" w:cs="Open Sans" w:eastAsia="Open Sans" w:hAnsi="Open Sans"/>
          <w:sz w:val="20"/>
          <w:szCs w:val="20"/>
          <w:rtl w:val="0"/>
        </w:rPr>
        <w:t xml:space="preserve">. </w:t>
      </w:r>
      <w:r w:rsidDel="00000000" w:rsidR="00000000" w:rsidRPr="00000000">
        <w:rPr>
          <w:rFonts w:ascii="Open Sans" w:cs="Open Sans" w:eastAsia="Open Sans" w:hAnsi="Open Sans"/>
          <w:sz w:val="20"/>
          <w:szCs w:val="20"/>
          <w:rtl w:val="0"/>
        </w:rPr>
        <w:t xml:space="preserve">Reference [4]</w:t>
      </w:r>
      <w:r w:rsidDel="00000000" w:rsidR="00000000" w:rsidRPr="00000000">
        <w:rPr>
          <w:rFonts w:ascii="Open Sans" w:cs="Open Sans" w:eastAsia="Open Sans" w:hAnsi="Open Sans"/>
          <w:sz w:val="20"/>
          <w:szCs w:val="20"/>
          <w:rtl w:val="0"/>
        </w:rPr>
        <w:t xml:space="preserve"> breaks down the evaluative practices discovered through their literature review into five categories: Logical Argument, Expert Evaluation, Action Research, Case Study, and Illustrative Scenario.</w:t>
      </w:r>
    </w:p>
    <w:p w:rsidR="00000000" w:rsidDel="00000000" w:rsidP="00000000" w:rsidRDefault="00000000" w:rsidRPr="00000000" w14:paraId="00000030">
      <w:pPr>
        <w:spacing w:after="120" w:line="240" w:lineRule="auto"/>
        <w:ind w:firstLine="34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Reference [2] recommends a set of attributes by which taxonomies might be evaluated, proposing that good taxonomies are concise (limited enough in detail as to afford easy use), robust (complex enough to differentiate between objects), comprehensive (able to address any object in the domain and/or addressing all aspects of objects in the domain), extendible (able to include new dimensions), and explanatory (“provide useful explanations of the nature of the objects under study” [2, p. 342]). Specific tests for these attributes are not offered. Instead, the authors point out that most appropriate methods for evaluating a taxonomy are dependent on how the taxonomy will be used as implemented. While best practices are likely to emerge as taxonomies are improved and tested over time, there will likely remain no one-size-fits-all approach.</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080" w:right="0" w:hanging="360"/>
        <w:jc w:val="both"/>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Considerations for Classifying VGD Artifacts</w:t>
      </w:r>
    </w:p>
    <w:p w:rsidR="00000000" w:rsidDel="00000000" w:rsidP="00000000" w:rsidRDefault="00000000" w:rsidRPr="00000000" w14:paraId="00000032">
      <w:pPr>
        <w:spacing w:after="120" w:line="240" w:lineRule="auto"/>
        <w:ind w:firstLine="34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For audio and video, organizations such as the Association of Moving Image Archivists (AMIA) assist archivists in describing “Moving Image and Sound Collections” </w:t>
      </w:r>
      <w:r w:rsidDel="00000000" w:rsidR="00000000" w:rsidRPr="00000000">
        <w:rPr>
          <w:rFonts w:ascii="Open Sans" w:cs="Open Sans" w:eastAsia="Open Sans" w:hAnsi="Open Sans"/>
          <w:sz w:val="20"/>
          <w:szCs w:val="20"/>
          <w:rtl w:val="0"/>
        </w:rPr>
        <w:t xml:space="preserve">[5]</w:t>
      </w:r>
      <w:r w:rsidDel="00000000" w:rsidR="00000000" w:rsidRPr="00000000">
        <w:rPr>
          <w:rFonts w:ascii="Open Sans" w:cs="Open Sans" w:eastAsia="Open Sans" w:hAnsi="Open Sans"/>
          <w:sz w:val="20"/>
          <w:szCs w:val="20"/>
          <w:rtl w:val="0"/>
        </w:rPr>
        <w:t xml:space="preserve">. While these collections have received more attention in recent years (c.f. </w:t>
      </w:r>
      <w:r w:rsidDel="00000000" w:rsidR="00000000" w:rsidRPr="00000000">
        <w:rPr>
          <w:rFonts w:ascii="Open Sans" w:cs="Open Sans" w:eastAsia="Open Sans" w:hAnsi="Open Sans"/>
          <w:sz w:val="20"/>
          <w:szCs w:val="20"/>
          <w:rtl w:val="0"/>
        </w:rPr>
        <w:t xml:space="preserve">[6]</w:t>
      </w:r>
      <w:r w:rsidDel="00000000" w:rsidR="00000000" w:rsidRPr="00000000">
        <w:rPr>
          <w:rFonts w:ascii="Open Sans" w:cs="Open Sans" w:eastAsia="Open Sans" w:hAnsi="Open Sans"/>
          <w:sz w:val="20"/>
          <w:szCs w:val="20"/>
          <w:rtl w:val="0"/>
        </w:rPr>
        <w:t xml:space="preserve">), existing guidelines lack information on video games and their development artifacts. </w:t>
      </w:r>
      <w:r w:rsidDel="00000000" w:rsidR="00000000" w:rsidRPr="00000000">
        <w:rPr>
          <w:rFonts w:ascii="Open Sans" w:cs="Open Sans" w:eastAsia="Open Sans" w:hAnsi="Open Sans"/>
          <w:sz w:val="20"/>
          <w:szCs w:val="20"/>
          <w:rtl w:val="0"/>
        </w:rPr>
        <w:t xml:space="preserve">Reference [7]</w:t>
      </w:r>
      <w:r w:rsidDel="00000000" w:rsidR="00000000" w:rsidRPr="00000000">
        <w:rPr>
          <w:rFonts w:ascii="Open Sans" w:cs="Open Sans" w:eastAsia="Open Sans" w:hAnsi="Open Sans"/>
          <w:sz w:val="20"/>
          <w:szCs w:val="20"/>
          <w:rtl w:val="0"/>
        </w:rPr>
        <w:t xml:space="preserve"> finds that the closest conceptual standard for the description of VDG artifacts is in Describing Archives: A Content Standard (DACS) </w:t>
      </w:r>
      <w:r w:rsidDel="00000000" w:rsidR="00000000" w:rsidRPr="00000000">
        <w:rPr>
          <w:rFonts w:ascii="Open Sans" w:cs="Open Sans" w:eastAsia="Open Sans" w:hAnsi="Open Sans"/>
          <w:sz w:val="20"/>
          <w:szCs w:val="20"/>
          <w:rtl w:val="0"/>
        </w:rPr>
        <w:t xml:space="preserve">[8]</w:t>
      </w:r>
      <w:r w:rsidDel="00000000" w:rsidR="00000000" w:rsidRPr="00000000">
        <w:rPr>
          <w:rFonts w:ascii="Open Sans" w:cs="Open Sans" w:eastAsia="Open Sans" w:hAnsi="Open Sans"/>
          <w:sz w:val="20"/>
          <w:szCs w:val="20"/>
          <w:rtl w:val="0"/>
        </w:rPr>
        <w:t xml:space="preserve">, noting there have not been enough accessions of </w:t>
      </w:r>
      <w:r w:rsidDel="00000000" w:rsidR="00000000" w:rsidRPr="00000000">
        <w:rPr>
          <w:rFonts w:ascii="Open Sans" w:cs="Open Sans" w:eastAsia="Open Sans" w:hAnsi="Open Sans"/>
          <w:sz w:val="20"/>
          <w:szCs w:val="20"/>
          <w:rtl w:val="0"/>
        </w:rPr>
        <w:t xml:space="preserve">VGD</w:t>
      </w:r>
      <w:r w:rsidDel="00000000" w:rsidR="00000000" w:rsidRPr="00000000">
        <w:rPr>
          <w:rFonts w:ascii="Open Sans" w:cs="Open Sans" w:eastAsia="Open Sans" w:hAnsi="Open Sans"/>
          <w:sz w:val="20"/>
          <w:szCs w:val="20"/>
          <w:rtl w:val="0"/>
        </w:rPr>
        <w:t xml:space="preserve"> artifacts performed to properly judge its appropriateness. This assertion necessitates content standards specific to </w:t>
      </w:r>
      <w:r w:rsidDel="00000000" w:rsidR="00000000" w:rsidRPr="00000000">
        <w:rPr>
          <w:rFonts w:ascii="Open Sans" w:cs="Open Sans" w:eastAsia="Open Sans" w:hAnsi="Open Sans"/>
          <w:sz w:val="20"/>
          <w:szCs w:val="20"/>
          <w:rtl w:val="0"/>
        </w:rPr>
        <w:t xml:space="preserve">VGD</w:t>
      </w:r>
      <w:r w:rsidDel="00000000" w:rsidR="00000000" w:rsidRPr="00000000">
        <w:rPr>
          <w:rFonts w:ascii="Open Sans" w:cs="Open Sans" w:eastAsia="Open Sans" w:hAnsi="Open Sans"/>
          <w:sz w:val="20"/>
          <w:szCs w:val="20"/>
          <w:rtl w:val="0"/>
        </w:rPr>
        <w:t xml:space="preserve"> artifacts. </w:t>
      </w:r>
      <w:r w:rsidDel="00000000" w:rsidR="00000000" w:rsidRPr="00000000">
        <w:rPr>
          <w:rFonts w:ascii="Open Sans" w:cs="Open Sans" w:eastAsia="Open Sans" w:hAnsi="Open Sans"/>
          <w:sz w:val="20"/>
          <w:szCs w:val="20"/>
          <w:rtl w:val="0"/>
        </w:rPr>
        <w:t xml:space="preserve">VGD</w:t>
      </w:r>
      <w:r w:rsidDel="00000000" w:rsidR="00000000" w:rsidRPr="00000000">
        <w:rPr>
          <w:rFonts w:ascii="Open Sans" w:cs="Open Sans" w:eastAsia="Open Sans" w:hAnsi="Open Sans"/>
          <w:sz w:val="20"/>
          <w:szCs w:val="20"/>
          <w:rtl w:val="0"/>
        </w:rPr>
        <w:t xml:space="preserve"> projects, while creating digital products, began before the “digital revolution… when email blasts replaced circulated paper” </w:t>
      </w:r>
      <w:r w:rsidDel="00000000" w:rsidR="00000000" w:rsidRPr="00000000">
        <w:rPr>
          <w:rFonts w:ascii="Open Sans" w:cs="Open Sans" w:eastAsia="Open Sans" w:hAnsi="Open Sans"/>
          <w:sz w:val="20"/>
          <w:szCs w:val="20"/>
          <w:rtl w:val="0"/>
        </w:rPr>
        <w:t xml:space="preserve">[9, p. 85; 10]</w:t>
      </w:r>
      <w:r w:rsidDel="00000000" w:rsidR="00000000" w:rsidRPr="00000000">
        <w:rPr>
          <w:rFonts w:ascii="Open Sans" w:cs="Open Sans" w:eastAsia="Open Sans" w:hAnsi="Open Sans"/>
          <w:sz w:val="20"/>
          <w:szCs w:val="20"/>
          <w:rtl w:val="0"/>
        </w:rPr>
        <w:t xml:space="preserve">, so their legacy artifacts are both physical and born-digital. The industry has obvious archiving needs for born-digital artifacts, which is an area of classification for which DACS may not yet be well equipped [7]. There continue to be several types of artifacts involved in </w:t>
      </w:r>
      <w:r w:rsidDel="00000000" w:rsidR="00000000" w:rsidRPr="00000000">
        <w:rPr>
          <w:rFonts w:ascii="Open Sans" w:cs="Open Sans" w:eastAsia="Open Sans" w:hAnsi="Open Sans"/>
          <w:sz w:val="20"/>
          <w:szCs w:val="20"/>
          <w:rtl w:val="0"/>
        </w:rPr>
        <w:t xml:space="preserve">VGD</w:t>
      </w:r>
      <w:r w:rsidDel="00000000" w:rsidR="00000000" w:rsidRPr="00000000">
        <w:rPr>
          <w:rFonts w:ascii="Open Sans" w:cs="Open Sans" w:eastAsia="Open Sans" w:hAnsi="Open Sans"/>
          <w:sz w:val="20"/>
          <w:szCs w:val="20"/>
          <w:rtl w:val="0"/>
        </w:rPr>
        <w:t xml:space="preserve"> that are in physical format, too. Thus, tools designed for video game archivists and historians need to consider born-digital, physical, and digitized artifacts. The TVGDA framework is intended to remain stable as technology evolves while providing enough context in scope notes that new forms of VGD artifacts will be classifiable.</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1080" w:right="0" w:hanging="360"/>
        <w:jc w:val="both"/>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User-focused Research Principles</w:t>
      </w:r>
    </w:p>
    <w:p w:rsidR="00000000" w:rsidDel="00000000" w:rsidP="00000000" w:rsidRDefault="00000000" w:rsidRPr="00000000" w14:paraId="00000034">
      <w:pPr>
        <w:spacing w:after="120" w:line="240" w:lineRule="auto"/>
        <w:ind w:firstLine="34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Preserving video game information through metadata is a massive challenge </w:t>
      </w:r>
      <w:r w:rsidDel="00000000" w:rsidR="00000000" w:rsidRPr="00000000">
        <w:rPr>
          <w:rFonts w:ascii="Open Sans" w:cs="Open Sans" w:eastAsia="Open Sans" w:hAnsi="Open Sans"/>
          <w:sz w:val="20"/>
          <w:szCs w:val="20"/>
          <w:rtl w:val="0"/>
        </w:rPr>
        <w:t xml:space="preserve">[11]</w:t>
      </w:r>
      <w:r w:rsidDel="00000000" w:rsidR="00000000" w:rsidRPr="00000000">
        <w:rPr>
          <w:rFonts w:ascii="Open Sans" w:cs="Open Sans" w:eastAsia="Open Sans" w:hAnsi="Open Sans"/>
          <w:sz w:val="20"/>
          <w:szCs w:val="20"/>
          <w:rtl w:val="0"/>
        </w:rPr>
        <w:t xml:space="preserve">. The more we understand video games, the more we recognize the difficulties of applying current standards and rules to describe them, and even more so for VGD artifacts.</w:t>
      </w:r>
    </w:p>
    <w:p w:rsidR="00000000" w:rsidDel="00000000" w:rsidP="00000000" w:rsidRDefault="00000000" w:rsidRPr="00000000" w14:paraId="00000035">
      <w:pPr>
        <w:spacing w:after="120" w:line="240" w:lineRule="auto"/>
        <w:ind w:firstLine="34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There have been initiatives to improve the organization and description of games and VGD artifacts. For example, </w:t>
      </w:r>
      <w:r w:rsidDel="00000000" w:rsidR="00000000" w:rsidRPr="00000000">
        <w:rPr>
          <w:rFonts w:ascii="Open Sans" w:cs="Open Sans" w:eastAsia="Open Sans" w:hAnsi="Open Sans"/>
          <w:sz w:val="20"/>
          <w:szCs w:val="20"/>
          <w:rtl w:val="0"/>
        </w:rPr>
        <w:t xml:space="preserve">[12]</w:t>
      </w:r>
      <w:r w:rsidDel="00000000" w:rsidR="00000000" w:rsidRPr="00000000">
        <w:rPr>
          <w:rFonts w:ascii="Open Sans" w:cs="Open Sans" w:eastAsia="Open Sans" w:hAnsi="Open Sans"/>
          <w:sz w:val="20"/>
          <w:szCs w:val="20"/>
          <w:rtl w:val="0"/>
        </w:rPr>
        <w:t xml:space="preserve"> established the Video Game Metadata Schema (VGMS) as a “list of elements which form a metadata schema for describing video games.” Reference </w:t>
      </w:r>
      <w:r w:rsidDel="00000000" w:rsidR="00000000" w:rsidRPr="00000000">
        <w:rPr>
          <w:rFonts w:ascii="Open Sans" w:cs="Open Sans" w:eastAsia="Open Sans" w:hAnsi="Open Sans"/>
          <w:sz w:val="20"/>
          <w:szCs w:val="20"/>
          <w:rtl w:val="0"/>
        </w:rPr>
        <w:t xml:space="preserve">[13]</w:t>
      </w:r>
      <w:r w:rsidDel="00000000" w:rsidR="00000000" w:rsidRPr="00000000">
        <w:rPr>
          <w:rFonts w:ascii="Open Sans" w:cs="Open Sans" w:eastAsia="Open Sans" w:hAnsi="Open Sans"/>
          <w:sz w:val="20"/>
          <w:szCs w:val="20"/>
          <w:rtl w:val="0"/>
        </w:rPr>
        <w:t xml:space="preserve"> utilized user interviews to “derive and discuss key design implications for video game information systems [(IS)]…” [p. 833] to improve game-related IS. These user-focused research projects form the basis of similar metadata and taxonomical structures related to video game digital assets and ephemera.</w:t>
      </w:r>
    </w:p>
    <w:p w:rsidR="00000000" w:rsidDel="00000000" w:rsidP="00000000" w:rsidRDefault="00000000" w:rsidRPr="00000000" w14:paraId="00000036">
      <w:pPr>
        <w:spacing w:after="120" w:line="240" w:lineRule="auto"/>
        <w:ind w:firstLine="34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TVGDA is one such example, specifically targeted at organizing and describing VGD artifacts. The TVGDA was created for three classes of users: industry professionals, information professionals, and game researchers. It has a single dimension, used to describe a </w:t>
      </w:r>
      <w:r w:rsidDel="00000000" w:rsidR="00000000" w:rsidRPr="00000000">
        <w:rPr>
          <w:rFonts w:ascii="Open Sans" w:cs="Open Sans" w:eastAsia="Open Sans" w:hAnsi="Open Sans"/>
          <w:sz w:val="20"/>
          <w:szCs w:val="20"/>
          <w:rtl w:val="0"/>
        </w:rPr>
        <w:t xml:space="preserve">VGD</w:t>
      </w:r>
      <w:r w:rsidDel="00000000" w:rsidR="00000000" w:rsidRPr="00000000">
        <w:rPr>
          <w:rFonts w:ascii="Open Sans" w:cs="Open Sans" w:eastAsia="Open Sans" w:hAnsi="Open Sans"/>
          <w:sz w:val="20"/>
          <w:szCs w:val="20"/>
          <w:rtl w:val="0"/>
        </w:rPr>
        <w:t xml:space="preserve"> artifact’s type. Taking its warrant from industry use, the TVGDA “is organized into three broad sections including (a) Development (with seven subsections), (b) Organization-Related Materials, and (c) Marketing (with four subsections), representing different aspects and timelines of game development” [7, p. 548]. It includes 123 industry terms with scope notes and additional lead-in terms. </w:t>
      </w:r>
    </w:p>
    <w:p w:rsidR="00000000" w:rsidDel="00000000" w:rsidP="00000000" w:rsidRDefault="00000000" w:rsidRPr="00000000" w14:paraId="00000037">
      <w:pPr>
        <w:pStyle w:val="Heading1"/>
        <w:keepNext w:val="0"/>
        <w:keepLines w:val="0"/>
        <w:numPr>
          <w:ilvl w:val="0"/>
          <w:numId w:val="2"/>
        </w:numPr>
        <w:spacing w:before="240" w:line="240" w:lineRule="auto"/>
        <w:ind w:left="0" w:firstLine="0"/>
        <w:jc w:val="center"/>
        <w:rPr>
          <w:rFonts w:ascii="Open Sans" w:cs="Open Sans" w:eastAsia="Open Sans" w:hAnsi="Open Sans"/>
          <w:smallCaps w:val="1"/>
          <w:sz w:val="20"/>
          <w:szCs w:val="20"/>
        </w:rPr>
      </w:pPr>
      <w:bookmarkStart w:colFirst="0" w:colLast="0" w:name="_heading=h.30j0zll" w:id="1"/>
      <w:bookmarkEnd w:id="1"/>
      <w:r w:rsidDel="00000000" w:rsidR="00000000" w:rsidRPr="00000000">
        <w:rPr>
          <w:rFonts w:ascii="Open Sans" w:cs="Open Sans" w:eastAsia="Open Sans" w:hAnsi="Open Sans"/>
          <w:smallCaps w:val="1"/>
          <w:sz w:val="20"/>
          <w:szCs w:val="20"/>
          <w:rtl w:val="0"/>
        </w:rPr>
        <w:t xml:space="preserve">Methods</w:t>
      </w:r>
    </w:p>
    <w:p w:rsidR="00000000" w:rsidDel="00000000" w:rsidP="00000000" w:rsidRDefault="00000000" w:rsidRPr="00000000" w14:paraId="00000038">
      <w:pPr>
        <w:spacing w:after="120" w:line="240" w:lineRule="auto"/>
        <w:ind w:firstLine="34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​​Per [8], TVGDA evaluation began by applying the taxonomy to 1,000 VGD objects, supplemented by two expert evaluation interviews. Data gathering took place as a graduate-level class cataloging assignment based on an online archive of VGD artifacts and a pair of individual tests on institutional collections. These methods allowed us to test consistency of use as well as applicability across multiple collections. The expert evaluation interviews were conducted as follow-up interviews on the latter two collections.</w:t>
      </w:r>
    </w:p>
    <w:p w:rsidR="00000000" w:rsidDel="00000000" w:rsidP="00000000" w:rsidRDefault="00000000" w:rsidRPr="00000000" w14:paraId="00000039">
      <w:pPr>
        <w:pStyle w:val="Heading1"/>
        <w:keepNext w:val="0"/>
        <w:keepLines w:val="0"/>
        <w:numPr>
          <w:ilvl w:val="0"/>
          <w:numId w:val="2"/>
        </w:numPr>
        <w:spacing w:before="240" w:line="240" w:lineRule="auto"/>
        <w:ind w:left="0" w:firstLine="0"/>
        <w:jc w:val="center"/>
        <w:rPr>
          <w:rFonts w:ascii="Open Sans" w:cs="Open Sans" w:eastAsia="Open Sans" w:hAnsi="Open Sans"/>
          <w:smallCaps w:val="1"/>
          <w:sz w:val="20"/>
          <w:szCs w:val="20"/>
        </w:rPr>
      </w:pPr>
      <w:bookmarkStart w:colFirst="0" w:colLast="0" w:name="_heading=h.1fob9te" w:id="2"/>
      <w:bookmarkEnd w:id="2"/>
      <w:r w:rsidDel="00000000" w:rsidR="00000000" w:rsidRPr="00000000">
        <w:rPr>
          <w:rFonts w:ascii="Open Sans" w:cs="Open Sans" w:eastAsia="Open Sans" w:hAnsi="Open Sans"/>
          <w:smallCaps w:val="1"/>
          <w:sz w:val="20"/>
          <w:szCs w:val="20"/>
          <w:rtl w:val="0"/>
        </w:rPr>
        <w:t xml:space="preserve">Findings and Discussion</w:t>
      </w:r>
    </w:p>
    <w:p w:rsidR="00000000" w:rsidDel="00000000" w:rsidP="00000000" w:rsidRDefault="00000000" w:rsidRPr="00000000" w14:paraId="0000003A">
      <w:pPr>
        <w:spacing w:after="120" w:line="240" w:lineRule="auto"/>
        <w:ind w:firstLine="34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We used the criteria in [2] to frame our evaluation: We consider whether the TVGDA is comprehensive, </w:t>
      </w:r>
      <w:r w:rsidDel="00000000" w:rsidR="00000000" w:rsidRPr="00000000">
        <w:rPr>
          <w:rFonts w:ascii="Open Sans" w:cs="Open Sans" w:eastAsia="Open Sans" w:hAnsi="Open Sans"/>
          <w:sz w:val="20"/>
          <w:szCs w:val="20"/>
          <w:rtl w:val="0"/>
        </w:rPr>
        <w:t xml:space="preserve">concise, robust, explanatory, and extendible</w:t>
      </w:r>
      <w:r w:rsidDel="00000000" w:rsidR="00000000" w:rsidRPr="00000000">
        <w:rPr>
          <w:rFonts w:ascii="Open Sans" w:cs="Open Sans" w:eastAsia="Open Sans" w:hAnsi="Open Sans"/>
          <w:sz w:val="20"/>
          <w:szCs w:val="20"/>
          <w:rtl w:val="0"/>
        </w:rPr>
        <w:t xml:space="preserve">. </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080" w:right="0" w:hanging="360"/>
        <w:jc w:val="both"/>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Comprehensiveness</w:t>
      </w:r>
      <w:r w:rsidDel="00000000" w:rsidR="00000000" w:rsidRPr="00000000">
        <w:rPr>
          <w:rtl w:val="0"/>
        </w:rPr>
      </w:r>
    </w:p>
    <w:p w:rsidR="00000000" w:rsidDel="00000000" w:rsidP="00000000" w:rsidRDefault="00000000" w:rsidRPr="00000000" w14:paraId="0000003C">
      <w:pPr>
        <w:spacing w:after="120" w:line="240" w:lineRule="auto"/>
        <w:ind w:firstLine="34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Comprehensive is the quality of covering all objects in the intended domain, or of including enough dimensions to describe the domain [4]. </w:t>
      </w:r>
    </w:p>
    <w:p w:rsidR="00000000" w:rsidDel="00000000" w:rsidP="00000000" w:rsidRDefault="00000000" w:rsidRPr="00000000" w14:paraId="0000003D">
      <w:pPr>
        <w:spacing w:after="120" w:line="240" w:lineRule="auto"/>
        <w:ind w:firstLine="340"/>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Coverage. </w:t>
      </w:r>
      <w:r w:rsidDel="00000000" w:rsidR="00000000" w:rsidRPr="00000000">
        <w:rPr>
          <w:rFonts w:ascii="Open Sans" w:cs="Open Sans" w:eastAsia="Open Sans" w:hAnsi="Open Sans"/>
          <w:sz w:val="20"/>
          <w:szCs w:val="20"/>
          <w:rtl w:val="0"/>
        </w:rPr>
        <w:t xml:space="preserve">At 123 terms, the TVGDA is an extensive representation of </w:t>
      </w:r>
      <w:r w:rsidDel="00000000" w:rsidR="00000000" w:rsidRPr="00000000">
        <w:rPr>
          <w:rFonts w:ascii="Open Sans" w:cs="Open Sans" w:eastAsia="Open Sans" w:hAnsi="Open Sans"/>
          <w:sz w:val="20"/>
          <w:szCs w:val="20"/>
          <w:rtl w:val="0"/>
        </w:rPr>
        <w:t xml:space="preserve">VGD</w:t>
      </w:r>
      <w:r w:rsidDel="00000000" w:rsidR="00000000" w:rsidRPr="00000000">
        <w:rPr>
          <w:rFonts w:ascii="Open Sans" w:cs="Open Sans" w:eastAsia="Open Sans" w:hAnsi="Open Sans"/>
          <w:sz w:val="20"/>
          <w:szCs w:val="20"/>
          <w:rtl w:val="0"/>
        </w:rPr>
        <w:t xml:space="preserve"> artifacts. Analysis shows far more difficulty deciding between terms than finding an applicable term. That said, results did include indications of possible missing terms.</w:t>
      </w:r>
    </w:p>
    <w:p w:rsidR="00000000" w:rsidDel="00000000" w:rsidP="00000000" w:rsidRDefault="00000000" w:rsidRPr="00000000" w14:paraId="0000003E">
      <w:pPr>
        <w:spacing w:after="120" w:line="240" w:lineRule="auto"/>
        <w:ind w:firstLine="34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There were more than 20 comments from graduate catalogers requesting or suggesting new terms, often narrower terms for artifacts with niche purposes. These suggestions usually came from working with difficult-to-describe materials, including game control or navigation graphics, tables of contents, barcodes, and physical comic books. Still, these suggested terms may be requesting a level of specificity that may not be necessary in the TVGDA. </w:t>
      </w:r>
    </w:p>
    <w:p w:rsidR="00000000" w:rsidDel="00000000" w:rsidP="00000000" w:rsidRDefault="00000000" w:rsidRPr="00000000" w14:paraId="0000003F">
      <w:pPr>
        <w:spacing w:after="120" w:line="240" w:lineRule="auto"/>
        <w:ind w:firstLine="340"/>
        <w:jc w:val="both"/>
        <w:rPr>
          <w:rFonts w:ascii="Open Sans" w:cs="Open Sans" w:eastAsia="Open Sans" w:hAnsi="Open Sans"/>
          <w:sz w:val="20"/>
          <w:szCs w:val="20"/>
        </w:rPr>
      </w:pPr>
      <w:r w:rsidDel="00000000" w:rsidR="00000000" w:rsidRPr="00000000">
        <w:rPr>
          <w:rFonts w:ascii="Open Sans" w:cs="Open Sans" w:eastAsia="Open Sans" w:hAnsi="Open Sans"/>
          <w:b w:val="1"/>
          <w:sz w:val="20"/>
          <w:szCs w:val="20"/>
          <w:rtl w:val="0"/>
        </w:rPr>
        <w:t xml:space="preserve">Dimensionality. </w:t>
      </w:r>
      <w:r w:rsidDel="00000000" w:rsidR="00000000" w:rsidRPr="00000000">
        <w:rPr>
          <w:rFonts w:ascii="Open Sans" w:cs="Open Sans" w:eastAsia="Open Sans" w:hAnsi="Open Sans"/>
          <w:sz w:val="20"/>
          <w:szCs w:val="20"/>
          <w:rtl w:val="0"/>
        </w:rPr>
        <w:t xml:space="preserve">Comprehensive taxonomies should contain enough dimensions to describe the domain. Specifically, [2] says: “a useful taxonomy includes all dimensions of objects of interest” [p. 341]. This is differentiated from robustness, defined as, “enough dimensions and characteristics to clearly differentiate the objects of interest” [p. 341]. Comprehension and robustness must be balanced in each taxonomy. The TVGDA is a unidimensional expression of an artifact’s type in a highly specific domain, but institutional implementations would certainly include other dimensions (also present in the student cataloging exercise). We continue the analysis of dimensionality below, under Robustness.</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080" w:right="0" w:hanging="360"/>
        <w:jc w:val="both"/>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Conciseness</w:t>
      </w:r>
      <w:r w:rsidDel="00000000" w:rsidR="00000000" w:rsidRPr="00000000">
        <w:rPr>
          <w:rtl w:val="0"/>
        </w:rPr>
      </w:r>
    </w:p>
    <w:p w:rsidR="00000000" w:rsidDel="00000000" w:rsidP="00000000" w:rsidRDefault="00000000" w:rsidRPr="00000000" w14:paraId="00000041">
      <w:pPr>
        <w:spacing w:after="120" w:line="240" w:lineRule="auto"/>
        <w:ind w:firstLine="34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Concision is the quality of parsimony and limited complexity and is at tension with the quality comprehensiveness [2]. Graduate catalogers were not asked to review this quality of the TVGDA but the research team notes that the TVGDA prefers comprehensiveness to concision. </w:t>
      </w:r>
    </w:p>
    <w:p w:rsidR="00000000" w:rsidDel="00000000" w:rsidP="00000000" w:rsidRDefault="00000000" w:rsidRPr="00000000" w14:paraId="00000042">
      <w:pPr>
        <w:spacing w:after="120" w:line="240" w:lineRule="auto"/>
        <w:ind w:firstLine="34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sheer number of terms may also be a factor in relatively low intercoder agreement (see Explanatory Power, below) as catalogers fall back on familiar terms where less-used terms may be more appropriate. The TVGDA’s caretakers should consider user studies to reduce the number of broad terms, easing the conceptual load required for high-level classification of artifacts while allowing interested parties to use narrower terms for detail.</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080" w:right="0" w:hanging="360"/>
        <w:jc w:val="both"/>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Robustness</w:t>
      </w:r>
    </w:p>
    <w:p w:rsidR="00000000" w:rsidDel="00000000" w:rsidP="00000000" w:rsidRDefault="00000000" w:rsidRPr="00000000" w14:paraId="00000044">
      <w:pPr>
        <w:spacing w:after="120" w:line="240" w:lineRule="auto"/>
        <w:ind w:firstLine="34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Robust is the quality of allowing catalogers to differentiate between objects: “enough dimensions and characteristics to clearly differentiate the objects of interest” [2, p. 341].</w:t>
      </w:r>
    </w:p>
    <w:p w:rsidR="00000000" w:rsidDel="00000000" w:rsidP="00000000" w:rsidRDefault="00000000" w:rsidRPr="00000000" w14:paraId="00000045">
      <w:pPr>
        <w:spacing w:after="120" w:line="240" w:lineRule="auto"/>
        <w:ind w:firstLine="34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Test catalogers had problems choosing terms in this unidimensional taxonomy. For example, participants vacillated between </w:t>
      </w:r>
      <w:r w:rsidDel="00000000" w:rsidR="00000000" w:rsidRPr="00000000">
        <w:rPr>
          <w:rFonts w:ascii="Open Sans" w:cs="Open Sans" w:eastAsia="Open Sans" w:hAnsi="Open Sans"/>
          <w:i w:val="1"/>
          <w:sz w:val="20"/>
          <w:szCs w:val="20"/>
          <w:rtl w:val="0"/>
        </w:rPr>
        <w:t xml:space="preserve">screenshot</w:t>
      </w:r>
      <w:r w:rsidDel="00000000" w:rsidR="00000000" w:rsidRPr="00000000">
        <w:rPr>
          <w:rFonts w:ascii="Open Sans" w:cs="Open Sans" w:eastAsia="Open Sans" w:hAnsi="Open Sans"/>
          <w:sz w:val="20"/>
          <w:szCs w:val="20"/>
          <w:rtl w:val="0"/>
        </w:rPr>
        <w:t xml:space="preserve"> (“Image captured from a game during play” </w:t>
      </w:r>
      <w:r w:rsidDel="00000000" w:rsidR="00000000" w:rsidRPr="00000000">
        <w:rPr>
          <w:rFonts w:ascii="Open Sans" w:cs="Open Sans" w:eastAsia="Open Sans" w:hAnsi="Open Sans"/>
          <w:sz w:val="20"/>
          <w:szCs w:val="20"/>
          <w:rtl w:val="0"/>
        </w:rPr>
        <w:t xml:space="preserve">[14, p. 6]</w:t>
      </w:r>
      <w:r w:rsidDel="00000000" w:rsidR="00000000" w:rsidRPr="00000000">
        <w:rPr>
          <w:rFonts w:ascii="Open Sans" w:cs="Open Sans" w:eastAsia="Open Sans" w:hAnsi="Open Sans"/>
          <w:sz w:val="20"/>
          <w:szCs w:val="20"/>
          <w:rtl w:val="0"/>
        </w:rPr>
        <w:t xml:space="preserve"> and </w:t>
      </w:r>
      <w:r w:rsidDel="00000000" w:rsidR="00000000" w:rsidRPr="00000000">
        <w:rPr>
          <w:rFonts w:ascii="Open Sans" w:cs="Open Sans" w:eastAsia="Open Sans" w:hAnsi="Open Sans"/>
          <w:i w:val="1"/>
          <w:sz w:val="20"/>
          <w:szCs w:val="20"/>
          <w:rtl w:val="0"/>
        </w:rPr>
        <w:t xml:space="preserve">art asset</w:t>
      </w:r>
      <w:r w:rsidDel="00000000" w:rsidR="00000000" w:rsidRPr="00000000">
        <w:rPr>
          <w:rFonts w:ascii="Open Sans" w:cs="Open Sans" w:eastAsia="Open Sans" w:hAnsi="Open Sans"/>
          <w:sz w:val="20"/>
          <w:szCs w:val="20"/>
          <w:rtl w:val="0"/>
        </w:rPr>
        <w:t xml:space="preserve"> (“Any artwork used in a released version of the video game, such as 3D models or 2D artwork” [14 p. 5]). The intended purposes of an image may be required to determine whether any given image is a </w:t>
      </w:r>
      <w:r w:rsidDel="00000000" w:rsidR="00000000" w:rsidRPr="00000000">
        <w:rPr>
          <w:rFonts w:ascii="Open Sans" w:cs="Open Sans" w:eastAsia="Open Sans" w:hAnsi="Open Sans"/>
          <w:i w:val="1"/>
          <w:sz w:val="20"/>
          <w:szCs w:val="20"/>
          <w:rtl w:val="0"/>
        </w:rPr>
        <w:t xml:space="preserve">screenshot</w:t>
      </w:r>
      <w:r w:rsidDel="00000000" w:rsidR="00000000" w:rsidRPr="00000000">
        <w:rPr>
          <w:rFonts w:ascii="Open Sans" w:cs="Open Sans" w:eastAsia="Open Sans" w:hAnsi="Open Sans"/>
          <w:sz w:val="20"/>
          <w:szCs w:val="20"/>
          <w:rtl w:val="0"/>
        </w:rPr>
        <w:t xml:space="preserve"> or one of the other graphical artifact types.  </w:t>
      </w:r>
    </w:p>
    <w:p w:rsidR="00000000" w:rsidDel="00000000" w:rsidP="00000000" w:rsidRDefault="00000000" w:rsidRPr="00000000" w14:paraId="00000046">
      <w:pPr>
        <w:spacing w:after="120" w:line="240" w:lineRule="auto"/>
        <w:ind w:firstLine="34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The all-digital online archive highlights another issue with images: Catalogers sometimes classified the artifact as an image and sometimes as the object depicted. Cataloging standards help information professionals understand how to classify these objects, but the TVGDA is intended to be used by creators as well.</w:t>
      </w:r>
    </w:p>
    <w:p w:rsidR="00000000" w:rsidDel="00000000" w:rsidP="00000000" w:rsidRDefault="00000000" w:rsidRPr="00000000" w14:paraId="00000047">
      <w:pPr>
        <w:spacing w:after="120" w:line="240" w:lineRule="auto"/>
        <w:ind w:firstLine="34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To make the TVGDA more robust, the research team suggests that its caretakers consider separate terms for nature and function, add additional guidance on which aspect should take priority, consider guidance on the use of multiple terms for single artifacts, and clarify the function of digital representations of physical artifacts for creators.</w:t>
      </w:r>
    </w:p>
    <w:p w:rsidR="00000000" w:rsidDel="00000000" w:rsidP="00000000" w:rsidRDefault="00000000" w:rsidRPr="00000000" w14:paraId="00000048">
      <w:pPr>
        <w:numPr>
          <w:ilvl w:val="0"/>
          <w:numId w:val="3"/>
        </w:numPr>
        <w:spacing w:after="120" w:line="240" w:lineRule="auto"/>
        <w:ind w:left="1080" w:hanging="360"/>
        <w:jc w:val="both"/>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Explanatory Power</w:t>
      </w:r>
    </w:p>
    <w:p w:rsidR="00000000" w:rsidDel="00000000" w:rsidP="00000000" w:rsidRDefault="00000000" w:rsidRPr="00000000" w14:paraId="00000049">
      <w:pPr>
        <w:spacing w:after="120" w:line="240" w:lineRule="auto"/>
        <w:ind w:firstLine="34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Explanatory is the quality of adequately describing the domain, providing “useful explanations of the nature of the objects under study” [4, p. 342]. We compared the behavior of multiple catalogers to see if they shared a common understanding of the items described. Quantitative analysis provides insights.</w:t>
      </w:r>
    </w:p>
    <w:p w:rsidR="00000000" w:rsidDel="00000000" w:rsidP="00000000" w:rsidRDefault="00000000" w:rsidRPr="00000000" w14:paraId="0000004A">
      <w:pPr>
        <w:spacing w:after="120" w:line="240" w:lineRule="auto"/>
        <w:ind w:firstLine="34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Since the artifacts were distributed to multiple groups who further distributed the work to members, assumptions for use of Cohen’s kappa (sets being compared being completed by one and only one coder </w:t>
      </w:r>
      <w:r w:rsidDel="00000000" w:rsidR="00000000" w:rsidRPr="00000000">
        <w:rPr>
          <w:rFonts w:ascii="Open Sans" w:cs="Open Sans" w:eastAsia="Open Sans" w:hAnsi="Open Sans"/>
          <w:sz w:val="20"/>
          <w:szCs w:val="20"/>
          <w:rtl w:val="0"/>
        </w:rPr>
        <w:t xml:space="preserve">[15]</w:t>
      </w:r>
      <w:r w:rsidDel="00000000" w:rsidR="00000000" w:rsidRPr="00000000">
        <w:rPr>
          <w:rFonts w:ascii="Open Sans" w:cs="Open Sans" w:eastAsia="Open Sans" w:hAnsi="Open Sans"/>
          <w:sz w:val="20"/>
          <w:szCs w:val="20"/>
          <w:rtl w:val="0"/>
        </w:rPr>
        <w:t xml:space="preserve">) were not met and could not be used. Additionally, many students selected no terms or multiple terms, so these pairings were omitted. Analysis used simple statistics regarding matches between valid pairs, but at multiple levels.</w:t>
      </w:r>
    </w:p>
    <w:p w:rsidR="00000000" w:rsidDel="00000000" w:rsidP="00000000" w:rsidRDefault="00000000" w:rsidRPr="00000000" w14:paraId="0000004B">
      <w:pPr>
        <w:spacing w:after="120" w:line="240" w:lineRule="auto"/>
        <w:ind w:firstLine="34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Many catalogers labeled items as “ambiguous” and required further analysis. Participants often noted that a lack of context meant they could not accurately assign any terms. Instead, they relied on several other indicators to attempt a classification, including inferences from file names and online searches for authoritative information. While failure to agree on understood objects shows room for improvement in the TVGDA, its caretakers have little ability to control the ambiguity of the nature of a given item, or its lack of context in an archive.</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40" w:lineRule="auto"/>
        <w:ind w:left="1080" w:right="0" w:hanging="360"/>
        <w:jc w:val="both"/>
        <w:rPr>
          <w:rFonts w:ascii="Open Sans" w:cs="Open Sans" w:eastAsia="Open Sans" w:hAnsi="Open Sans"/>
          <w:i w:val="1"/>
          <w:sz w:val="20"/>
          <w:szCs w:val="20"/>
        </w:rPr>
      </w:pPr>
      <w:r w:rsidDel="00000000" w:rsidR="00000000" w:rsidRPr="00000000">
        <w:rPr>
          <w:rFonts w:ascii="Open Sans" w:cs="Open Sans" w:eastAsia="Open Sans" w:hAnsi="Open Sans"/>
          <w:i w:val="1"/>
          <w:sz w:val="20"/>
          <w:szCs w:val="20"/>
          <w:rtl w:val="0"/>
        </w:rPr>
        <w:t xml:space="preserve">Extendibility</w:t>
      </w:r>
    </w:p>
    <w:p w:rsidR="00000000" w:rsidDel="00000000" w:rsidP="00000000" w:rsidRDefault="00000000" w:rsidRPr="00000000" w14:paraId="0000004D">
      <w:pPr>
        <w:spacing w:after="120" w:line="240" w:lineRule="auto"/>
        <w:ind w:firstLine="34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Extendable is the capacity for a taxonomy to be revised. The TVGDA is a single-dimension taxonomy, and there are no barriers to extending it in terms of adding another identified dimension or adding sections or terms to the existing dimension. In this regard, the TVGDA is extendable.</w:t>
      </w:r>
    </w:p>
    <w:p w:rsidR="00000000" w:rsidDel="00000000" w:rsidP="00000000" w:rsidRDefault="00000000" w:rsidRPr="00000000" w14:paraId="0000004E">
      <w:pPr>
        <w:pStyle w:val="Heading1"/>
        <w:keepNext w:val="0"/>
        <w:keepLines w:val="0"/>
        <w:numPr>
          <w:ilvl w:val="0"/>
          <w:numId w:val="2"/>
        </w:numPr>
        <w:spacing w:before="240" w:line="240" w:lineRule="auto"/>
        <w:jc w:val="center"/>
        <w:rPr>
          <w:rFonts w:ascii="Open Sans" w:cs="Open Sans" w:eastAsia="Open Sans" w:hAnsi="Open Sans"/>
          <w:smallCaps w:val="1"/>
          <w:sz w:val="20"/>
          <w:szCs w:val="20"/>
        </w:rPr>
      </w:pPr>
      <w:bookmarkStart w:colFirst="0" w:colLast="0" w:name="_heading=h.vw780shqg5lt" w:id="3"/>
      <w:bookmarkEnd w:id="3"/>
      <w:r w:rsidDel="00000000" w:rsidR="00000000" w:rsidRPr="00000000">
        <w:rPr>
          <w:rFonts w:ascii="Open Sans" w:cs="Open Sans" w:eastAsia="Open Sans" w:hAnsi="Open Sans"/>
          <w:smallCaps w:val="1"/>
          <w:sz w:val="20"/>
          <w:szCs w:val="20"/>
          <w:rtl w:val="0"/>
        </w:rPr>
        <w:t xml:space="preserve">The Evaluation Framework and Broader Implications</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120" w:line="240" w:lineRule="auto"/>
        <w:ind w:firstLine="34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Comprehensiveness represents two qualities— coverage and dimensionality—which were treated separately. We found no benefit to considering them as a single quality. Coverage was the most intuitive sub-quality for the research team to grasp and evaluate: Have participants identified artifacts which cannot be satisfactorily classified with the current taxonomy? Dimensionality is difficult to address in a unidimensional taxonomy without specific participant feedback, and we had none.</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120" w:line="240" w:lineRule="auto"/>
        <w:ind w:firstLine="34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Conciseness is in tension with comprehensiveness and is tied to the cognitive load required to apply the taxonomy. Aside from the two interviews, we did not inquire directly about cognitive load, though we believe quantitative analysis of cataloger agreement offers us some insight in this work. We believe guidance for how and when to use broader or narrower terms should help situationally balance conciseness with comprehensiveness.</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120" w:line="240" w:lineRule="auto"/>
        <w:ind w:firstLine="34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Robustness seems tied to multi-term classification with this unidimensional taxonomy. The volume of multi-term suggestions and lack of coder agreement seem like inverse measures for robustness, indicating room for improvement.</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120" w:line="240" w:lineRule="auto"/>
        <w:ind w:firstLine="34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Explanatory power was evaluated here by quantitatively evaluating cataloger agreement, as a sufficiently explanatory taxonomy will provide a common understanding of the domain and make classification easier. This ties explanatory power to robustness: Lacking full explanatory power in taxonomy, our users often found that additional term selection (tied to robustness) helped them explain an artifact. This is complicated by the presence of ambiguous artifacts: those whose nature is explained through the taxonomy but not understood by evaluators due, perhaps, to lack of experience in the domain or with the specific collection.</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120" w:line="240" w:lineRule="auto"/>
        <w:ind w:firstLine="34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Many concerns found in the research seemed to have multiple modes of evaluation. Troubles identified with </w:t>
      </w:r>
      <w:r w:rsidDel="00000000" w:rsidR="00000000" w:rsidRPr="00000000">
        <w:rPr>
          <w:rFonts w:ascii="Open Sans" w:cs="Open Sans" w:eastAsia="Open Sans" w:hAnsi="Open Sans"/>
          <w:i w:val="1"/>
          <w:sz w:val="20"/>
          <w:szCs w:val="20"/>
          <w:rtl w:val="0"/>
        </w:rPr>
        <w:t xml:space="preserve">screenshot</w:t>
      </w:r>
      <w:r w:rsidDel="00000000" w:rsidR="00000000" w:rsidRPr="00000000">
        <w:rPr>
          <w:rFonts w:ascii="Open Sans" w:cs="Open Sans" w:eastAsia="Open Sans" w:hAnsi="Open Sans"/>
          <w:sz w:val="20"/>
          <w:szCs w:val="20"/>
          <w:rtl w:val="0"/>
        </w:rPr>
        <w:t xml:space="preserve"> could situationally apply to robustness or comprehensiveness, for example. Still, the team found these qualities to be useful evaluative concepts and intend to use them in the future to help researchers formulate better methods for their evaluations for any given specific taxonomy.</w:t>
      </w:r>
    </w:p>
    <w:p w:rsidR="00000000" w:rsidDel="00000000" w:rsidP="00000000" w:rsidRDefault="00000000" w:rsidRPr="00000000" w14:paraId="00000054">
      <w:pPr>
        <w:pStyle w:val="Heading1"/>
        <w:keepNext w:val="0"/>
        <w:keepLines w:val="0"/>
        <w:numPr>
          <w:ilvl w:val="0"/>
          <w:numId w:val="2"/>
        </w:numPr>
        <w:spacing w:before="240" w:line="240" w:lineRule="auto"/>
        <w:ind w:left="0" w:firstLine="0"/>
        <w:jc w:val="center"/>
        <w:rPr>
          <w:rFonts w:ascii="Open Sans" w:cs="Open Sans" w:eastAsia="Open Sans" w:hAnsi="Open Sans"/>
          <w:smallCaps w:val="1"/>
          <w:sz w:val="20"/>
          <w:szCs w:val="20"/>
        </w:rPr>
      </w:pPr>
      <w:bookmarkStart w:colFirst="0" w:colLast="0" w:name="_heading=h.2et92p0" w:id="4"/>
      <w:bookmarkEnd w:id="4"/>
      <w:r w:rsidDel="00000000" w:rsidR="00000000" w:rsidRPr="00000000">
        <w:rPr>
          <w:rFonts w:ascii="Open Sans" w:cs="Open Sans" w:eastAsia="Open Sans" w:hAnsi="Open Sans"/>
          <w:smallCaps w:val="1"/>
          <w:sz w:val="20"/>
          <w:szCs w:val="20"/>
          <w:rtl w:val="0"/>
        </w:rPr>
        <w:t xml:space="preserve">Conclusion</w:t>
      </w:r>
    </w:p>
    <w:p w:rsidR="00000000" w:rsidDel="00000000" w:rsidP="00000000" w:rsidRDefault="00000000" w:rsidRPr="00000000" w14:paraId="00000055">
      <w:pPr>
        <w:spacing w:after="120" w:line="240" w:lineRule="auto"/>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Our approach to assessing this taxonomy combines the meaningful elements of established heuristics and user testing to create situated vocabularies and taxonomies to establish best practices for defining the breadth and depth of relevant artifacts across evolving domains. The TVGDA offered the opportunity to contribute through evaluation of both a new user-centered taxonomy and a framework of taxonomy qualities, making recommendations for improvement of both. </w:t>
      </w:r>
      <w:r w:rsidDel="00000000" w:rsidR="00000000" w:rsidRPr="00000000">
        <w:rPr>
          <w:rFonts w:ascii="Open Sans" w:cs="Open Sans" w:eastAsia="Open Sans" w:hAnsi="Open Sans"/>
          <w:sz w:val="20"/>
          <w:szCs w:val="20"/>
          <w:rtl w:val="0"/>
        </w:rPr>
        <w:t xml:space="preserve">Focus on the other two user groups (creators and researchers) represent an additional opportunity for expanding tests of the TVGDA. VGD</w:t>
      </w:r>
      <w:r w:rsidDel="00000000" w:rsidR="00000000" w:rsidRPr="00000000">
        <w:rPr>
          <w:rFonts w:ascii="Open Sans" w:cs="Open Sans" w:eastAsia="Open Sans" w:hAnsi="Open Sans"/>
          <w:sz w:val="20"/>
          <w:szCs w:val="20"/>
          <w:rtl w:val="0"/>
        </w:rPr>
        <w:t xml:space="preserve"> is constantly evolving and intersectional, producing cultural texts by developing new technology and spanning physical and digital media in a relatively unexplored domain that has become academically legitimized only relatively recently. As such, it offers fertile ground for designing and evaluating structures to help creators, information professionals, and other users organize and share the domain, and to expand our knowledge of knowledge organization as well.</w:t>
      </w:r>
    </w:p>
    <w:p w:rsidR="00000000" w:rsidDel="00000000" w:rsidP="00000000" w:rsidRDefault="00000000" w:rsidRPr="00000000" w14:paraId="00000056">
      <w:pPr>
        <w:pStyle w:val="Heading1"/>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240" w:line="240" w:lineRule="auto"/>
        <w:ind w:left="0" w:right="0" w:firstLine="0"/>
        <w:jc w:val="center"/>
        <w:rPr>
          <w:rFonts w:ascii="Open Sans" w:cs="Open Sans" w:eastAsia="Open Sans" w:hAnsi="Open Sans"/>
          <w:smallCaps w:val="1"/>
          <w:sz w:val="20"/>
          <w:szCs w:val="20"/>
        </w:rPr>
      </w:pPr>
      <w:bookmarkStart w:colFirst="0" w:colLast="0" w:name="_heading=h.2gotkswfejnz" w:id="5"/>
      <w:bookmarkEnd w:id="5"/>
      <w:r w:rsidDel="00000000" w:rsidR="00000000" w:rsidRPr="00000000">
        <w:rPr>
          <w:rFonts w:ascii="Open Sans" w:cs="Open Sans" w:eastAsia="Open Sans" w:hAnsi="Open Sans"/>
          <w:smallCaps w:val="1"/>
          <w:sz w:val="20"/>
          <w:szCs w:val="20"/>
          <w:rtl w:val="0"/>
        </w:rPr>
        <w:t xml:space="preserve">Acknowledgment</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340"/>
        <w:jc w:val="both"/>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This project was made possible in part by the Institute of Museum and Library Services.</w:t>
      </w:r>
      <w:r w:rsidDel="00000000" w:rsidR="00000000" w:rsidRPr="00000000">
        <w:rPr>
          <w:rtl w:val="0"/>
        </w:rPr>
      </w:r>
    </w:p>
    <w:p w:rsidR="00000000" w:rsidDel="00000000" w:rsidP="00000000" w:rsidRDefault="00000000" w:rsidRPr="00000000" w14:paraId="00000058">
      <w:pPr>
        <w:pStyle w:val="Heading1"/>
        <w:keepNext w:val="0"/>
        <w:keepLines w:val="0"/>
        <w:spacing w:before="240" w:line="240" w:lineRule="auto"/>
        <w:jc w:val="center"/>
        <w:rPr>
          <w:rFonts w:ascii="Open Sans" w:cs="Open Sans" w:eastAsia="Open Sans" w:hAnsi="Open Sans"/>
          <w:smallCaps w:val="1"/>
          <w:sz w:val="20"/>
          <w:szCs w:val="20"/>
        </w:rPr>
      </w:pPr>
      <w:bookmarkStart w:colFirst="0" w:colLast="0" w:name="_heading=h.tyjcwt" w:id="6"/>
      <w:bookmarkEnd w:id="6"/>
      <w:r w:rsidDel="00000000" w:rsidR="00000000" w:rsidRPr="00000000">
        <w:rPr>
          <w:rFonts w:ascii="Open Sans" w:cs="Open Sans" w:eastAsia="Open Sans" w:hAnsi="Open Sans"/>
          <w:smallCaps w:val="1"/>
          <w:sz w:val="20"/>
          <w:szCs w:val="20"/>
          <w:rtl w:val="0"/>
        </w:rPr>
        <w:t xml:space="preserve">REFERENCES</w:t>
      </w:r>
      <w:r w:rsidDel="00000000" w:rsidR="00000000" w:rsidRPr="00000000">
        <w:rPr>
          <w:rtl w:val="0"/>
        </w:rPr>
      </w:r>
    </w:p>
    <w:p w:rsidR="00000000" w:rsidDel="00000000" w:rsidP="00000000" w:rsidRDefault="00000000" w:rsidRPr="00000000" w14:paraId="00000059">
      <w:pPr>
        <w:numPr>
          <w:ilvl w:val="0"/>
          <w:numId w:val="4"/>
        </w:numPr>
        <w:spacing w:line="240" w:lineRule="auto"/>
        <w:ind w:left="360" w:hanging="360"/>
        <w:jc w:val="both"/>
        <w:rPr>
          <w:rFonts w:ascii="Open Sans" w:cs="Open Sans" w:eastAsia="Open Sans" w:hAnsi="Open Sans"/>
        </w:rPr>
      </w:pPr>
      <w:r w:rsidDel="00000000" w:rsidR="00000000" w:rsidRPr="00000000">
        <w:rPr>
          <w:rFonts w:ascii="Open Sans" w:cs="Open Sans" w:eastAsia="Open Sans" w:hAnsi="Open Sans"/>
          <w:sz w:val="16"/>
          <w:szCs w:val="16"/>
          <w:rtl w:val="0"/>
        </w:rPr>
        <w:t xml:space="preserve">LG-86-18-0060-18, http://www.imls.gov/grants/awarded/lg-86-18-0060-18-0, last accessed 2021/09/13.</w:t>
      </w:r>
    </w:p>
    <w:p w:rsidR="00000000" w:rsidDel="00000000" w:rsidP="00000000" w:rsidRDefault="00000000" w:rsidRPr="00000000" w14:paraId="0000005A">
      <w:pPr>
        <w:numPr>
          <w:ilvl w:val="0"/>
          <w:numId w:val="4"/>
        </w:numPr>
        <w:spacing w:line="240" w:lineRule="auto"/>
        <w:ind w:left="360" w:hanging="360"/>
        <w:jc w:val="both"/>
        <w:rPr>
          <w:rFonts w:ascii="Open Sans" w:cs="Open Sans" w:eastAsia="Open Sans" w:hAnsi="Open Sans"/>
        </w:rPr>
      </w:pPr>
      <w:r w:rsidDel="00000000" w:rsidR="00000000" w:rsidRPr="00000000">
        <w:rPr>
          <w:rFonts w:ascii="Open Sans" w:cs="Open Sans" w:eastAsia="Open Sans" w:hAnsi="Open Sans"/>
          <w:sz w:val="16"/>
          <w:szCs w:val="16"/>
          <w:rtl w:val="0"/>
        </w:rPr>
        <w:t xml:space="preserve">Nickerson, R.C., Varshney, U., Muntermann, J.: A method for taxonomy development and its application in information systems. European Journal of Information Systems. 22, 336–359 (2013). </w:t>
      </w:r>
      <w:r w:rsidDel="00000000" w:rsidR="00000000" w:rsidRPr="00000000">
        <w:rPr>
          <w:rtl w:val="0"/>
        </w:rPr>
      </w:r>
    </w:p>
    <w:p w:rsidR="00000000" w:rsidDel="00000000" w:rsidP="00000000" w:rsidRDefault="00000000" w:rsidRPr="00000000" w14:paraId="0000005B">
      <w:pPr>
        <w:numPr>
          <w:ilvl w:val="0"/>
          <w:numId w:val="4"/>
        </w:numPr>
        <w:spacing w:line="240" w:lineRule="auto"/>
        <w:ind w:left="360" w:hanging="360"/>
        <w:jc w:val="both"/>
        <w:rPr>
          <w:rFonts w:ascii="Open Sans" w:cs="Open Sans" w:eastAsia="Open Sans" w:hAnsi="Open Sans"/>
        </w:rPr>
      </w:pPr>
      <w:r w:rsidDel="00000000" w:rsidR="00000000" w:rsidRPr="00000000">
        <w:rPr>
          <w:rFonts w:ascii="Open Sans" w:cs="Open Sans" w:eastAsia="Open Sans" w:hAnsi="Open Sans"/>
          <w:sz w:val="16"/>
          <w:szCs w:val="16"/>
          <w:rtl w:val="0"/>
        </w:rPr>
        <w:t xml:space="preserve">Lee, J.H., Clarke, R.I., Perti, A.: Empirical evaluation of metadata for video games and interactive media. Journal of the Association for Information Science and Technology. 66, 2609–2625 (2015). </w:t>
      </w:r>
    </w:p>
    <w:p w:rsidR="00000000" w:rsidDel="00000000" w:rsidP="00000000" w:rsidRDefault="00000000" w:rsidRPr="00000000" w14:paraId="0000005C">
      <w:pPr>
        <w:numPr>
          <w:ilvl w:val="0"/>
          <w:numId w:val="4"/>
        </w:numPr>
        <w:spacing w:line="240" w:lineRule="auto"/>
        <w:ind w:left="360" w:hanging="360"/>
        <w:jc w:val="both"/>
        <w:rPr>
          <w:rFonts w:ascii="Open Sans" w:cs="Open Sans" w:eastAsia="Open Sans" w:hAnsi="Open Sans"/>
        </w:rPr>
      </w:pPr>
      <w:r w:rsidDel="00000000" w:rsidR="00000000" w:rsidRPr="00000000">
        <w:rPr>
          <w:rFonts w:ascii="Open Sans" w:cs="Open Sans" w:eastAsia="Open Sans" w:hAnsi="Open Sans"/>
          <w:sz w:val="16"/>
          <w:szCs w:val="16"/>
          <w:rtl w:val="0"/>
        </w:rPr>
        <w:t xml:space="preserve">Szopinski, D., Schoormann, T., Kundisch, D.: Because Your Taxonomy Is Worth It: Towards a Framework for Taxonomy Evaluation. Research Papers. (2019).</w:t>
      </w:r>
      <w:r w:rsidDel="00000000" w:rsidR="00000000" w:rsidRPr="00000000">
        <w:rPr>
          <w:rtl w:val="0"/>
        </w:rPr>
      </w:r>
    </w:p>
    <w:p w:rsidR="00000000" w:rsidDel="00000000" w:rsidP="00000000" w:rsidRDefault="00000000" w:rsidRPr="00000000" w14:paraId="0000005D">
      <w:pPr>
        <w:numPr>
          <w:ilvl w:val="0"/>
          <w:numId w:val="4"/>
        </w:numPr>
        <w:spacing w:line="240" w:lineRule="auto"/>
        <w:ind w:left="360" w:hanging="360"/>
        <w:jc w:val="both"/>
        <w:rPr>
          <w:rFonts w:ascii="Open Sans" w:cs="Open Sans" w:eastAsia="Open Sans" w:hAnsi="Open Sans"/>
        </w:rPr>
      </w:pPr>
      <w:r w:rsidDel="00000000" w:rsidR="00000000" w:rsidRPr="00000000">
        <w:rPr>
          <w:rFonts w:ascii="Open Sans" w:cs="Open Sans" w:eastAsia="Open Sans" w:hAnsi="Open Sans"/>
          <w:sz w:val="16"/>
          <w:szCs w:val="16"/>
          <w:rtl w:val="0"/>
        </w:rPr>
        <w:t xml:space="preserve">Cocciolo, A.: Moving image and sound collections for archivists. (2018).</w:t>
      </w:r>
      <w:r w:rsidDel="00000000" w:rsidR="00000000" w:rsidRPr="00000000">
        <w:rPr>
          <w:rtl w:val="0"/>
        </w:rPr>
      </w:r>
    </w:p>
    <w:p w:rsidR="00000000" w:rsidDel="00000000" w:rsidP="00000000" w:rsidRDefault="00000000" w:rsidRPr="00000000" w14:paraId="0000005E">
      <w:pPr>
        <w:numPr>
          <w:ilvl w:val="0"/>
          <w:numId w:val="4"/>
        </w:numPr>
        <w:spacing w:line="240" w:lineRule="auto"/>
        <w:ind w:left="360" w:hanging="360"/>
        <w:jc w:val="both"/>
        <w:rPr>
          <w:rFonts w:ascii="Open Sans" w:cs="Open Sans" w:eastAsia="Open Sans" w:hAnsi="Open Sans"/>
        </w:rPr>
      </w:pPr>
      <w:r w:rsidDel="00000000" w:rsidR="00000000" w:rsidRPr="00000000">
        <w:rPr>
          <w:rFonts w:ascii="Open Sans" w:cs="Open Sans" w:eastAsia="Open Sans" w:hAnsi="Open Sans"/>
          <w:sz w:val="16"/>
          <w:szCs w:val="16"/>
          <w:rtl w:val="0"/>
        </w:rPr>
        <w:t xml:space="preserve">AIMS Work Group: AIMS Born-Digital Collections: An Inter-Institutional Model for Stewardship, https://dcs.library. virginia.edu/files/2013/02/AIMS_final_text.pdf.</w:t>
      </w:r>
      <w:r w:rsidDel="00000000" w:rsidR="00000000" w:rsidRPr="00000000">
        <w:rPr>
          <w:rtl w:val="0"/>
        </w:rPr>
      </w:r>
    </w:p>
    <w:p w:rsidR="00000000" w:rsidDel="00000000" w:rsidP="00000000" w:rsidRDefault="00000000" w:rsidRPr="00000000" w14:paraId="0000005F">
      <w:pPr>
        <w:numPr>
          <w:ilvl w:val="0"/>
          <w:numId w:val="4"/>
        </w:numPr>
        <w:spacing w:line="240" w:lineRule="auto"/>
        <w:ind w:left="360"/>
        <w:jc w:val="both"/>
        <w:rPr>
          <w:rFonts w:ascii="Open Sans" w:cs="Open Sans" w:eastAsia="Open Sans" w:hAnsi="Open Sans"/>
        </w:rPr>
      </w:pPr>
      <w:r w:rsidDel="00000000" w:rsidR="00000000" w:rsidRPr="00000000">
        <w:rPr>
          <w:rFonts w:ascii="Open Sans" w:cs="Open Sans" w:eastAsia="Open Sans" w:hAnsi="Open Sans"/>
          <w:sz w:val="16"/>
          <w:szCs w:val="16"/>
          <w:rtl w:val="0"/>
        </w:rPr>
        <w:t xml:space="preserve">McDonald, C., Schmalz, M., Monheim, A., Keating, S., Lewin, K., Cifaldi, F., Lee, J.H.: Describing, Organizing, and Maintaining Video Game Development Artifacts. Journal of the Association for Information Science and Technology. 1–14 (2020). </w:t>
      </w:r>
    </w:p>
    <w:p w:rsidR="00000000" w:rsidDel="00000000" w:rsidP="00000000" w:rsidRDefault="00000000" w:rsidRPr="00000000" w14:paraId="00000060">
      <w:pPr>
        <w:numPr>
          <w:ilvl w:val="0"/>
          <w:numId w:val="4"/>
        </w:numPr>
        <w:spacing w:line="240" w:lineRule="auto"/>
        <w:ind w:left="360" w:hanging="360"/>
        <w:jc w:val="both"/>
        <w:rPr>
          <w:rFonts w:ascii="Open Sans" w:cs="Open Sans" w:eastAsia="Open Sans" w:hAnsi="Open Sans"/>
        </w:rPr>
      </w:pPr>
      <w:r w:rsidDel="00000000" w:rsidR="00000000" w:rsidRPr="00000000">
        <w:rPr>
          <w:rFonts w:ascii="Open Sans" w:cs="Open Sans" w:eastAsia="Open Sans" w:hAnsi="Open Sans"/>
          <w:sz w:val="16"/>
          <w:szCs w:val="16"/>
          <w:rtl w:val="0"/>
        </w:rPr>
        <w:t xml:space="preserve">Society of American Archivists: Describing Archives: A Content Standard (DACS), https://www2.archivists.org/groups/techn ical-subcommittee-on-describing-archives-a-content-standard-dacs/describing-archives-a-content-standard-dacs-second-.</w:t>
      </w:r>
      <w:r w:rsidDel="00000000" w:rsidR="00000000" w:rsidRPr="00000000">
        <w:rPr>
          <w:rtl w:val="0"/>
        </w:rPr>
      </w:r>
    </w:p>
    <w:p w:rsidR="00000000" w:rsidDel="00000000" w:rsidP="00000000" w:rsidRDefault="00000000" w:rsidRPr="00000000" w14:paraId="00000061">
      <w:pPr>
        <w:numPr>
          <w:ilvl w:val="0"/>
          <w:numId w:val="4"/>
        </w:numPr>
        <w:spacing w:line="240" w:lineRule="auto"/>
        <w:ind w:left="360" w:hanging="360"/>
        <w:jc w:val="both"/>
        <w:rPr>
          <w:rFonts w:ascii="Open Sans" w:cs="Open Sans" w:eastAsia="Open Sans" w:hAnsi="Open Sans"/>
        </w:rPr>
      </w:pPr>
      <w:r w:rsidDel="00000000" w:rsidR="00000000" w:rsidRPr="00000000">
        <w:rPr>
          <w:rFonts w:ascii="Open Sans" w:cs="Open Sans" w:eastAsia="Open Sans" w:hAnsi="Open Sans"/>
          <w:sz w:val="16"/>
          <w:szCs w:val="16"/>
          <w:rtl w:val="0"/>
        </w:rPr>
        <w:t xml:space="preserve">Williams, J.A., Berilla, E.M.: Minutes, Migration, and Migraines: Establishing a Digital Archives at a Small Institution. The American Archivist. 78, 84–95 (2015).</w:t>
      </w:r>
    </w:p>
    <w:p w:rsidR="00000000" w:rsidDel="00000000" w:rsidP="00000000" w:rsidRDefault="00000000" w:rsidRPr="00000000" w14:paraId="00000062">
      <w:pPr>
        <w:numPr>
          <w:ilvl w:val="0"/>
          <w:numId w:val="4"/>
        </w:numPr>
        <w:spacing w:line="240" w:lineRule="auto"/>
        <w:ind w:left="360"/>
        <w:jc w:val="both"/>
        <w:rPr>
          <w:rFonts w:ascii="Open Sans" w:cs="Open Sans" w:eastAsia="Open Sans" w:hAnsi="Open Sans"/>
        </w:rPr>
      </w:pPr>
      <w:r w:rsidDel="00000000" w:rsidR="00000000" w:rsidRPr="00000000">
        <w:rPr>
          <w:rFonts w:ascii="Open Sans" w:cs="Open Sans" w:eastAsia="Open Sans" w:hAnsi="Open Sans"/>
          <w:sz w:val="16"/>
          <w:szCs w:val="16"/>
          <w:rtl w:val="0"/>
        </w:rPr>
        <w:t xml:space="preserve">Wolf, M.J.P. ed: </w:t>
      </w:r>
      <w:r w:rsidDel="00000000" w:rsidR="00000000" w:rsidRPr="00000000">
        <w:rPr>
          <w:rFonts w:ascii="Open Sans" w:cs="Open Sans" w:eastAsia="Open Sans" w:hAnsi="Open Sans"/>
          <w:i w:val="1"/>
          <w:sz w:val="16"/>
          <w:szCs w:val="16"/>
          <w:rtl w:val="0"/>
        </w:rPr>
        <w:t xml:space="preserve">The video game explosion: A history from PONG to Playstation and beyond</w:t>
      </w:r>
      <w:r w:rsidDel="00000000" w:rsidR="00000000" w:rsidRPr="00000000">
        <w:rPr>
          <w:rFonts w:ascii="Open Sans" w:cs="Open Sans" w:eastAsia="Open Sans" w:hAnsi="Open Sans"/>
          <w:sz w:val="16"/>
          <w:szCs w:val="16"/>
          <w:rtl w:val="0"/>
        </w:rPr>
        <w:t xml:space="preserve">. Greenwood Press, Westport, Conn (2008).</w:t>
      </w:r>
      <w:r w:rsidDel="00000000" w:rsidR="00000000" w:rsidRPr="00000000">
        <w:rPr>
          <w:rtl w:val="0"/>
        </w:rPr>
      </w:r>
    </w:p>
    <w:p w:rsidR="00000000" w:rsidDel="00000000" w:rsidP="00000000" w:rsidRDefault="00000000" w:rsidRPr="00000000" w14:paraId="00000063">
      <w:pPr>
        <w:numPr>
          <w:ilvl w:val="0"/>
          <w:numId w:val="4"/>
        </w:numPr>
        <w:spacing w:line="240" w:lineRule="auto"/>
        <w:ind w:left="360" w:hanging="360"/>
        <w:jc w:val="both"/>
        <w:rPr>
          <w:rFonts w:ascii="Open Sans" w:cs="Open Sans" w:eastAsia="Open Sans" w:hAnsi="Open Sans"/>
        </w:rPr>
      </w:pPr>
      <w:r w:rsidDel="00000000" w:rsidR="00000000" w:rsidRPr="00000000">
        <w:rPr>
          <w:rFonts w:ascii="Open Sans" w:cs="Open Sans" w:eastAsia="Open Sans" w:hAnsi="Open Sans"/>
          <w:sz w:val="16"/>
          <w:szCs w:val="16"/>
          <w:rtl w:val="0"/>
        </w:rPr>
        <w:t xml:space="preserve">Winget, M.A.: Videogame preservation and massively multiplayer online role-playing games: A review of the literature. Journal of the American Society for Information Science and Technology. 62, 1869–1883 (2011). </w:t>
      </w:r>
      <w:r w:rsidDel="00000000" w:rsidR="00000000" w:rsidRPr="00000000">
        <w:rPr>
          <w:rtl w:val="0"/>
        </w:rPr>
      </w:r>
    </w:p>
    <w:p w:rsidR="00000000" w:rsidDel="00000000" w:rsidP="00000000" w:rsidRDefault="00000000" w:rsidRPr="00000000" w14:paraId="00000064">
      <w:pPr>
        <w:numPr>
          <w:ilvl w:val="0"/>
          <w:numId w:val="4"/>
        </w:numPr>
        <w:spacing w:line="240" w:lineRule="auto"/>
        <w:ind w:left="360" w:hanging="360"/>
        <w:jc w:val="both"/>
        <w:rPr>
          <w:rFonts w:ascii="Open Sans" w:cs="Open Sans" w:eastAsia="Open Sans" w:hAnsi="Open Sans"/>
        </w:rPr>
      </w:pPr>
      <w:r w:rsidDel="00000000" w:rsidR="00000000" w:rsidRPr="00000000">
        <w:rPr>
          <w:rFonts w:ascii="Open Sans" w:cs="Open Sans" w:eastAsia="Open Sans" w:hAnsi="Open Sans"/>
          <w:sz w:val="16"/>
          <w:szCs w:val="16"/>
          <w:rtl w:val="0"/>
        </w:rPr>
        <w:t xml:space="preserve">Lee, J.H., Perti, A., Clarke, R.I., Windleharth, T.W., Schmalz, M.: UW/SIMM Video Game Metadata Schema Version 4.0. (2017).</w:t>
      </w:r>
      <w:r w:rsidDel="00000000" w:rsidR="00000000" w:rsidRPr="00000000">
        <w:rPr>
          <w:rtl w:val="0"/>
        </w:rPr>
      </w:r>
    </w:p>
    <w:p w:rsidR="00000000" w:rsidDel="00000000" w:rsidP="00000000" w:rsidRDefault="00000000" w:rsidRPr="00000000" w14:paraId="00000065">
      <w:pPr>
        <w:numPr>
          <w:ilvl w:val="0"/>
          <w:numId w:val="4"/>
        </w:numPr>
        <w:spacing w:line="240" w:lineRule="auto"/>
        <w:ind w:left="360" w:hanging="360"/>
        <w:jc w:val="both"/>
        <w:rPr>
          <w:rFonts w:ascii="Open Sans" w:cs="Open Sans" w:eastAsia="Open Sans" w:hAnsi="Open Sans"/>
        </w:rPr>
      </w:pPr>
      <w:r w:rsidDel="00000000" w:rsidR="00000000" w:rsidRPr="00000000">
        <w:rPr>
          <w:rFonts w:ascii="Open Sans" w:cs="Open Sans" w:eastAsia="Open Sans" w:hAnsi="Open Sans"/>
          <w:sz w:val="16"/>
          <w:szCs w:val="16"/>
          <w:rtl w:val="0"/>
        </w:rPr>
        <w:t xml:space="preserve">Lee, J.H., Clarke, R.I., Rossi, S.: A qualitative investigation of users’ discovery, access, and organization of video games as information objects. Journal of Information Science. 42, 833–850 (2016). </w:t>
      </w:r>
      <w:r w:rsidDel="00000000" w:rsidR="00000000" w:rsidRPr="00000000">
        <w:rPr>
          <w:rtl w:val="0"/>
        </w:rPr>
      </w:r>
    </w:p>
    <w:p w:rsidR="00000000" w:rsidDel="00000000" w:rsidP="00000000" w:rsidRDefault="00000000" w:rsidRPr="00000000" w14:paraId="00000066">
      <w:pPr>
        <w:numPr>
          <w:ilvl w:val="0"/>
          <w:numId w:val="4"/>
        </w:numPr>
        <w:spacing w:line="240" w:lineRule="auto"/>
        <w:ind w:left="360"/>
        <w:jc w:val="both"/>
        <w:rPr>
          <w:rFonts w:ascii="Open Sans" w:cs="Open Sans" w:eastAsia="Open Sans" w:hAnsi="Open Sans"/>
        </w:rPr>
      </w:pPr>
      <w:r w:rsidDel="00000000" w:rsidR="00000000" w:rsidRPr="00000000">
        <w:rPr>
          <w:rFonts w:ascii="Open Sans" w:cs="Open Sans" w:eastAsia="Open Sans" w:hAnsi="Open Sans"/>
          <w:sz w:val="16"/>
          <w:szCs w:val="16"/>
          <w:rtl w:val="0"/>
        </w:rPr>
        <w:t xml:space="preserve">Lee, J.H., McDonald, C., Schmalz, M., Windleharth, T., Keating, S., Monheim, A., Cifaldi, F., Lewin, K.: Taxonomy of Video Game Development Artifacts. (2020).</w:t>
      </w:r>
    </w:p>
    <w:p w:rsidR="00000000" w:rsidDel="00000000" w:rsidP="00000000" w:rsidRDefault="00000000" w:rsidRPr="00000000" w14:paraId="00000067">
      <w:pPr>
        <w:numPr>
          <w:ilvl w:val="0"/>
          <w:numId w:val="4"/>
        </w:numPr>
        <w:spacing w:line="240" w:lineRule="auto"/>
        <w:ind w:left="360" w:hanging="360"/>
        <w:jc w:val="both"/>
        <w:rPr>
          <w:rFonts w:ascii="Open Sans" w:cs="Open Sans" w:eastAsia="Open Sans" w:hAnsi="Open Sans"/>
        </w:rPr>
      </w:pPr>
      <w:r w:rsidDel="00000000" w:rsidR="00000000" w:rsidRPr="00000000">
        <w:rPr>
          <w:rFonts w:ascii="Open Sans" w:cs="Open Sans" w:eastAsia="Open Sans" w:hAnsi="Open Sans"/>
          <w:sz w:val="16"/>
          <w:szCs w:val="16"/>
          <w:rtl w:val="0"/>
        </w:rPr>
        <w:t xml:space="preserve">Hoyt, W.T.: Interrater Reliability and Agreement. In: Hancock, G.R. and Mueller, R.O. (eds.) The reviewer’s guide to quantitative methods in the social sciences. Routledge, New York (2010).</w:t>
      </w:r>
      <w:r w:rsidDel="00000000" w:rsidR="00000000" w:rsidRPr="00000000">
        <w:rPr>
          <w:rtl w:val="0"/>
        </w:rPr>
      </w:r>
    </w:p>
    <w:sectPr>
      <w:type w:val="continuous"/>
      <w:pgSz w:h="15840" w:w="12240" w:orient="portrait"/>
      <w:pgMar w:bottom="1440" w:top="1080" w:left="902" w:right="902" w:header="567" w:footer="737"/>
      <w:cols w:equalWidth="0" w:num="2">
        <w:col w:space="357" w:w="5039.499999999999"/>
        <w:col w:space="0" w:w="5039.499999999999"/>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left"/>
      <w:pPr>
        <w:ind w:left="0" w:firstLine="0"/>
      </w:pPr>
      <w:rPr/>
    </w:lvl>
    <w:lvl w:ilvl="1">
      <w:start w:val="1"/>
      <w:numFmt w:val="upperLetter"/>
      <w:lvlText w:val="%2."/>
      <w:lvlJc w:val="left"/>
      <w:pPr>
        <w:ind w:left="720" w:firstLine="0"/>
      </w:pPr>
      <w:rPr/>
    </w:lvl>
    <w:lvl w:ilvl="2">
      <w:start w:val="1"/>
      <w:numFmt w:val="decimal"/>
      <w:lvlText w:val="%3."/>
      <w:lvlJc w:val="left"/>
      <w:pPr>
        <w:ind w:left="1440" w:firstLine="0"/>
      </w:pPr>
      <w:rPr/>
    </w:lvl>
    <w:lvl w:ilvl="3">
      <w:start w:val="1"/>
      <w:numFmt w:val="lowerLetter"/>
      <w:lvlText w:val="%4)"/>
      <w:lvlJc w:val="left"/>
      <w:pPr>
        <w:ind w:left="2160" w:firstLine="0"/>
      </w:pPr>
      <w:rPr/>
    </w:lvl>
    <w:lvl w:ilvl="4">
      <w:start w:val="1"/>
      <w:numFmt w:val="decimal"/>
      <w:lvlText w:val="(%5)"/>
      <w:lvlJc w:val="left"/>
      <w:pPr>
        <w:ind w:left="2880" w:firstLine="0"/>
      </w:pPr>
      <w:rPr/>
    </w:lvl>
    <w:lvl w:ilvl="5">
      <w:start w:val="1"/>
      <w:numFmt w:val="lowerLetter"/>
      <w:lvlText w:val="(%6)"/>
      <w:lvlJc w:val="left"/>
      <w:pPr>
        <w:ind w:left="3600" w:firstLine="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360" w:hanging="360"/>
      </w:pPr>
      <w:rPr>
        <w:sz w:val="20"/>
        <w:szCs w:val="20"/>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U8biwtLKUE51IyzoaXAaBl/NuQ==">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2022-03-08T21:23:00Z</dcterms:created>
  <dc:creator>Anonymous During Review</dc:creator>
</cp:coreProperties>
</file>