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13" w14:textId="2B678966" w:rsidR="00CB39CA" w:rsidRDefault="00981E89">
      <w:pPr>
        <w:pStyle w:val="Title"/>
        <w:ind w:firstLine="0"/>
      </w:pPr>
      <w:bookmarkStart w:id="0" w:name="_GoBack"/>
      <w:r>
        <w:t xml:space="preserve">Bringing Transparency and Permeability to Organizational Silos </w:t>
      </w:r>
    </w:p>
    <w:p w14:paraId="00000014" w14:textId="30845C1F" w:rsidR="00CB39CA" w:rsidRDefault="00981E89">
      <w:pPr>
        <w:pStyle w:val="Subtitle"/>
      </w:pPr>
      <w:r>
        <w:t>Improving Workflow and Culture</w:t>
      </w:r>
    </w:p>
    <w:bookmarkEnd w:id="0"/>
    <w:p w14:paraId="00000015" w14:textId="77777777" w:rsidR="00CB39CA" w:rsidRDefault="00CB39CA"/>
    <w:tbl>
      <w:tblPr>
        <w:tblStyle w:val="a"/>
        <w:tblW w:w="8910" w:type="dxa"/>
        <w:tblBorders>
          <w:top w:val="nil"/>
          <w:left w:val="nil"/>
          <w:bottom w:val="nil"/>
          <w:right w:val="nil"/>
          <w:insideH w:val="nil"/>
          <w:insideV w:val="nil"/>
        </w:tblBorders>
        <w:tblLayout w:type="fixed"/>
        <w:tblLook w:val="0400" w:firstRow="0" w:lastRow="0" w:firstColumn="0" w:lastColumn="0" w:noHBand="0" w:noVBand="1"/>
      </w:tblPr>
      <w:tblGrid>
        <w:gridCol w:w="3003"/>
        <w:gridCol w:w="5907"/>
      </w:tblGrid>
      <w:tr w:rsidR="00A506EA" w14:paraId="6D0583CC" w14:textId="77777777" w:rsidTr="00A506EA">
        <w:tc>
          <w:tcPr>
            <w:tcW w:w="3003" w:type="dxa"/>
          </w:tcPr>
          <w:p w14:paraId="00000016" w14:textId="4DE61EF0" w:rsidR="00A506EA" w:rsidRDefault="00A506EA">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Daniel Noonan</w:t>
            </w:r>
          </w:p>
        </w:tc>
        <w:tc>
          <w:tcPr>
            <w:tcW w:w="5907" w:type="dxa"/>
          </w:tcPr>
          <w:p w14:paraId="00000017" w14:textId="45D31C5A" w:rsidR="00A506EA" w:rsidRDefault="00A506EA">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Sue Beck</w:t>
            </w:r>
          </w:p>
        </w:tc>
      </w:tr>
      <w:tr w:rsidR="00A506EA" w14:paraId="079E1D07" w14:textId="77777777" w:rsidTr="00A506EA">
        <w:trPr>
          <w:trHeight w:val="578"/>
        </w:trPr>
        <w:tc>
          <w:tcPr>
            <w:tcW w:w="3003" w:type="dxa"/>
          </w:tcPr>
          <w:p w14:paraId="00000019" w14:textId="5BEB6323" w:rsidR="00A506EA" w:rsidRDefault="00A506EA">
            <w:pPr>
              <w:pBdr>
                <w:top w:val="nil"/>
                <w:left w:val="nil"/>
                <w:bottom w:val="nil"/>
                <w:right w:val="nil"/>
                <w:between w:val="nil"/>
              </w:pBdr>
              <w:jc w:val="center"/>
              <w:rPr>
                <w:rFonts w:eastAsia="Open Sans"/>
                <w:i/>
                <w:color w:val="000000"/>
              </w:rPr>
            </w:pPr>
            <w:r>
              <w:rPr>
                <w:rFonts w:eastAsia="Open Sans"/>
                <w:i/>
                <w:color w:val="000000"/>
              </w:rPr>
              <w:t>The Ohio State University</w:t>
            </w:r>
          </w:p>
          <w:p w14:paraId="0000001A" w14:textId="28746485" w:rsidR="00A506EA" w:rsidRDefault="00A506EA">
            <w:pPr>
              <w:pBdr>
                <w:top w:val="nil"/>
                <w:left w:val="nil"/>
                <w:bottom w:val="nil"/>
                <w:right w:val="nil"/>
                <w:between w:val="nil"/>
              </w:pBdr>
              <w:jc w:val="center"/>
              <w:rPr>
                <w:rFonts w:eastAsia="Open Sans"/>
                <w:i/>
                <w:color w:val="000000"/>
              </w:rPr>
            </w:pPr>
            <w:r>
              <w:rPr>
                <w:rFonts w:eastAsia="Open Sans"/>
                <w:i/>
                <w:color w:val="000000"/>
              </w:rPr>
              <w:t>United State of America</w:t>
            </w:r>
          </w:p>
          <w:p w14:paraId="0000001B" w14:textId="6C9C5783" w:rsidR="00A506EA" w:rsidRDefault="00A506EA">
            <w:pPr>
              <w:pBdr>
                <w:top w:val="nil"/>
                <w:left w:val="nil"/>
                <w:bottom w:val="nil"/>
                <w:right w:val="nil"/>
                <w:between w:val="nil"/>
              </w:pBdr>
              <w:jc w:val="center"/>
              <w:rPr>
                <w:rFonts w:eastAsia="Open Sans"/>
                <w:i/>
                <w:color w:val="000000"/>
              </w:rPr>
            </w:pPr>
            <w:r>
              <w:rPr>
                <w:rFonts w:eastAsia="Open Sans"/>
                <w:i/>
                <w:color w:val="000000"/>
              </w:rPr>
              <w:t>noonan.37@osu.edu</w:t>
            </w:r>
          </w:p>
          <w:p w14:paraId="0000001C" w14:textId="7DC9189F" w:rsidR="00A506EA" w:rsidRDefault="003200C2">
            <w:pPr>
              <w:pBdr>
                <w:top w:val="nil"/>
                <w:left w:val="nil"/>
                <w:bottom w:val="nil"/>
                <w:right w:val="nil"/>
                <w:between w:val="nil"/>
              </w:pBdr>
              <w:jc w:val="center"/>
              <w:rPr>
                <w:rFonts w:eastAsia="Open Sans"/>
                <w:i/>
                <w:color w:val="000000"/>
              </w:rPr>
            </w:pPr>
            <w:hyperlink r:id="rId11" w:history="1">
              <w:r w:rsidR="00A506EA" w:rsidRPr="00FC6AC7">
                <w:rPr>
                  <w:rStyle w:val="Hyperlink"/>
                  <w:rFonts w:ascii="Open Sans" w:eastAsia="Open Sans" w:hAnsi="Open Sans"/>
                  <w:i/>
                </w:rPr>
                <w:t>0000-0002-7021-4106</w:t>
              </w:r>
            </w:hyperlink>
          </w:p>
        </w:tc>
        <w:tc>
          <w:tcPr>
            <w:tcW w:w="5907" w:type="dxa"/>
          </w:tcPr>
          <w:p w14:paraId="58888691" w14:textId="77777777" w:rsidR="00A506EA" w:rsidRDefault="00A506EA" w:rsidP="00A506EA">
            <w:pPr>
              <w:pBdr>
                <w:top w:val="nil"/>
                <w:left w:val="nil"/>
                <w:bottom w:val="nil"/>
                <w:right w:val="nil"/>
                <w:between w:val="nil"/>
              </w:pBdr>
              <w:jc w:val="center"/>
              <w:rPr>
                <w:rFonts w:eastAsia="Open Sans"/>
                <w:i/>
                <w:color w:val="000000"/>
              </w:rPr>
            </w:pPr>
            <w:r>
              <w:rPr>
                <w:rFonts w:eastAsia="Open Sans"/>
                <w:i/>
                <w:color w:val="000000"/>
              </w:rPr>
              <w:t>The Ohio State University</w:t>
            </w:r>
          </w:p>
          <w:p w14:paraId="089F5E9E" w14:textId="77777777" w:rsidR="00A506EA" w:rsidRDefault="00A506EA" w:rsidP="00A506EA">
            <w:pPr>
              <w:pBdr>
                <w:top w:val="nil"/>
                <w:left w:val="nil"/>
                <w:bottom w:val="nil"/>
                <w:right w:val="nil"/>
                <w:between w:val="nil"/>
              </w:pBdr>
              <w:jc w:val="center"/>
              <w:rPr>
                <w:rFonts w:eastAsia="Open Sans"/>
                <w:i/>
                <w:color w:val="000000"/>
              </w:rPr>
            </w:pPr>
            <w:r>
              <w:rPr>
                <w:rFonts w:eastAsia="Open Sans"/>
                <w:i/>
                <w:color w:val="000000"/>
              </w:rPr>
              <w:t>United State of America</w:t>
            </w:r>
          </w:p>
          <w:p w14:paraId="0000001F" w14:textId="09755436" w:rsidR="00A506EA" w:rsidRDefault="00A506EA">
            <w:pPr>
              <w:pBdr>
                <w:top w:val="nil"/>
                <w:left w:val="nil"/>
                <w:bottom w:val="nil"/>
                <w:right w:val="nil"/>
                <w:between w:val="nil"/>
              </w:pBdr>
              <w:jc w:val="center"/>
              <w:rPr>
                <w:rFonts w:eastAsia="Open Sans"/>
                <w:i/>
                <w:color w:val="000000"/>
              </w:rPr>
            </w:pPr>
            <w:r>
              <w:rPr>
                <w:rFonts w:eastAsia="Open Sans"/>
                <w:i/>
                <w:color w:val="000000"/>
              </w:rPr>
              <w:t>beck.697@osu.edu</w:t>
            </w:r>
          </w:p>
          <w:p w14:paraId="00000020" w14:textId="21237142" w:rsidR="00A506EA" w:rsidRDefault="003200C2">
            <w:pPr>
              <w:pBdr>
                <w:top w:val="nil"/>
                <w:left w:val="nil"/>
                <w:bottom w:val="nil"/>
                <w:right w:val="nil"/>
                <w:between w:val="nil"/>
              </w:pBdr>
              <w:jc w:val="center"/>
              <w:rPr>
                <w:rFonts w:eastAsia="Open Sans"/>
                <w:i/>
                <w:color w:val="000000"/>
              </w:rPr>
            </w:pPr>
            <w:hyperlink r:id="rId12" w:history="1">
              <w:r w:rsidR="00A506EA" w:rsidRPr="00A506EA">
                <w:rPr>
                  <w:rStyle w:val="Hyperlink"/>
                  <w:rFonts w:ascii="Open Sans" w:eastAsia="Open Sans" w:hAnsi="Open Sans"/>
                  <w:i/>
                </w:rPr>
                <w:t>0000-0002-0895-3733</w:t>
              </w:r>
            </w:hyperlink>
          </w:p>
        </w:tc>
      </w:tr>
      <w:tr w:rsidR="00A506EA" w14:paraId="57CC4905" w14:textId="77777777" w:rsidTr="00A506EA">
        <w:trPr>
          <w:trHeight w:val="399"/>
        </w:trPr>
        <w:tc>
          <w:tcPr>
            <w:tcW w:w="3003" w:type="dxa"/>
          </w:tcPr>
          <w:p w14:paraId="00000025" w14:textId="77777777" w:rsidR="00A506EA" w:rsidRDefault="00A506EA">
            <w:pPr>
              <w:pBdr>
                <w:top w:val="nil"/>
                <w:left w:val="nil"/>
                <w:bottom w:val="nil"/>
                <w:right w:val="nil"/>
                <w:between w:val="nil"/>
              </w:pBdr>
              <w:jc w:val="center"/>
              <w:rPr>
                <w:rFonts w:eastAsia="Open Sans"/>
                <w:i/>
                <w:color w:val="000000"/>
              </w:rPr>
            </w:pPr>
          </w:p>
        </w:tc>
        <w:tc>
          <w:tcPr>
            <w:tcW w:w="5907" w:type="dxa"/>
          </w:tcPr>
          <w:p w14:paraId="00000026" w14:textId="77777777" w:rsidR="00A506EA" w:rsidRDefault="00A506EA">
            <w:pPr>
              <w:pBdr>
                <w:top w:val="nil"/>
                <w:left w:val="nil"/>
                <w:bottom w:val="nil"/>
                <w:right w:val="nil"/>
                <w:between w:val="nil"/>
              </w:pBdr>
              <w:jc w:val="center"/>
              <w:rPr>
                <w:rFonts w:eastAsia="Open Sans"/>
                <w:i/>
                <w:color w:val="000000"/>
              </w:rPr>
            </w:pPr>
          </w:p>
        </w:tc>
      </w:tr>
    </w:tbl>
    <w:p w14:paraId="00000028" w14:textId="77777777" w:rsidR="00CB39CA" w:rsidRDefault="00CB39CA">
      <w:pPr>
        <w:sectPr w:rsidR="00CB39CA">
          <w:headerReference w:type="default" r:id="rId13"/>
          <w:footerReference w:type="even" r:id="rId14"/>
          <w:footerReference w:type="default" r:id="rId15"/>
          <w:headerReference w:type="first" r:id="rId16"/>
          <w:footerReference w:type="first" r:id="rId17"/>
          <w:pgSz w:w="11900" w:h="16820"/>
          <w:pgMar w:top="1440" w:right="1440" w:bottom="1440" w:left="1440" w:header="567" w:footer="737" w:gutter="0"/>
          <w:pgNumType w:start="1"/>
          <w:cols w:space="720"/>
          <w:titlePg/>
        </w:sectPr>
      </w:pPr>
    </w:p>
    <w:p w14:paraId="00000029" w14:textId="538FE05A"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126B65" w:rsidRPr="00126B65">
        <w:rPr>
          <w:rFonts w:eastAsia="Open Sans"/>
          <w:b/>
          <w:color w:val="000000"/>
          <w:sz w:val="18"/>
          <w:szCs w:val="18"/>
        </w:rPr>
        <w:t xml:space="preserve">The Ohio State University Libraries established the Digital Preservation and Access Workgroup (DP&amp;A) [1] in early 2020 to guide the University Libraries' policies, strategies and tactics for managing, preserving and providing access to its digital collections. It brings together key individuals from across the organization to ensure that information sharing and best practices are reflected throughout the organization. The DP&amp;A’s initial charge </w:t>
      </w:r>
      <w:r w:rsidR="00126B65">
        <w:rPr>
          <w:rFonts w:eastAsia="Open Sans"/>
          <w:b/>
          <w:color w:val="000000"/>
          <w:sz w:val="18"/>
          <w:szCs w:val="18"/>
        </w:rPr>
        <w:t>wa</w:t>
      </w:r>
      <w:r w:rsidR="00126B65" w:rsidRPr="00126B65">
        <w:rPr>
          <w:rFonts w:eastAsia="Open Sans"/>
          <w:b/>
          <w:color w:val="000000"/>
          <w:sz w:val="18"/>
          <w:szCs w:val="18"/>
        </w:rPr>
        <w:t xml:space="preserve">s to identify our existing workflows that affect born digital acquisitions and processing, digitization, providing access to digital materials and the preservation thereof. This effort is to aid in answering the question, “What are the intersections, gaps, redundancies and areas for improvement?” This poster will demonstrate the progress we have made on this project, spotlighting the process </w:t>
      </w:r>
      <w:r w:rsidR="00126B65">
        <w:rPr>
          <w:rFonts w:eastAsia="Open Sans"/>
          <w:b/>
          <w:color w:val="000000"/>
          <w:sz w:val="18"/>
          <w:szCs w:val="18"/>
        </w:rPr>
        <w:t xml:space="preserve">analysis and improvement </w:t>
      </w:r>
      <w:r w:rsidR="007C3643">
        <w:rPr>
          <w:rFonts w:eastAsia="Open Sans"/>
          <w:b/>
          <w:color w:val="000000"/>
          <w:sz w:val="18"/>
          <w:szCs w:val="18"/>
        </w:rPr>
        <w:t>techniques</w:t>
      </w:r>
      <w:r w:rsidR="00126B65" w:rsidRPr="00126B65">
        <w:rPr>
          <w:rFonts w:eastAsia="Open Sans"/>
          <w:b/>
          <w:color w:val="000000"/>
          <w:sz w:val="18"/>
          <w:szCs w:val="18"/>
        </w:rPr>
        <w:t xml:space="preserve"> we have brought to bear</w:t>
      </w:r>
      <w:r w:rsidR="00126B65">
        <w:rPr>
          <w:rFonts w:eastAsia="Open Sans"/>
          <w:b/>
          <w:color w:val="000000"/>
          <w:sz w:val="18"/>
          <w:szCs w:val="18"/>
        </w:rPr>
        <w:t xml:space="preserve">, along with our initial recommendations for </w:t>
      </w:r>
      <w:r w:rsidR="00E54377">
        <w:rPr>
          <w:rFonts w:eastAsia="Open Sans"/>
          <w:b/>
          <w:color w:val="000000"/>
          <w:sz w:val="18"/>
          <w:szCs w:val="18"/>
        </w:rPr>
        <w:t>workflow</w:t>
      </w:r>
      <w:r w:rsidR="00126B65">
        <w:rPr>
          <w:rFonts w:eastAsia="Open Sans"/>
          <w:b/>
          <w:color w:val="000000"/>
          <w:sz w:val="18"/>
          <w:szCs w:val="18"/>
        </w:rPr>
        <w:t xml:space="preserve"> and organizational improvement</w:t>
      </w:r>
      <w:r>
        <w:rPr>
          <w:rFonts w:eastAsia="Open Sans"/>
          <w:b/>
          <w:color w:val="000000"/>
          <w:sz w:val="18"/>
          <w:szCs w:val="18"/>
        </w:rPr>
        <w:t>.</w:t>
      </w:r>
    </w:p>
    <w:p w14:paraId="0000002A" w14:textId="5344F80B"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A506EA" w:rsidRPr="00A506EA">
        <w:rPr>
          <w:rFonts w:eastAsia="Open Sans"/>
          <w:b/>
          <w:color w:val="000000"/>
          <w:sz w:val="18"/>
          <w:szCs w:val="18"/>
        </w:rPr>
        <w:t xml:space="preserve">Digital Preservation, Digitization, </w:t>
      </w:r>
      <w:r w:rsidR="00126B65">
        <w:rPr>
          <w:rFonts w:eastAsia="Open Sans"/>
          <w:b/>
          <w:color w:val="000000"/>
          <w:sz w:val="18"/>
          <w:szCs w:val="18"/>
        </w:rPr>
        <w:t>Institutional Prioritization,</w:t>
      </w:r>
      <w:r w:rsidR="00126B65" w:rsidRPr="00A506EA">
        <w:rPr>
          <w:rFonts w:eastAsia="Open Sans"/>
          <w:b/>
          <w:color w:val="000000"/>
          <w:sz w:val="18"/>
          <w:szCs w:val="18"/>
        </w:rPr>
        <w:t xml:space="preserve"> </w:t>
      </w:r>
      <w:r w:rsidR="00126B65">
        <w:rPr>
          <w:rFonts w:eastAsia="Open Sans"/>
          <w:b/>
          <w:color w:val="000000"/>
          <w:sz w:val="18"/>
          <w:szCs w:val="18"/>
        </w:rPr>
        <w:t xml:space="preserve">Process Improvement, </w:t>
      </w:r>
      <w:r w:rsidR="00A506EA" w:rsidRPr="00A506EA">
        <w:rPr>
          <w:rFonts w:eastAsia="Open Sans"/>
          <w:b/>
          <w:color w:val="000000"/>
          <w:sz w:val="18"/>
          <w:szCs w:val="18"/>
        </w:rPr>
        <w:t>Workflow Analysis</w:t>
      </w:r>
    </w:p>
    <w:p w14:paraId="0000002B" w14:textId="15B8FD59"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126B65">
        <w:rPr>
          <w:rFonts w:eastAsia="Open Sans"/>
          <w:b/>
          <w:color w:val="000000"/>
          <w:sz w:val="18"/>
          <w:szCs w:val="18"/>
        </w:rPr>
        <w:t>Innovation; Resilience</w:t>
      </w:r>
      <w:r>
        <w:rPr>
          <w:rFonts w:eastAsia="Open Sans"/>
          <w:b/>
          <w:color w:val="000000"/>
          <w:sz w:val="18"/>
          <w:szCs w:val="18"/>
        </w:rPr>
        <w:t>.</w:t>
      </w:r>
    </w:p>
    <w:p w14:paraId="0000002C" w14:textId="38E89769" w:rsidR="00CB39CA" w:rsidRDefault="00523B2E">
      <w:pPr>
        <w:pStyle w:val="Heading1"/>
        <w:numPr>
          <w:ilvl w:val="0"/>
          <w:numId w:val="3"/>
        </w:numPr>
      </w:pPr>
      <w:r>
        <w:t>Introduction</w:t>
      </w:r>
    </w:p>
    <w:p w14:paraId="0F6C4F66" w14:textId="49EE7503" w:rsidR="00E54377" w:rsidRPr="00E54377" w:rsidRDefault="00E54377" w:rsidP="00E54377">
      <w:pPr>
        <w:pBdr>
          <w:top w:val="nil"/>
          <w:left w:val="nil"/>
          <w:bottom w:val="nil"/>
          <w:right w:val="nil"/>
          <w:between w:val="nil"/>
        </w:pBdr>
        <w:spacing w:after="120"/>
        <w:rPr>
          <w:rFonts w:eastAsia="Open Sans"/>
          <w:color w:val="000000"/>
        </w:rPr>
      </w:pPr>
      <w:r w:rsidRPr="00E54377">
        <w:rPr>
          <w:rFonts w:eastAsia="Open Sans"/>
          <w:color w:val="000000"/>
        </w:rPr>
        <w:t xml:space="preserve">At the beginning of 2020, a group of librarians and curators proposed the </w:t>
      </w:r>
      <w:r w:rsidR="00CD4C96">
        <w:rPr>
          <w:rFonts w:eastAsia="Open Sans"/>
          <w:color w:val="000000"/>
        </w:rPr>
        <w:t>creation</w:t>
      </w:r>
      <w:r w:rsidRPr="00E54377">
        <w:rPr>
          <w:rFonts w:eastAsia="Open Sans"/>
          <w:color w:val="000000"/>
        </w:rPr>
        <w:t xml:space="preserve"> of a workgroup to provide a cross-functional, consistent approach to managing </w:t>
      </w:r>
      <w:r w:rsidR="00CD4C96">
        <w:rPr>
          <w:rFonts w:eastAsia="Open Sans"/>
          <w:color w:val="000000"/>
        </w:rPr>
        <w:t>The Ohio State University Libraries’</w:t>
      </w:r>
      <w:r w:rsidRPr="00E54377">
        <w:rPr>
          <w:rFonts w:eastAsia="Open Sans"/>
          <w:color w:val="000000"/>
        </w:rPr>
        <w:t xml:space="preserve"> </w:t>
      </w:r>
      <w:r w:rsidR="00CD4C96">
        <w:rPr>
          <w:rFonts w:eastAsia="Open Sans"/>
          <w:color w:val="000000"/>
        </w:rPr>
        <w:t>(</w:t>
      </w:r>
      <w:r w:rsidR="00D10CED">
        <w:rPr>
          <w:rFonts w:eastAsia="Open Sans"/>
          <w:color w:val="000000"/>
        </w:rPr>
        <w:t xml:space="preserve">University </w:t>
      </w:r>
      <w:r w:rsidR="00CD4C96">
        <w:rPr>
          <w:rFonts w:eastAsia="Open Sans"/>
          <w:color w:val="000000"/>
        </w:rPr>
        <w:t xml:space="preserve">Libraries) </w:t>
      </w:r>
      <w:r w:rsidRPr="00E54377">
        <w:rPr>
          <w:rFonts w:eastAsia="Open Sans"/>
          <w:color w:val="000000"/>
        </w:rPr>
        <w:t>born digital acquisitions and digitized materials.</w:t>
      </w:r>
    </w:p>
    <w:p w14:paraId="492EA424" w14:textId="7762D554" w:rsidR="00E54377" w:rsidRPr="00E54377" w:rsidRDefault="00E54377" w:rsidP="00E54377">
      <w:pPr>
        <w:pBdr>
          <w:top w:val="nil"/>
          <w:left w:val="nil"/>
          <w:bottom w:val="nil"/>
          <w:right w:val="nil"/>
          <w:between w:val="nil"/>
        </w:pBdr>
        <w:spacing w:after="120"/>
        <w:rPr>
          <w:rFonts w:eastAsia="Open Sans"/>
          <w:color w:val="000000"/>
        </w:rPr>
      </w:pPr>
      <w:r w:rsidRPr="00E54377">
        <w:rPr>
          <w:rFonts w:eastAsia="Open Sans"/>
          <w:color w:val="000000"/>
        </w:rPr>
        <w:t xml:space="preserve">Various </w:t>
      </w:r>
      <w:r w:rsidR="00D10CED">
        <w:rPr>
          <w:rFonts w:eastAsia="Open Sans"/>
          <w:color w:val="000000"/>
        </w:rPr>
        <w:t xml:space="preserve">University </w:t>
      </w:r>
      <w:r w:rsidR="00CD4C96">
        <w:rPr>
          <w:rFonts w:eastAsia="Open Sans"/>
          <w:color w:val="000000"/>
        </w:rPr>
        <w:t xml:space="preserve">Libraries’ </w:t>
      </w:r>
      <w:r w:rsidRPr="00E54377">
        <w:rPr>
          <w:rFonts w:eastAsia="Open Sans"/>
          <w:color w:val="000000"/>
        </w:rPr>
        <w:t xml:space="preserve">workgroups </w:t>
      </w:r>
      <w:r w:rsidR="00CD4C96" w:rsidRPr="00E54377">
        <w:rPr>
          <w:rFonts w:eastAsia="Open Sans"/>
          <w:color w:val="000000"/>
        </w:rPr>
        <w:t xml:space="preserve">have come together </w:t>
      </w:r>
      <w:r w:rsidRPr="00E54377">
        <w:rPr>
          <w:rFonts w:eastAsia="Open Sans"/>
          <w:color w:val="000000"/>
        </w:rPr>
        <w:t xml:space="preserve">over the past decade </w:t>
      </w:r>
      <w:r w:rsidR="00CD4C96">
        <w:rPr>
          <w:rFonts w:eastAsia="Open Sans"/>
          <w:color w:val="000000"/>
        </w:rPr>
        <w:t xml:space="preserve">investigating </w:t>
      </w:r>
      <w:r w:rsidRPr="00E54377">
        <w:rPr>
          <w:rFonts w:eastAsia="Open Sans"/>
          <w:color w:val="000000"/>
        </w:rPr>
        <w:t xml:space="preserve">issues </w:t>
      </w:r>
      <w:r w:rsidRPr="00E54377">
        <w:rPr>
          <w:rFonts w:eastAsia="Open Sans"/>
          <w:color w:val="000000"/>
        </w:rPr>
        <w:t xml:space="preserve">pertinent to </w:t>
      </w:r>
      <w:r w:rsidR="00CD4C96">
        <w:rPr>
          <w:rFonts w:eastAsia="Open Sans"/>
          <w:color w:val="000000"/>
        </w:rPr>
        <w:t>its</w:t>
      </w:r>
      <w:r w:rsidRPr="00E54377">
        <w:rPr>
          <w:rFonts w:eastAsia="Open Sans"/>
          <w:color w:val="000000"/>
        </w:rPr>
        <w:t xml:space="preserve"> digital content with success in developing guidance, while other groups’ efforts have not necessarily seen the light of day. Further, there is confusion at times as where to find definitive University Libraries’ information regarding digitizing materials, accessioning born digital materials, and where </w:t>
      </w:r>
      <w:r w:rsidR="00CD4C96">
        <w:rPr>
          <w:rFonts w:eastAsia="Open Sans"/>
          <w:color w:val="000000"/>
        </w:rPr>
        <w:t>it</w:t>
      </w:r>
      <w:r w:rsidRPr="00E54377">
        <w:rPr>
          <w:rFonts w:eastAsia="Open Sans"/>
          <w:color w:val="000000"/>
        </w:rPr>
        <w:t xml:space="preserve"> will preserve and provide access to the</w:t>
      </w:r>
      <w:r w:rsidR="00CD4C96">
        <w:rPr>
          <w:rFonts w:eastAsia="Open Sans"/>
          <w:color w:val="000000"/>
        </w:rPr>
        <w:t>se materials</w:t>
      </w:r>
      <w:r w:rsidRPr="00E54377">
        <w:rPr>
          <w:rFonts w:eastAsia="Open Sans"/>
          <w:color w:val="000000"/>
        </w:rPr>
        <w:t xml:space="preserve">. </w:t>
      </w:r>
    </w:p>
    <w:p w14:paraId="3C81DC29" w14:textId="4DCBD15F" w:rsidR="00E54377" w:rsidRPr="00CD4C96" w:rsidRDefault="00E54377" w:rsidP="0083796E">
      <w:pPr>
        <w:pBdr>
          <w:top w:val="nil"/>
          <w:left w:val="nil"/>
          <w:bottom w:val="nil"/>
          <w:right w:val="nil"/>
          <w:between w:val="nil"/>
        </w:pBdr>
        <w:spacing w:after="120"/>
        <w:ind w:firstLine="346"/>
        <w:rPr>
          <w:rFonts w:eastAsia="Open Sans"/>
          <w:color w:val="000000"/>
        </w:rPr>
      </w:pPr>
      <w:r w:rsidRPr="00E54377">
        <w:rPr>
          <w:rFonts w:eastAsia="Open Sans"/>
          <w:color w:val="000000"/>
        </w:rPr>
        <w:t xml:space="preserve">One of the goals of this </w:t>
      </w:r>
      <w:r w:rsidR="003E0F52">
        <w:rPr>
          <w:rFonts w:eastAsia="Open Sans"/>
          <w:color w:val="000000"/>
        </w:rPr>
        <w:t>work</w:t>
      </w:r>
      <w:r w:rsidRPr="00E54377">
        <w:rPr>
          <w:rFonts w:eastAsia="Open Sans"/>
          <w:color w:val="000000"/>
        </w:rPr>
        <w:t xml:space="preserve">group, Digital Preservation &amp; Access—or DP&amp;A—is to provide a single point of access to find, discover and manage this institutional knowledge. Further, the DP&amp;A, intends to </w:t>
      </w:r>
      <w:r w:rsidR="00D10CED">
        <w:rPr>
          <w:rFonts w:eastAsia="Open Sans"/>
          <w:color w:val="000000"/>
        </w:rPr>
        <w:t xml:space="preserve">investigate and develop the means by which it can </w:t>
      </w:r>
      <w:r w:rsidRPr="00E54377">
        <w:rPr>
          <w:rFonts w:eastAsia="Open Sans"/>
          <w:color w:val="000000"/>
        </w:rPr>
        <w:t xml:space="preserve">provide transparency in </w:t>
      </w:r>
      <w:r w:rsidR="00D10CED" w:rsidRPr="00E54377">
        <w:rPr>
          <w:rFonts w:eastAsia="Open Sans"/>
          <w:color w:val="000000"/>
        </w:rPr>
        <w:t>decision</w:t>
      </w:r>
      <w:r w:rsidR="00D10CED">
        <w:rPr>
          <w:rFonts w:eastAsia="Open Sans"/>
          <w:color w:val="000000"/>
        </w:rPr>
        <w:t>-</w:t>
      </w:r>
      <w:r w:rsidR="00D10CED" w:rsidRPr="00E54377">
        <w:rPr>
          <w:rFonts w:eastAsia="Open Sans"/>
          <w:color w:val="000000"/>
        </w:rPr>
        <w:t>making</w:t>
      </w:r>
      <w:r w:rsidRPr="00E54377">
        <w:rPr>
          <w:rFonts w:eastAsia="Open Sans"/>
          <w:color w:val="000000"/>
        </w:rPr>
        <w:t xml:space="preserve"> </w:t>
      </w:r>
      <w:r w:rsidR="00D10CED">
        <w:rPr>
          <w:rFonts w:eastAsia="Open Sans"/>
          <w:color w:val="000000"/>
        </w:rPr>
        <w:t>for determining</w:t>
      </w:r>
      <w:r w:rsidRPr="00E54377">
        <w:rPr>
          <w:rFonts w:eastAsia="Open Sans"/>
          <w:color w:val="000000"/>
        </w:rPr>
        <w:t xml:space="preserve"> priorities, guidelines and standards that the Libraries adopts in these areas.</w:t>
      </w:r>
    </w:p>
    <w:p w14:paraId="761C86B9" w14:textId="3924F7B4" w:rsidR="002B447E" w:rsidRDefault="00E54377" w:rsidP="0083796E">
      <w:pPr>
        <w:pBdr>
          <w:top w:val="nil"/>
          <w:left w:val="nil"/>
          <w:bottom w:val="nil"/>
          <w:right w:val="nil"/>
          <w:between w:val="nil"/>
        </w:pBdr>
        <w:spacing w:after="120"/>
        <w:ind w:firstLine="346"/>
        <w:rPr>
          <w:rFonts w:eastAsia="Open Sans"/>
          <w:color w:val="000000"/>
        </w:rPr>
      </w:pPr>
      <w:r w:rsidRPr="00E54377">
        <w:rPr>
          <w:rFonts w:eastAsia="Open Sans"/>
          <w:color w:val="000000"/>
        </w:rPr>
        <w:t xml:space="preserve">The initial charge from the sponsoring Associate Deans, meant to eventually achieve these loftier goals, is something much more basic, </w:t>
      </w:r>
      <w:r w:rsidR="00981E89">
        <w:rPr>
          <w:rFonts w:eastAsia="Open Sans"/>
          <w:color w:val="000000"/>
        </w:rPr>
        <w:t xml:space="preserve">was </w:t>
      </w:r>
      <w:r w:rsidRPr="00E54377">
        <w:rPr>
          <w:rFonts w:eastAsia="Open Sans"/>
          <w:color w:val="000000"/>
        </w:rPr>
        <w:t xml:space="preserve">to identify </w:t>
      </w:r>
      <w:r w:rsidR="00D10CED">
        <w:rPr>
          <w:rFonts w:eastAsia="Open Sans"/>
          <w:color w:val="000000"/>
        </w:rPr>
        <w:t>the University Libraries’</w:t>
      </w:r>
      <w:r w:rsidRPr="00E54377">
        <w:rPr>
          <w:rFonts w:eastAsia="Open Sans"/>
          <w:color w:val="000000"/>
        </w:rPr>
        <w:t xml:space="preserve"> existing workflows that affect born digital acquisitions and processing, digitization, </w:t>
      </w:r>
      <w:r w:rsidR="00D10CED">
        <w:rPr>
          <w:rFonts w:eastAsia="Open Sans"/>
          <w:color w:val="000000"/>
        </w:rPr>
        <w:t xml:space="preserve">arrangement and description, </w:t>
      </w:r>
      <w:r w:rsidRPr="00E54377">
        <w:rPr>
          <w:rFonts w:eastAsia="Open Sans"/>
          <w:color w:val="000000"/>
        </w:rPr>
        <w:t>providing access to digital materials and the preservation thereof. Answering the question</w:t>
      </w:r>
      <w:r w:rsidR="002B447E">
        <w:rPr>
          <w:rFonts w:eastAsia="Open Sans"/>
          <w:color w:val="000000"/>
        </w:rPr>
        <w:t>s:</w:t>
      </w:r>
    </w:p>
    <w:p w14:paraId="48E3DDCE" w14:textId="5A3F8563" w:rsidR="00E54377" w:rsidRDefault="00E54377" w:rsidP="0083796E">
      <w:pPr>
        <w:pBdr>
          <w:top w:val="nil"/>
          <w:left w:val="nil"/>
          <w:bottom w:val="nil"/>
          <w:right w:val="nil"/>
          <w:between w:val="nil"/>
        </w:pBdr>
        <w:spacing w:after="120"/>
        <w:ind w:firstLine="346"/>
        <w:rPr>
          <w:rFonts w:eastAsia="Open Sans"/>
          <w:color w:val="000000"/>
        </w:rPr>
      </w:pPr>
      <w:r w:rsidRPr="00E54377">
        <w:rPr>
          <w:rFonts w:eastAsia="Open Sans"/>
          <w:color w:val="000000"/>
        </w:rPr>
        <w:t>“What are the intersections, gaps, redundancies and areas for improvement?”</w:t>
      </w:r>
    </w:p>
    <w:p w14:paraId="51ED0E5D" w14:textId="265D9739" w:rsidR="002B447E" w:rsidRDefault="002B447E" w:rsidP="0083796E">
      <w:pPr>
        <w:pBdr>
          <w:top w:val="nil"/>
          <w:left w:val="nil"/>
          <w:bottom w:val="nil"/>
          <w:right w:val="nil"/>
          <w:between w:val="nil"/>
        </w:pBdr>
        <w:spacing w:after="120"/>
        <w:ind w:firstLine="346"/>
        <w:rPr>
          <w:rFonts w:eastAsia="Open Sans"/>
          <w:color w:val="000000"/>
        </w:rPr>
      </w:pPr>
      <w:r>
        <w:rPr>
          <w:rFonts w:eastAsia="Open Sans"/>
          <w:color w:val="000000"/>
        </w:rPr>
        <w:t>“How do we approach improving workflow when under-resourced—fiscal and human?</w:t>
      </w:r>
    </w:p>
    <w:p w14:paraId="35EFA598" w14:textId="12944B8A" w:rsidR="00AD5933" w:rsidRDefault="0083796E" w:rsidP="0083796E">
      <w:pPr>
        <w:pBdr>
          <w:top w:val="nil"/>
          <w:left w:val="nil"/>
          <w:bottom w:val="nil"/>
          <w:right w:val="nil"/>
          <w:between w:val="nil"/>
        </w:pBdr>
        <w:spacing w:after="120"/>
        <w:ind w:firstLine="346"/>
        <w:rPr>
          <w:rFonts w:eastAsia="Open Sans"/>
          <w:color w:val="000000"/>
        </w:rPr>
      </w:pPr>
      <w:r>
        <w:rPr>
          <w:rFonts w:eastAsia="Open Sans"/>
          <w:color w:val="000000"/>
        </w:rPr>
        <w:t xml:space="preserve">This poster provides a case study of the work completed thus far by the DP&amp;A from data collection to the development of documented, visualized workflows </w:t>
      </w:r>
      <w:r>
        <w:rPr>
          <w:rFonts w:eastAsia="Open Sans"/>
          <w:color w:val="000000"/>
        </w:rPr>
        <w:lastRenderedPageBreak/>
        <w:t xml:space="preserve">to the initial set of recommendation for process and organizational improvement. It will </w:t>
      </w:r>
      <w:r w:rsidR="002B447E">
        <w:rPr>
          <w:rFonts w:eastAsia="Open Sans"/>
          <w:color w:val="000000"/>
        </w:rPr>
        <w:t xml:space="preserve">not only </w:t>
      </w:r>
      <w:r>
        <w:rPr>
          <w:rFonts w:eastAsia="Open Sans"/>
          <w:color w:val="000000"/>
        </w:rPr>
        <w:t>spotlight the</w:t>
      </w:r>
      <w:r w:rsidR="009245F2">
        <w:rPr>
          <w:rFonts w:eastAsia="Open Sans"/>
          <w:color w:val="000000"/>
        </w:rPr>
        <w:t xml:space="preserve"> innovative use of</w:t>
      </w:r>
      <w:r>
        <w:rPr>
          <w:rFonts w:eastAsia="Open Sans"/>
          <w:color w:val="000000"/>
        </w:rPr>
        <w:t xml:space="preserve"> </w:t>
      </w:r>
      <w:r w:rsidR="009245F2">
        <w:rPr>
          <w:rFonts w:eastAsia="Open Sans"/>
          <w:color w:val="000000"/>
        </w:rPr>
        <w:t xml:space="preserve">business process analysis </w:t>
      </w:r>
      <w:r>
        <w:rPr>
          <w:rFonts w:eastAsia="Open Sans"/>
          <w:color w:val="000000"/>
        </w:rPr>
        <w:t xml:space="preserve">tools that were utilized, </w:t>
      </w:r>
      <w:r w:rsidR="002B447E">
        <w:rPr>
          <w:rFonts w:eastAsia="Open Sans"/>
          <w:color w:val="000000"/>
        </w:rPr>
        <w:t>but</w:t>
      </w:r>
      <w:r>
        <w:rPr>
          <w:rFonts w:eastAsia="Open Sans"/>
          <w:color w:val="000000"/>
        </w:rPr>
        <w:t xml:space="preserve"> how </w:t>
      </w:r>
      <w:r w:rsidR="009245F2">
        <w:rPr>
          <w:rFonts w:eastAsia="Open Sans"/>
          <w:color w:val="000000"/>
        </w:rPr>
        <w:t>University Libraries, due to constraints imposed by the pandemic,</w:t>
      </w:r>
      <w:r>
        <w:rPr>
          <w:rFonts w:eastAsia="Open Sans"/>
          <w:color w:val="000000"/>
        </w:rPr>
        <w:t xml:space="preserve"> had to </w:t>
      </w:r>
      <w:r w:rsidR="009245F2">
        <w:rPr>
          <w:rFonts w:eastAsia="Open Sans"/>
          <w:color w:val="000000"/>
        </w:rPr>
        <w:t>resiliently adapt them</w:t>
      </w:r>
      <w:r>
        <w:rPr>
          <w:rFonts w:eastAsia="Open Sans"/>
          <w:color w:val="000000"/>
        </w:rPr>
        <w:t xml:space="preserve"> to conduct the work in a virtual environment</w:t>
      </w:r>
      <w:r w:rsidR="002B447E">
        <w:rPr>
          <w:rFonts w:eastAsia="Open Sans"/>
          <w:color w:val="000000"/>
        </w:rPr>
        <w:t>. Further, it will highlight the “A-ha” moments we discovered along the way, and provide an adaptable roadmap for other institutions/organizations large and small to employee in conducting their own analysis.</w:t>
      </w:r>
    </w:p>
    <w:p w14:paraId="744CCFEE" w14:textId="44C0F212" w:rsidR="009C5075" w:rsidRPr="009C5075" w:rsidRDefault="009C5075" w:rsidP="00E54377">
      <w:pPr>
        <w:pStyle w:val="Heading1"/>
        <w:numPr>
          <w:ilvl w:val="0"/>
          <w:numId w:val="3"/>
        </w:numPr>
        <w:pBdr>
          <w:top w:val="nil"/>
          <w:left w:val="nil"/>
          <w:bottom w:val="nil"/>
          <w:right w:val="nil"/>
          <w:between w:val="nil"/>
        </w:pBdr>
        <w:rPr>
          <w:rFonts w:eastAsia="Open Sans"/>
          <w:color w:val="000000"/>
        </w:rPr>
      </w:pPr>
      <w:r>
        <w:t>T</w:t>
      </w:r>
      <w:r w:rsidR="00C77F9C">
        <w:t>echniques</w:t>
      </w:r>
    </w:p>
    <w:p w14:paraId="0DF08AC0" w14:textId="1FF4B509" w:rsidR="00AD5933" w:rsidRPr="00AD5933" w:rsidRDefault="009245F2" w:rsidP="00AD5933">
      <w:pPr>
        <w:spacing w:after="120"/>
        <w:rPr>
          <w:rFonts w:cs="Times New Roman (Body CS)"/>
        </w:rPr>
      </w:pPr>
      <w:r>
        <w:rPr>
          <w:rFonts w:cs="Times New Roman (Body CS)"/>
        </w:rPr>
        <w:t>University Libraries</w:t>
      </w:r>
      <w:r w:rsidR="00E748AA">
        <w:rPr>
          <w:rFonts w:cs="Times New Roman (Body CS)"/>
        </w:rPr>
        <w:t>, through the DP&amp;A,</w:t>
      </w:r>
      <w:r>
        <w:rPr>
          <w:rFonts w:cs="Times New Roman (Body CS)"/>
        </w:rPr>
        <w:t xml:space="preserve"> </w:t>
      </w:r>
      <w:r w:rsidR="00E748AA">
        <w:rPr>
          <w:rFonts w:cs="Times New Roman (Body CS)"/>
        </w:rPr>
        <w:t>has</w:t>
      </w:r>
      <w:r w:rsidR="00AD5933" w:rsidRPr="00AD5933">
        <w:rPr>
          <w:rFonts w:cs="Times New Roman (Body CS)"/>
        </w:rPr>
        <w:t xml:space="preserve"> engaged in utilizing </w:t>
      </w:r>
      <w:r>
        <w:rPr>
          <w:rFonts w:cs="Times New Roman (Body CS)"/>
        </w:rPr>
        <w:t>five</w:t>
      </w:r>
      <w:r w:rsidR="00AD5933" w:rsidRPr="00AD5933">
        <w:rPr>
          <w:rFonts w:cs="Times New Roman (Body CS)"/>
        </w:rPr>
        <w:t xml:space="preserve"> techniques—SIPOC, RACI</w:t>
      </w:r>
      <w:r>
        <w:rPr>
          <w:rFonts w:cs="Times New Roman (Body CS)"/>
        </w:rPr>
        <w:t xml:space="preserve">, </w:t>
      </w:r>
      <w:r w:rsidR="00AD5933" w:rsidRPr="00AD5933">
        <w:rPr>
          <w:rFonts w:cs="Times New Roman (Body CS)"/>
        </w:rPr>
        <w:t>Brainwriting</w:t>
      </w:r>
      <w:r>
        <w:rPr>
          <w:rFonts w:cs="Times New Roman (Body CS)"/>
        </w:rPr>
        <w:t>, Workflow Visualization and Change Management</w:t>
      </w:r>
      <w:r w:rsidR="00AD5933" w:rsidRPr="00AD5933">
        <w:rPr>
          <w:rFonts w:cs="Times New Roman (Body CS)"/>
        </w:rPr>
        <w:t xml:space="preserve">—to help </w:t>
      </w:r>
      <w:r w:rsidR="00E748AA">
        <w:rPr>
          <w:rFonts w:cs="Times New Roman (Body CS)"/>
        </w:rPr>
        <w:t>it</w:t>
      </w:r>
      <w:r w:rsidR="00AD5933" w:rsidRPr="00AD5933">
        <w:rPr>
          <w:rFonts w:cs="Times New Roman (Body CS)"/>
        </w:rPr>
        <w:t xml:space="preserve"> </w:t>
      </w:r>
      <w:r>
        <w:rPr>
          <w:rFonts w:cs="Times New Roman (Body CS)"/>
        </w:rPr>
        <w:t xml:space="preserve">analyze, </w:t>
      </w:r>
      <w:r w:rsidR="00AD5933" w:rsidRPr="00AD5933">
        <w:rPr>
          <w:rFonts w:cs="Times New Roman (Body CS)"/>
        </w:rPr>
        <w:t>visualize and understand the workflows processes</w:t>
      </w:r>
      <w:r w:rsidR="00E748AA">
        <w:rPr>
          <w:rFonts w:cs="Times New Roman (Body CS)"/>
        </w:rPr>
        <w:t xml:space="preserve"> they engage in. These workflows encompass the acquisition of born digital materials, the digitization of existing materials, the arrangement, description and processing of those material, along with preserving and providing access to them</w:t>
      </w:r>
      <w:r w:rsidR="00AD5933" w:rsidRPr="00AD5933">
        <w:rPr>
          <w:rFonts w:cs="Times New Roman (Body CS)"/>
        </w:rPr>
        <w:t xml:space="preserve">. These techniques come from the realm of </w:t>
      </w:r>
      <w:r w:rsidR="00E748AA">
        <w:rPr>
          <w:rFonts w:cs="Times New Roman (Body CS)"/>
        </w:rPr>
        <w:t xml:space="preserve">business </w:t>
      </w:r>
      <w:r w:rsidR="00AD5933" w:rsidRPr="00AD5933">
        <w:rPr>
          <w:rFonts w:cs="Times New Roman (Body CS)"/>
        </w:rPr>
        <w:t>process improvement, with roots in Total Quality Management that continue to be used in Lean and Six Sigma programs.</w:t>
      </w:r>
    </w:p>
    <w:p w14:paraId="6A9DA61C" w14:textId="653B4B39" w:rsidR="00AD5933" w:rsidRDefault="00AD5933" w:rsidP="00AD5933">
      <w:pPr>
        <w:pStyle w:val="Heading2"/>
        <w:numPr>
          <w:ilvl w:val="1"/>
          <w:numId w:val="3"/>
        </w:numPr>
      </w:pPr>
      <w:r>
        <w:t>SIPOC</w:t>
      </w:r>
    </w:p>
    <w:p w14:paraId="216FF400" w14:textId="3863A664" w:rsidR="00AD5933" w:rsidRPr="00AD5933" w:rsidRDefault="00E748AA" w:rsidP="00AD5933">
      <w:pPr>
        <w:spacing w:after="120"/>
        <w:rPr>
          <w:rFonts w:cs="Times New Roman (Body CS)"/>
        </w:rPr>
      </w:pPr>
      <w:r w:rsidRPr="00AD5933">
        <w:rPr>
          <w:rFonts w:cs="Times New Roman (Body CS)"/>
        </w:rPr>
        <w:t>The SIPOC</w:t>
      </w:r>
      <w:r w:rsidR="00AD5933" w:rsidRPr="00AD5933">
        <w:rPr>
          <w:rFonts w:cs="Times New Roman (Body CS)"/>
        </w:rPr>
        <w:t xml:space="preserve"> exercise provides for a very high-level view of our workflows or processes. The steps in a workflow are aggregated up to a level of abstraction—a minimum of four and a maximum of seven process steps—that still allows us to understand suppliers (S) of inputs (I) that are transformed through the processes steps (P) into outputs (O) for customers (C). The intent is to ensure that all processes are represented.</w:t>
      </w:r>
    </w:p>
    <w:p w14:paraId="0805E012" w14:textId="4D1E23D7" w:rsidR="00E748AA" w:rsidRDefault="00E748AA" w:rsidP="00E748AA">
      <w:pPr>
        <w:pStyle w:val="Heading2"/>
        <w:numPr>
          <w:ilvl w:val="1"/>
          <w:numId w:val="3"/>
        </w:numPr>
      </w:pPr>
      <w:r>
        <w:t>RACI</w:t>
      </w:r>
    </w:p>
    <w:p w14:paraId="46F6A25E" w14:textId="22C4231F" w:rsidR="00AD5933" w:rsidRPr="00AD5933" w:rsidRDefault="00AD5933" w:rsidP="00AD5933">
      <w:pPr>
        <w:spacing w:after="120"/>
        <w:rPr>
          <w:rFonts w:cs="Times New Roman (Body CS)"/>
        </w:rPr>
      </w:pPr>
      <w:r w:rsidRPr="00AD5933">
        <w:rPr>
          <w:rFonts w:cs="Times New Roman (Body CS)"/>
        </w:rPr>
        <w:t xml:space="preserve">Following up on the SIPOC, each group </w:t>
      </w:r>
      <w:r w:rsidR="00005B64">
        <w:rPr>
          <w:rFonts w:cs="Times New Roman (Body CS)"/>
        </w:rPr>
        <w:t>wa</w:t>
      </w:r>
      <w:r w:rsidRPr="00AD5933">
        <w:rPr>
          <w:rFonts w:cs="Times New Roman (Body CS)"/>
        </w:rPr>
        <w:t>s asked to conduct a RACI to determine for each step within a process who is responsible (R), accountable (A), consulted (C) or needs to be informed (I).</w:t>
      </w:r>
    </w:p>
    <w:p w14:paraId="622F9C4B" w14:textId="3CF9168C" w:rsidR="00E748AA" w:rsidRDefault="00E748AA" w:rsidP="00E748AA">
      <w:pPr>
        <w:pStyle w:val="Heading2"/>
        <w:numPr>
          <w:ilvl w:val="1"/>
          <w:numId w:val="3"/>
        </w:numPr>
      </w:pPr>
      <w:r>
        <w:t>Brainwriting</w:t>
      </w:r>
    </w:p>
    <w:p w14:paraId="21B15E2F" w14:textId="58BAB6E5" w:rsidR="00AD5933" w:rsidRPr="00AD5933" w:rsidRDefault="00AD5933" w:rsidP="00AD5933">
      <w:pPr>
        <w:spacing w:after="120"/>
        <w:rPr>
          <w:rFonts w:cs="Times New Roman (Body CS)"/>
        </w:rPr>
      </w:pPr>
      <w:r w:rsidRPr="00AD5933">
        <w:rPr>
          <w:rFonts w:cs="Times New Roman (Body CS)"/>
        </w:rPr>
        <w:t>Finally, we engage</w:t>
      </w:r>
      <w:r w:rsidR="00005B64">
        <w:rPr>
          <w:rFonts w:cs="Times New Roman (Body CS)"/>
        </w:rPr>
        <w:t>d</w:t>
      </w:r>
      <w:r w:rsidRPr="00AD5933">
        <w:rPr>
          <w:rFonts w:cs="Times New Roman (Body CS)"/>
        </w:rPr>
        <w:t xml:space="preserve"> in brainwriting to further tease out the granularities of the steps identified within the SIPOCs.</w:t>
      </w:r>
    </w:p>
    <w:p w14:paraId="1F62943B" w14:textId="47488140" w:rsidR="00E748AA" w:rsidRDefault="00E748AA" w:rsidP="00E748AA">
      <w:pPr>
        <w:pStyle w:val="Heading2"/>
        <w:numPr>
          <w:ilvl w:val="1"/>
          <w:numId w:val="3"/>
        </w:numPr>
      </w:pPr>
      <w:r>
        <w:t>Workflow Visualization</w:t>
      </w:r>
    </w:p>
    <w:p w14:paraId="43934ED7" w14:textId="20A165A2" w:rsidR="00005B64" w:rsidRPr="00005B64" w:rsidRDefault="00005B64" w:rsidP="00005B64">
      <w:pPr>
        <w:pStyle w:val="iPRESparagraphs"/>
      </w:pPr>
      <w:r>
        <w:t>Utilizing the workflow visualization software, we have created graphic workflow representations based upon the detail generated during brainwriting and verified against the SIPOC and RACI.</w:t>
      </w:r>
    </w:p>
    <w:p w14:paraId="75F17B29" w14:textId="207C1259" w:rsidR="00E748AA" w:rsidRDefault="00E748AA" w:rsidP="00E748AA">
      <w:pPr>
        <w:pStyle w:val="Heading2"/>
        <w:numPr>
          <w:ilvl w:val="1"/>
          <w:numId w:val="3"/>
        </w:numPr>
      </w:pPr>
      <w:r>
        <w:t>Change Management</w:t>
      </w:r>
    </w:p>
    <w:p w14:paraId="00000035" w14:textId="748F14B0" w:rsidR="00CB39CA" w:rsidRDefault="00005B64">
      <w:pPr>
        <w:spacing w:after="120"/>
      </w:pPr>
      <w:r>
        <w:t xml:space="preserve">We </w:t>
      </w:r>
      <w:r w:rsidR="00FD392E">
        <w:t xml:space="preserve">have initially </w:t>
      </w:r>
      <w:r>
        <w:t>employed a change management rubric in addressing one of the five initial recommendations to help us determine how to prioritize the efforts in our workflows. The rubric challenges the group to create a Problem Statement; describe the Current State and envision a Future State; Define the desired Change; what Benefits the change will provide; what the new Process is</w:t>
      </w:r>
      <w:r w:rsidR="003A6AE1">
        <w:t xml:space="preserve">, </w:t>
      </w:r>
      <w:r>
        <w:t xml:space="preserve">how it will </w:t>
      </w:r>
      <w:r w:rsidR="003A6AE1">
        <w:t xml:space="preserve">be implemented and </w:t>
      </w:r>
      <w:r>
        <w:t xml:space="preserve">work; and how we will Measure Progress. </w:t>
      </w:r>
    </w:p>
    <w:p w14:paraId="00000036" w14:textId="6894EDC5" w:rsidR="00CB39CA" w:rsidRDefault="003A6AE1" w:rsidP="00E748AA">
      <w:pPr>
        <w:pStyle w:val="Heading1"/>
        <w:numPr>
          <w:ilvl w:val="0"/>
          <w:numId w:val="3"/>
        </w:numPr>
      </w:pPr>
      <w:r>
        <w:t>Results</w:t>
      </w:r>
      <w:r w:rsidR="00B10B2C">
        <w:t xml:space="preserve"> Thus Far</w:t>
      </w:r>
    </w:p>
    <w:p w14:paraId="1AAE22A7" w14:textId="21BC8819" w:rsidR="009336DB" w:rsidRDefault="009336DB" w:rsidP="009336DB">
      <w:pPr>
        <w:pBdr>
          <w:top w:val="nil"/>
          <w:left w:val="nil"/>
          <w:bottom w:val="nil"/>
          <w:right w:val="nil"/>
          <w:between w:val="nil"/>
        </w:pBdr>
        <w:spacing w:after="120"/>
        <w:rPr>
          <w:rFonts w:eastAsia="Open Sans"/>
          <w:color w:val="000000"/>
        </w:rPr>
      </w:pPr>
      <w:r>
        <w:rPr>
          <w:rFonts w:eastAsia="Open Sans"/>
          <w:color w:val="000000"/>
        </w:rPr>
        <w:t>We believe the tools and the approaches we have brought to analyze these issues are implementable in institutions large and small, with a low technological barrier. We utilized typical office productivity software and shareware applications.</w:t>
      </w:r>
    </w:p>
    <w:p w14:paraId="00000038" w14:textId="3E38EB9E" w:rsidR="00CB39CA" w:rsidRDefault="00B10B2C">
      <w:pPr>
        <w:pBdr>
          <w:top w:val="nil"/>
          <w:left w:val="nil"/>
          <w:bottom w:val="nil"/>
          <w:right w:val="nil"/>
          <w:between w:val="nil"/>
        </w:pBdr>
        <w:spacing w:after="120"/>
        <w:rPr>
          <w:rFonts w:eastAsia="Open Sans"/>
          <w:color w:val="000000"/>
        </w:rPr>
      </w:pPr>
      <w:r>
        <w:rPr>
          <w:rFonts w:eastAsia="Open Sans"/>
          <w:color w:val="000000"/>
        </w:rPr>
        <w:t>We have successfully visualized twenty-five workflows, and had considered an additional thirteen that were either out of scope, not yet developed or currently suspended. We developed an initial set of recommendations based upon five key gaps and implications of those gaps: process, prioritization, process management, resources and documentation</w:t>
      </w:r>
      <w:r w:rsidR="00523B2E">
        <w:rPr>
          <w:rFonts w:eastAsia="Open Sans"/>
          <w:color w:val="000000"/>
        </w:rPr>
        <w:t xml:space="preserve">. </w:t>
      </w:r>
      <w:r>
        <w:rPr>
          <w:rFonts w:eastAsia="Open Sans"/>
          <w:color w:val="000000"/>
        </w:rPr>
        <w:t xml:space="preserve">Each of these gaps includes several actionable factors that we have categorized </w:t>
      </w:r>
      <w:r w:rsidR="007B64CE">
        <w:rPr>
          <w:rFonts w:eastAsia="Open Sans"/>
          <w:color w:val="000000"/>
        </w:rPr>
        <w:t>into two buckets: immediate impact and long-term impact.</w:t>
      </w:r>
    </w:p>
    <w:p w14:paraId="66E22153" w14:textId="2909F6A4" w:rsidR="007B64CE" w:rsidRDefault="007B64CE">
      <w:pPr>
        <w:pBdr>
          <w:top w:val="nil"/>
          <w:left w:val="nil"/>
          <w:bottom w:val="nil"/>
          <w:right w:val="nil"/>
          <w:between w:val="nil"/>
        </w:pBdr>
        <w:spacing w:after="120"/>
        <w:rPr>
          <w:rFonts w:eastAsia="Open Sans"/>
          <w:color w:val="000000"/>
        </w:rPr>
      </w:pPr>
      <w:r>
        <w:rPr>
          <w:rFonts w:eastAsia="Open Sans"/>
          <w:color w:val="000000"/>
        </w:rPr>
        <w:t>Our ongoing more granular analysis of the visualized workflows is looking to identify not only gaps, but intersections and commonalities and their alignment within the workflows. Further, we are attempting to apply a lens of Total Cost of Stewardship [2]</w:t>
      </w:r>
      <w:r w:rsidR="00CA6226">
        <w:rPr>
          <w:rFonts w:eastAsia="Open Sans"/>
          <w:color w:val="000000"/>
        </w:rPr>
        <w:t xml:space="preserve"> as we consider capacity and equitable distribution of the workload</w:t>
      </w:r>
      <w:r>
        <w:rPr>
          <w:rFonts w:eastAsia="Open Sans"/>
          <w:color w:val="000000"/>
        </w:rPr>
        <w:t xml:space="preserve">. </w:t>
      </w:r>
      <w:r w:rsidR="00F960A0">
        <w:rPr>
          <w:rFonts w:eastAsia="Open Sans"/>
          <w:color w:val="000000"/>
        </w:rPr>
        <w:t xml:space="preserve">Our efforts are not directed at dismantling silos—they do have their functional </w:t>
      </w:r>
      <w:r w:rsidR="007C3643">
        <w:rPr>
          <w:rFonts w:eastAsia="Open Sans"/>
          <w:color w:val="000000"/>
        </w:rPr>
        <w:t>purposes. However, we want</w:t>
      </w:r>
      <w:r w:rsidR="00F960A0">
        <w:rPr>
          <w:rFonts w:eastAsia="Open Sans"/>
          <w:color w:val="000000"/>
        </w:rPr>
        <w:t xml:space="preserve"> to make those silos more transparent and permeable, exposing the work we do</w:t>
      </w:r>
      <w:r w:rsidR="007C3643">
        <w:rPr>
          <w:rFonts w:eastAsia="Open Sans"/>
          <w:color w:val="000000"/>
        </w:rPr>
        <w:t>, creating a more inviting environment for teamwork and collaboration</w:t>
      </w:r>
      <w:r w:rsidR="00F960A0">
        <w:rPr>
          <w:rFonts w:eastAsia="Open Sans"/>
          <w:color w:val="000000"/>
        </w:rPr>
        <w:t>.</w:t>
      </w:r>
    </w:p>
    <w:p w14:paraId="00000039" w14:textId="77777777" w:rsidR="00CB39CA" w:rsidRDefault="00523B2E">
      <w:pPr>
        <w:pStyle w:val="Heading1"/>
      </w:pPr>
      <w:r>
        <w:t>REFERENCES</w:t>
      </w:r>
    </w:p>
    <w:p w14:paraId="0000003A" w14:textId="3E91E09C" w:rsidR="00CB39CA" w:rsidRDefault="009C5075" w:rsidP="00126B65">
      <w:pPr>
        <w:pStyle w:val="ListParagraph"/>
        <w:numPr>
          <w:ilvl w:val="0"/>
          <w:numId w:val="1"/>
        </w:numPr>
        <w:rPr>
          <w:rFonts w:eastAsia="Open Sans"/>
          <w:color w:val="000000"/>
          <w:sz w:val="16"/>
          <w:szCs w:val="16"/>
        </w:rPr>
      </w:pPr>
      <w:r>
        <w:rPr>
          <w:rFonts w:eastAsia="Open Sans"/>
          <w:color w:val="000000"/>
          <w:sz w:val="16"/>
          <w:szCs w:val="16"/>
        </w:rPr>
        <w:t>D</w:t>
      </w:r>
      <w:r w:rsidR="00126B65" w:rsidRPr="00126B65">
        <w:rPr>
          <w:rFonts w:eastAsia="Open Sans"/>
          <w:color w:val="000000"/>
          <w:sz w:val="16"/>
          <w:szCs w:val="16"/>
        </w:rPr>
        <w:t xml:space="preserve">igital Preservation &amp; Access Workgroup’s Wiki, </w:t>
      </w:r>
      <w:hyperlink r:id="rId18" w:history="1">
        <w:r w:rsidR="00126B65" w:rsidRPr="003C7CC8">
          <w:rPr>
            <w:rStyle w:val="Hyperlink"/>
            <w:rFonts w:ascii="Open Sans" w:eastAsia="Open Sans" w:hAnsi="Open Sans"/>
            <w:sz w:val="16"/>
            <w:szCs w:val="16"/>
          </w:rPr>
          <w:t>http://go.osu.edu/libraries-dpa</w:t>
        </w:r>
      </w:hyperlink>
      <w:r w:rsidR="00126B65">
        <w:rPr>
          <w:rFonts w:eastAsia="Open Sans"/>
          <w:color w:val="000000"/>
          <w:sz w:val="16"/>
          <w:szCs w:val="16"/>
        </w:rPr>
        <w:t xml:space="preserve"> </w:t>
      </w:r>
    </w:p>
    <w:p w14:paraId="7D628767" w14:textId="32EAE860" w:rsidR="007B64CE" w:rsidRPr="00126B65" w:rsidRDefault="007B64CE" w:rsidP="00126B65">
      <w:pPr>
        <w:pStyle w:val="ListParagraph"/>
        <w:numPr>
          <w:ilvl w:val="0"/>
          <w:numId w:val="1"/>
        </w:numPr>
        <w:rPr>
          <w:rFonts w:eastAsia="Open Sans"/>
          <w:color w:val="000000"/>
          <w:sz w:val="16"/>
          <w:szCs w:val="16"/>
        </w:rPr>
      </w:pPr>
      <w:r>
        <w:rPr>
          <w:rFonts w:eastAsia="Open Sans"/>
          <w:color w:val="000000"/>
          <w:sz w:val="16"/>
          <w:szCs w:val="16"/>
        </w:rPr>
        <w:t>Total Cost of Stewardship</w:t>
      </w:r>
      <w:r w:rsidRPr="007B64CE">
        <w:rPr>
          <w:rFonts w:eastAsia="Open Sans"/>
          <w:color w:val="000000"/>
          <w:sz w:val="16"/>
          <w:szCs w:val="16"/>
        </w:rPr>
        <w:t>: Responsible Collection Building in Archives and Special Collections</w:t>
      </w:r>
      <w:r>
        <w:rPr>
          <w:rFonts w:eastAsia="Open Sans"/>
          <w:color w:val="000000"/>
          <w:sz w:val="16"/>
          <w:szCs w:val="16"/>
        </w:rPr>
        <w:t xml:space="preserve">, OCLC. </w:t>
      </w:r>
      <w:hyperlink r:id="rId19" w:history="1">
        <w:r w:rsidRPr="0060610E">
          <w:rPr>
            <w:rStyle w:val="Hyperlink"/>
            <w:rFonts w:ascii="Open Sans" w:eastAsia="Open Sans" w:hAnsi="Open Sans"/>
            <w:sz w:val="16"/>
            <w:szCs w:val="16"/>
          </w:rPr>
          <w:t>https://www.oclc.org/research/publications/2021/oclcresearch-total-cost-of-stewardship-tools-suite.html</w:t>
        </w:r>
      </w:hyperlink>
      <w:r>
        <w:rPr>
          <w:rFonts w:eastAsia="Open Sans"/>
          <w:color w:val="000000"/>
          <w:sz w:val="16"/>
          <w:szCs w:val="16"/>
        </w:rPr>
        <w:t xml:space="preserve"> </w:t>
      </w:r>
    </w:p>
    <w:sectPr w:rsidR="007B64CE" w:rsidRPr="00126B65">
      <w:type w:val="continuous"/>
      <w:pgSz w:w="11900" w:h="16820"/>
      <w:pgMar w:top="1080" w:right="902" w:bottom="1440" w:left="902" w:header="567" w:footer="737" w:gutter="0"/>
      <w:cols w:num="2" w:space="720" w:equalWidth="0">
        <w:col w:w="4869" w:space="357"/>
        <w:col w:w="4869" w:space="0"/>
      </w:cols>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FF9C" w16cex:dateUtc="2021-11-30T1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2C1E3" w14:textId="77777777" w:rsidR="00523B2E" w:rsidRDefault="00523B2E">
      <w:r>
        <w:separator/>
      </w:r>
    </w:p>
  </w:endnote>
  <w:endnote w:type="continuationSeparator" w:id="0">
    <w:p w14:paraId="18F63E22" w14:textId="77777777" w:rsidR="00523B2E" w:rsidRDefault="0052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rriweather Sans">
    <w:altName w:val="Sylfaen"/>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CB39CA" w:rsidRDefault="00523B2E">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AFAD9" w14:textId="77777777" w:rsidR="00523B2E" w:rsidRDefault="00523B2E">
      <w:r>
        <w:separator/>
      </w:r>
    </w:p>
  </w:footnote>
  <w:footnote w:type="continuationSeparator" w:id="0">
    <w:p w14:paraId="66EEA384" w14:textId="77777777" w:rsidR="00523B2E" w:rsidRDefault="0052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2EBE8F5E"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32422628" w:rsidR="00CB39CA" w:rsidRDefault="00523B2E">
    <w:pPr>
      <w:jc w:val="right"/>
    </w:pPr>
    <w:r>
      <w:fldChar w:fldCharType="begin"/>
    </w:r>
    <w:r>
      <w:instrText>PAGE</w:instrText>
    </w:r>
    <w:r>
      <w:fldChar w:fldCharType="separate"/>
    </w:r>
    <w:r w:rsidR="004F5CA3">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3DD7CF1"/>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578B2848"/>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4"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71BA4150"/>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77E14FE3"/>
    <w:multiLevelType w:val="hybridMultilevel"/>
    <w:tmpl w:val="4FE802FE"/>
    <w:lvl w:ilvl="0" w:tplc="04090001">
      <w:start w:val="1"/>
      <w:numFmt w:val="bullet"/>
      <w:lvlText w:val=""/>
      <w:lvlJc w:val="left"/>
      <w:pPr>
        <w:ind w:left="720" w:hanging="360"/>
      </w:pPr>
      <w:rPr>
        <w:rFonts w:ascii="Symbol" w:hAnsi="Symbol" w:hint="default"/>
      </w:rPr>
    </w:lvl>
    <w:lvl w:ilvl="1" w:tplc="89A4DDD4">
      <w:numFmt w:val="bullet"/>
      <w:lvlText w:val="•"/>
      <w:lvlJc w:val="left"/>
      <w:pPr>
        <w:ind w:left="1800" w:hanging="720"/>
      </w:pPr>
      <w:rPr>
        <w:rFonts w:ascii="Open Sans" w:eastAsia="Open Sans"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B9F44EE"/>
    <w:multiLevelType w:val="hybridMultilevel"/>
    <w:tmpl w:val="20DE6E5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005B64"/>
    <w:rsid w:val="00125735"/>
    <w:rsid w:val="00126B65"/>
    <w:rsid w:val="0029766B"/>
    <w:rsid w:val="002B447E"/>
    <w:rsid w:val="003200C2"/>
    <w:rsid w:val="003A6AE1"/>
    <w:rsid w:val="003E0F52"/>
    <w:rsid w:val="004770C2"/>
    <w:rsid w:val="004D5CD7"/>
    <w:rsid w:val="004F5CA3"/>
    <w:rsid w:val="00523B2E"/>
    <w:rsid w:val="005A3E28"/>
    <w:rsid w:val="0066367B"/>
    <w:rsid w:val="007B64CE"/>
    <w:rsid w:val="007C3643"/>
    <w:rsid w:val="0083796E"/>
    <w:rsid w:val="00917728"/>
    <w:rsid w:val="009245F2"/>
    <w:rsid w:val="009336DB"/>
    <w:rsid w:val="00981E89"/>
    <w:rsid w:val="009C0A71"/>
    <w:rsid w:val="009C5075"/>
    <w:rsid w:val="00A506EA"/>
    <w:rsid w:val="00A67A7A"/>
    <w:rsid w:val="00AD5933"/>
    <w:rsid w:val="00B10B2C"/>
    <w:rsid w:val="00B1662B"/>
    <w:rsid w:val="00C035BA"/>
    <w:rsid w:val="00C77F9C"/>
    <w:rsid w:val="00CA6226"/>
    <w:rsid w:val="00CB39CA"/>
    <w:rsid w:val="00CD4C96"/>
    <w:rsid w:val="00D10CED"/>
    <w:rsid w:val="00E54377"/>
    <w:rsid w:val="00E748AA"/>
    <w:rsid w:val="00F960A0"/>
    <w:rsid w:val="00FB6F3B"/>
    <w:rsid w:val="00FC6AC7"/>
    <w:rsid w:val="00FD3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993C"/>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PRES Normal"/>
    <w:qFormat/>
    <w:rsid w:val="00A506EA"/>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6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F3B"/>
    <w:rPr>
      <w:rFonts w:ascii="Segoe UI" w:eastAsiaTheme="minorEastAsia" w:hAnsi="Segoe UI" w:cs="Segoe UI"/>
      <w:sz w:val="18"/>
      <w:szCs w:val="18"/>
      <w:lang w:eastAsia="zh-TW"/>
    </w:rPr>
  </w:style>
  <w:style w:type="character" w:styleId="UnresolvedMention">
    <w:name w:val="Unresolved Mention"/>
    <w:basedOn w:val="DefaultParagraphFont"/>
    <w:uiPriority w:val="99"/>
    <w:semiHidden/>
    <w:unhideWhenUsed/>
    <w:rsid w:val="004770C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728"/>
    <w:rPr>
      <w:b/>
      <w:bCs/>
    </w:rPr>
  </w:style>
  <w:style w:type="character" w:customStyle="1" w:styleId="CommentSubjectChar">
    <w:name w:val="Comment Subject Char"/>
    <w:basedOn w:val="CommentTextChar"/>
    <w:link w:val="CommentSubject"/>
    <w:uiPriority w:val="99"/>
    <w:semiHidden/>
    <w:rsid w:val="00917728"/>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go.osu.edu/libraries-dpa"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rcid.org/0000-0002-0895-3733"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rcid.org/0000-0002-7021-410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clc.org/research/publications/2021/oclcresearch-total-cost-of-stewardship-tools-suit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E3E90BE8539EE458123EB22CAB36B71" ma:contentTypeVersion="14" ma:contentTypeDescription="Create a new document." ma:contentTypeScope="" ma:versionID="2ed8590bde0ba8b60dace1af85e2a95e">
  <xsd:schema xmlns:xsd="http://www.w3.org/2001/XMLSchema" xmlns:xs="http://www.w3.org/2001/XMLSchema" xmlns:p="http://schemas.microsoft.com/office/2006/metadata/properties" xmlns:ns3="a8d3f169-c98f-4661-a09d-95d03344fef3" xmlns:ns4="72c99e2f-ab3c-49d6-aceb-e9ee41edd940" targetNamespace="http://schemas.microsoft.com/office/2006/metadata/properties" ma:root="true" ma:fieldsID="f8b06bdbc18d0c471781addf9f2b9bd2" ns3:_="" ns4:_="">
    <xsd:import namespace="a8d3f169-c98f-4661-a09d-95d03344fef3"/>
    <xsd:import namespace="72c99e2f-ab3c-49d6-aceb-e9ee41edd9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3f169-c98f-4661-a09d-95d03344fe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c99e2f-ab3c-49d6-aceb-e9ee41edd9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F6FAA-64E6-4641-BF70-4EBF0C43BA52}">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8d3f169-c98f-4661-a09d-95d03344fef3"/>
    <ds:schemaRef ds:uri="72c99e2f-ab3c-49d6-aceb-e9ee41edd94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7A1E267-81AF-49A1-B40F-BE2F913F978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0A509F5-E44B-413C-AF46-672B7C480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3f169-c98f-4661-a09d-95d03344fef3"/>
    <ds:schemaRef ds:uri="72c99e2f-ab3c-49d6-aceb-e9ee41edd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Bringing Transparency and Permeability to Organizational Silos: Improving Workflow and Culture</vt:lpstr>
    </vt:vector>
  </TitlesOfParts>
  <Company>The Ohio State Unievrsity</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Bringing Transparency and Permeability to Organizational Silos: Improving Workflow and Culture</dc:title>
  <dc:creator>Daniel Noonan and Sue Beck</dc:creator>
  <cp:lastModifiedBy>Noonan, Daniel</cp:lastModifiedBy>
  <cp:revision>2</cp:revision>
  <dcterms:created xsi:type="dcterms:W3CDTF">2022-03-08T14:12:00Z</dcterms:created>
  <dcterms:modified xsi:type="dcterms:W3CDTF">2022-03-08T14:12:00Z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0x010100BE3E90BE8539EE458123EB22CAB36B71</vt:lpwstr>
  </property>
</Properties>
</file>