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60475" w14:textId="77777777" w:rsidR="00D54644" w:rsidRDefault="00D54644">
      <w:pPr>
        <w:pStyle w:val="Untertitel"/>
        <w:rPr>
          <w:rFonts w:cs="Times New Roman (Body CS)"/>
          <w:i w:val="0"/>
          <w:smallCaps/>
          <w:color w:val="auto"/>
          <w:sz w:val="48"/>
          <w:szCs w:val="48"/>
        </w:rPr>
      </w:pPr>
      <w:r w:rsidRPr="00D54644">
        <w:rPr>
          <w:rFonts w:cs="Times New Roman (Body CS)"/>
          <w:i w:val="0"/>
          <w:smallCaps/>
          <w:color w:val="auto"/>
          <w:sz w:val="48"/>
          <w:szCs w:val="48"/>
        </w:rPr>
        <w:t xml:space="preserve">Act now, late or never: </w:t>
      </w:r>
    </w:p>
    <w:p w14:paraId="00000015" w14:textId="16C3FE8C" w:rsidR="009C0F38" w:rsidRDefault="00D54644">
      <w:pPr>
        <w:pStyle w:val="Untertitel"/>
      </w:pPr>
      <w:r w:rsidRPr="00D54644">
        <w:t>Make Digital Objects (more) archivable early in their life cycle?</w:t>
      </w:r>
    </w:p>
    <w:p w14:paraId="00000016" w14:textId="77777777" w:rsidR="009C0F38" w:rsidRDefault="009C0F38"/>
    <w:tbl>
      <w:tblPr>
        <w:tblStyle w:val="a"/>
        <w:tblW w:w="6006" w:type="dxa"/>
        <w:jc w:val="center"/>
        <w:tblBorders>
          <w:top w:val="nil"/>
          <w:left w:val="nil"/>
          <w:bottom w:val="nil"/>
          <w:right w:val="nil"/>
          <w:insideH w:val="nil"/>
          <w:insideV w:val="nil"/>
        </w:tblBorders>
        <w:tblLayout w:type="fixed"/>
        <w:tblLook w:val="0400" w:firstRow="0" w:lastRow="0" w:firstColumn="0" w:lastColumn="0" w:noHBand="0" w:noVBand="1"/>
      </w:tblPr>
      <w:tblGrid>
        <w:gridCol w:w="3003"/>
        <w:gridCol w:w="3003"/>
      </w:tblGrid>
      <w:tr w:rsidR="00D54644" w14:paraId="46876049" w14:textId="77777777" w:rsidTr="001850B6">
        <w:trPr>
          <w:jc w:val="center"/>
        </w:trPr>
        <w:tc>
          <w:tcPr>
            <w:tcW w:w="3003" w:type="dxa"/>
          </w:tcPr>
          <w:p w14:paraId="00000017" w14:textId="079580C3" w:rsidR="00D54644" w:rsidRDefault="00D54644">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Katharina Markus</w:t>
            </w:r>
          </w:p>
        </w:tc>
        <w:tc>
          <w:tcPr>
            <w:tcW w:w="3003" w:type="dxa"/>
          </w:tcPr>
          <w:p w14:paraId="00000018" w14:textId="6F980B73" w:rsidR="00D54644" w:rsidRDefault="001850B6">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Yvonne Tunnat</w:t>
            </w:r>
          </w:p>
        </w:tc>
      </w:tr>
      <w:tr w:rsidR="00D54644" w14:paraId="5285B838" w14:textId="77777777" w:rsidTr="001850B6">
        <w:trPr>
          <w:trHeight w:val="578"/>
          <w:jc w:val="center"/>
        </w:trPr>
        <w:tc>
          <w:tcPr>
            <w:tcW w:w="3003" w:type="dxa"/>
          </w:tcPr>
          <w:p w14:paraId="56A10FF5" w14:textId="77777777" w:rsidR="00D54644" w:rsidRDefault="00D54644">
            <w:pPr>
              <w:pBdr>
                <w:top w:val="nil"/>
                <w:left w:val="nil"/>
                <w:bottom w:val="nil"/>
                <w:right w:val="nil"/>
                <w:between w:val="nil"/>
              </w:pBdr>
              <w:jc w:val="center"/>
              <w:rPr>
                <w:rFonts w:eastAsia="Open Sans"/>
                <w:i/>
                <w:color w:val="000000"/>
              </w:rPr>
            </w:pPr>
            <w:r w:rsidRPr="00D54644">
              <w:rPr>
                <w:rFonts w:eastAsia="Open Sans"/>
                <w:i/>
                <w:color w:val="000000"/>
              </w:rPr>
              <w:t>ZB MED – Information Centre for Life Sciences</w:t>
            </w:r>
          </w:p>
          <w:p w14:paraId="0000001B" w14:textId="6D0AE932" w:rsidR="00D54644" w:rsidRDefault="00D54644">
            <w:pPr>
              <w:pBdr>
                <w:top w:val="nil"/>
                <w:left w:val="nil"/>
                <w:bottom w:val="nil"/>
                <w:right w:val="nil"/>
                <w:between w:val="nil"/>
              </w:pBdr>
              <w:jc w:val="center"/>
              <w:rPr>
                <w:rFonts w:eastAsia="Open Sans"/>
                <w:i/>
                <w:color w:val="000000"/>
              </w:rPr>
            </w:pPr>
            <w:r>
              <w:rPr>
                <w:rFonts w:eastAsia="Open Sans"/>
                <w:i/>
                <w:color w:val="000000"/>
              </w:rPr>
              <w:t>Germany</w:t>
            </w:r>
          </w:p>
          <w:p w14:paraId="0000001D" w14:textId="7D53699F" w:rsidR="00D54644" w:rsidRDefault="00D54644">
            <w:pPr>
              <w:pBdr>
                <w:top w:val="nil"/>
                <w:left w:val="nil"/>
                <w:bottom w:val="nil"/>
                <w:right w:val="nil"/>
                <w:between w:val="nil"/>
              </w:pBdr>
              <w:jc w:val="center"/>
              <w:rPr>
                <w:rFonts w:eastAsia="Open Sans"/>
                <w:i/>
                <w:color w:val="000000"/>
              </w:rPr>
            </w:pPr>
            <w:r w:rsidRPr="00D54644">
              <w:rPr>
                <w:rFonts w:eastAsia="Open Sans"/>
                <w:i/>
                <w:color w:val="000000"/>
              </w:rPr>
              <w:t>Markus@zbmed.de</w:t>
            </w:r>
          </w:p>
        </w:tc>
        <w:tc>
          <w:tcPr>
            <w:tcW w:w="3003" w:type="dxa"/>
          </w:tcPr>
          <w:p w14:paraId="34CB843E" w14:textId="77777777" w:rsidR="00D54644" w:rsidRDefault="00D54644">
            <w:pPr>
              <w:pBdr>
                <w:top w:val="nil"/>
                <w:left w:val="nil"/>
                <w:bottom w:val="nil"/>
                <w:right w:val="nil"/>
                <w:between w:val="nil"/>
              </w:pBdr>
              <w:jc w:val="center"/>
              <w:rPr>
                <w:rFonts w:eastAsia="Open Sans"/>
                <w:i/>
                <w:color w:val="000000"/>
              </w:rPr>
            </w:pPr>
            <w:r w:rsidRPr="00D54644">
              <w:rPr>
                <w:rFonts w:eastAsia="Open Sans"/>
                <w:i/>
                <w:color w:val="000000"/>
              </w:rPr>
              <w:t>ZBW – Leibniz Information Centre for Economics</w:t>
            </w:r>
          </w:p>
          <w:p w14:paraId="0000001F" w14:textId="58183C3B" w:rsidR="00D54644" w:rsidRDefault="00D54644">
            <w:pPr>
              <w:pBdr>
                <w:top w:val="nil"/>
                <w:left w:val="nil"/>
                <w:bottom w:val="nil"/>
                <w:right w:val="nil"/>
                <w:between w:val="nil"/>
              </w:pBdr>
              <w:jc w:val="center"/>
              <w:rPr>
                <w:rFonts w:eastAsia="Open Sans"/>
                <w:i/>
                <w:color w:val="000000"/>
              </w:rPr>
            </w:pPr>
            <w:r>
              <w:rPr>
                <w:rFonts w:eastAsia="Open Sans"/>
                <w:i/>
                <w:color w:val="000000"/>
              </w:rPr>
              <w:t>Germany</w:t>
            </w:r>
          </w:p>
          <w:p w14:paraId="00000021" w14:textId="4E270FA8" w:rsidR="00D54644" w:rsidRDefault="00D54644">
            <w:pPr>
              <w:pBdr>
                <w:top w:val="nil"/>
                <w:left w:val="nil"/>
                <w:bottom w:val="nil"/>
                <w:right w:val="nil"/>
                <w:between w:val="nil"/>
              </w:pBdr>
              <w:jc w:val="center"/>
              <w:rPr>
                <w:rFonts w:eastAsia="Open Sans"/>
                <w:i/>
                <w:color w:val="000000"/>
              </w:rPr>
            </w:pPr>
            <w:r>
              <w:rPr>
                <w:rFonts w:eastAsia="Open Sans"/>
                <w:i/>
                <w:color w:val="000000"/>
              </w:rPr>
              <w:t>y.tunnat@zbw.eu</w:t>
            </w:r>
          </w:p>
        </w:tc>
      </w:tr>
      <w:tr w:rsidR="00D54644" w14:paraId="6EF9252A" w14:textId="77777777" w:rsidTr="001850B6">
        <w:trPr>
          <w:trHeight w:val="399"/>
          <w:jc w:val="center"/>
        </w:trPr>
        <w:tc>
          <w:tcPr>
            <w:tcW w:w="3003" w:type="dxa"/>
          </w:tcPr>
          <w:p w14:paraId="00000026" w14:textId="77777777" w:rsidR="00D54644" w:rsidRDefault="00D54644">
            <w:pPr>
              <w:pBdr>
                <w:top w:val="nil"/>
                <w:left w:val="nil"/>
                <w:bottom w:val="nil"/>
                <w:right w:val="nil"/>
                <w:between w:val="nil"/>
              </w:pBdr>
              <w:jc w:val="center"/>
              <w:rPr>
                <w:rFonts w:eastAsia="Open Sans"/>
                <w:i/>
                <w:color w:val="000000"/>
              </w:rPr>
            </w:pPr>
          </w:p>
        </w:tc>
        <w:tc>
          <w:tcPr>
            <w:tcW w:w="3003" w:type="dxa"/>
          </w:tcPr>
          <w:p w14:paraId="00000027" w14:textId="77777777" w:rsidR="00D54644" w:rsidRDefault="00D54644">
            <w:pPr>
              <w:pBdr>
                <w:top w:val="nil"/>
                <w:left w:val="nil"/>
                <w:bottom w:val="nil"/>
                <w:right w:val="nil"/>
                <w:between w:val="nil"/>
              </w:pBdr>
              <w:jc w:val="center"/>
              <w:rPr>
                <w:rFonts w:eastAsia="Open Sans"/>
                <w:i/>
                <w:color w:val="000000"/>
              </w:rPr>
            </w:pPr>
          </w:p>
        </w:tc>
      </w:tr>
    </w:tbl>
    <w:p w14:paraId="00000029" w14:textId="77777777" w:rsidR="009C0F38" w:rsidRDefault="009C0F38">
      <w:pPr>
        <w:sectPr w:rsidR="009C0F38">
          <w:headerReference w:type="even" r:id="rId9"/>
          <w:headerReference w:type="default" r:id="rId10"/>
          <w:footerReference w:type="even" r:id="rId11"/>
          <w:footerReference w:type="default" r:id="rId12"/>
          <w:headerReference w:type="first" r:id="rId13"/>
          <w:footerReference w:type="first" r:id="rId14"/>
          <w:pgSz w:w="11900" w:h="16820"/>
          <w:pgMar w:top="1440" w:right="1440" w:bottom="1440" w:left="1440" w:header="567" w:footer="737" w:gutter="0"/>
          <w:pgNumType w:start="1"/>
          <w:cols w:space="720"/>
          <w:titlePg/>
        </w:sectPr>
      </w:pPr>
    </w:p>
    <w:p w14:paraId="2FADB20C" w14:textId="19A21CC5" w:rsidR="00D54644"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Abstract – </w:t>
      </w:r>
      <w:r w:rsidR="00D54644" w:rsidRPr="00D54644">
        <w:rPr>
          <w:rFonts w:eastAsia="Open Sans"/>
          <w:b/>
          <w:color w:val="000000"/>
          <w:sz w:val="18"/>
          <w:szCs w:val="18"/>
        </w:rPr>
        <w:t xml:space="preserve">Newly acquired or published objects might be corrupt or might not conform to the archive’s best practices. In some cases the library or archive even has to ask the data provider for replacements. The </w:t>
      </w:r>
      <w:r w:rsidR="00D54644" w:rsidRPr="003E4174">
        <w:rPr>
          <w:rFonts w:eastAsia="Open Sans"/>
          <w:b/>
          <w:color w:val="000000"/>
          <w:sz w:val="18"/>
          <w:szCs w:val="18"/>
        </w:rPr>
        <w:t>advantage</w:t>
      </w:r>
      <w:r w:rsidR="00D54644" w:rsidRPr="00D54644">
        <w:rPr>
          <w:rFonts w:eastAsia="Open Sans"/>
          <w:b/>
          <w:color w:val="000000"/>
          <w:sz w:val="18"/>
          <w:szCs w:val="18"/>
        </w:rPr>
        <w:t xml:space="preserve"> of a pre-archival workflow to detect or prevent problems early in institutional data processing </w:t>
      </w:r>
      <w:r w:rsidR="00975356">
        <w:rPr>
          <w:rFonts w:eastAsia="Open Sans"/>
          <w:b/>
          <w:color w:val="000000"/>
          <w:sz w:val="18"/>
          <w:szCs w:val="18"/>
        </w:rPr>
        <w:t>is</w:t>
      </w:r>
      <w:r w:rsidR="00975356" w:rsidRPr="00D54644">
        <w:rPr>
          <w:rFonts w:eastAsia="Open Sans"/>
          <w:b/>
          <w:color w:val="000000"/>
          <w:sz w:val="18"/>
          <w:szCs w:val="18"/>
        </w:rPr>
        <w:t xml:space="preserve"> </w:t>
      </w:r>
      <w:r w:rsidR="00D54644" w:rsidRPr="00D54644">
        <w:rPr>
          <w:rFonts w:eastAsia="Open Sans"/>
          <w:b/>
          <w:color w:val="000000"/>
          <w:sz w:val="18"/>
          <w:szCs w:val="18"/>
        </w:rPr>
        <w:t>depicted in this paper.</w:t>
      </w:r>
    </w:p>
    <w:p w14:paraId="768E5139" w14:textId="7B366530" w:rsidR="00D54644"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w:t>
      </w:r>
      <w:r w:rsidR="00D54644" w:rsidRPr="00D54644">
        <w:rPr>
          <w:rFonts w:eastAsia="Open Sans"/>
          <w:b/>
          <w:color w:val="000000"/>
          <w:sz w:val="18"/>
          <w:szCs w:val="18"/>
        </w:rPr>
        <w:t>Archivability, Digital Preservation, Validity, PDF format</w:t>
      </w:r>
    </w:p>
    <w:p w14:paraId="0000002C" w14:textId="7E608EAA"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Conference Topics – </w:t>
      </w:r>
      <w:r w:rsidR="00D54644" w:rsidRPr="00D54644">
        <w:rPr>
          <w:rFonts w:eastAsia="Open Sans"/>
          <w:b/>
          <w:color w:val="000000"/>
          <w:sz w:val="18"/>
          <w:szCs w:val="18"/>
        </w:rPr>
        <w:t>Exchange</w:t>
      </w:r>
      <w:r w:rsidR="00D54644">
        <w:rPr>
          <w:rFonts w:eastAsia="Open Sans"/>
          <w:b/>
          <w:color w:val="000000"/>
          <w:sz w:val="18"/>
          <w:szCs w:val="18"/>
        </w:rPr>
        <w:t>;</w:t>
      </w:r>
      <w:r w:rsidR="00D54644" w:rsidRPr="00D54644">
        <w:rPr>
          <w:rFonts w:eastAsia="Open Sans"/>
          <w:b/>
          <w:color w:val="000000"/>
          <w:sz w:val="18"/>
          <w:szCs w:val="18"/>
        </w:rPr>
        <w:t xml:space="preserve"> Innovation</w:t>
      </w:r>
    </w:p>
    <w:p w14:paraId="0000002D" w14:textId="0D21E5B8" w:rsidR="009C0F38" w:rsidRDefault="00D142B4">
      <w:pPr>
        <w:pStyle w:val="berschrift1"/>
        <w:numPr>
          <w:ilvl w:val="0"/>
          <w:numId w:val="3"/>
        </w:numPr>
      </w:pPr>
      <w:r>
        <w:t>Introduction</w:t>
      </w:r>
    </w:p>
    <w:p w14:paraId="490490FE" w14:textId="6CF900EB" w:rsidR="00D54644" w:rsidRPr="00A32158" w:rsidRDefault="00D54644" w:rsidP="00D54644">
      <w:pPr>
        <w:pStyle w:val="Listenabsatz"/>
        <w:spacing w:before="100" w:beforeAutospacing="1" w:after="100" w:afterAutospacing="1"/>
        <w:ind w:left="0" w:firstLine="0"/>
        <w:rPr>
          <w:rFonts w:eastAsia="Times New Roman"/>
          <w:lang w:eastAsia="de-DE"/>
        </w:rPr>
      </w:pPr>
      <w:r w:rsidRPr="00A32158">
        <w:rPr>
          <w:rFonts w:eastAsia="Times New Roman"/>
          <w:lang w:eastAsia="de-DE"/>
        </w:rPr>
        <w:t xml:space="preserve">When archives obtain objects and prepare them for ingest into the archival system, they follow digital preservation best practices. </w:t>
      </w:r>
      <w:r w:rsidR="009B79B2">
        <w:rPr>
          <w:rFonts w:eastAsia="Times New Roman"/>
          <w:lang w:eastAsia="de-DE"/>
        </w:rPr>
        <w:t>T</w:t>
      </w:r>
      <w:r w:rsidR="003E4174">
        <w:rPr>
          <w:rFonts w:eastAsia="Times New Roman"/>
          <w:lang w:eastAsia="de-DE"/>
        </w:rPr>
        <w:t xml:space="preserve">he archive department usually is responsible for </w:t>
      </w:r>
      <w:r w:rsidR="009B79B2">
        <w:rPr>
          <w:rFonts w:eastAsia="Times New Roman"/>
          <w:lang w:eastAsia="de-DE"/>
        </w:rPr>
        <w:t>t</w:t>
      </w:r>
      <w:r w:rsidR="003E4174">
        <w:rPr>
          <w:rFonts w:eastAsia="Times New Roman"/>
          <w:lang w:eastAsia="de-DE"/>
        </w:rPr>
        <w:t xml:space="preserve">he object preparation </w:t>
      </w:r>
      <w:r w:rsidRPr="00A32158">
        <w:rPr>
          <w:rFonts w:eastAsia="Times New Roman"/>
          <w:lang w:eastAsia="de-DE"/>
        </w:rPr>
        <w:t xml:space="preserve">step </w:t>
      </w:r>
      <w:r w:rsidR="00975356">
        <w:rPr>
          <w:rFonts w:eastAsia="Times New Roman"/>
          <w:lang w:eastAsia="de-DE"/>
        </w:rPr>
        <w:t>which</w:t>
      </w:r>
      <w:r w:rsidR="00975356" w:rsidRPr="00A32158">
        <w:rPr>
          <w:rFonts w:eastAsia="Times New Roman"/>
          <w:lang w:eastAsia="de-DE"/>
        </w:rPr>
        <w:t xml:space="preserve"> </w:t>
      </w:r>
      <w:r w:rsidR="009B79B2">
        <w:rPr>
          <w:rFonts w:eastAsia="Times New Roman"/>
          <w:lang w:eastAsia="de-DE"/>
        </w:rPr>
        <w:t xml:space="preserve">is </w:t>
      </w:r>
      <w:r w:rsidRPr="00A32158">
        <w:rPr>
          <w:rFonts w:eastAsia="Times New Roman"/>
          <w:lang w:eastAsia="de-DE"/>
        </w:rPr>
        <w:t xml:space="preserve">sometimes conducted </w:t>
      </w:r>
      <w:r w:rsidR="00975356">
        <w:rPr>
          <w:rFonts w:eastAsia="Times New Roman"/>
          <w:lang w:eastAsia="de-DE"/>
        </w:rPr>
        <w:t xml:space="preserve">at a time </w:t>
      </w:r>
      <w:r w:rsidRPr="00A32158">
        <w:rPr>
          <w:rFonts w:eastAsia="Times New Roman"/>
          <w:lang w:eastAsia="de-DE"/>
        </w:rPr>
        <w:t>significantly after the institution obtained the objects. But to consider best practices and to conduct this step earlier, e. g. directly after acquisition</w:t>
      </w:r>
      <w:r w:rsidR="00776F18">
        <w:rPr>
          <w:rFonts w:eastAsia="Times New Roman"/>
          <w:lang w:eastAsia="de-DE"/>
        </w:rPr>
        <w:t>,</w:t>
      </w:r>
      <w:r w:rsidRPr="00A32158">
        <w:rPr>
          <w:rFonts w:eastAsia="Times New Roman"/>
          <w:lang w:eastAsia="de-DE"/>
        </w:rPr>
        <w:t xml:space="preserve"> might save time and curation effort later on. It may also allow preservation of information that is lost otherwise. This paper will introduce two use cases at the institutions </w:t>
      </w:r>
      <w:r w:rsidRPr="00A32158">
        <w:rPr>
          <w:rFonts w:eastAsia="Times New Roman"/>
          <w:i/>
          <w:lang w:eastAsia="de-DE"/>
        </w:rPr>
        <w:t>ZBW – Leibniz Information Centre for Economics</w:t>
      </w:r>
      <w:r w:rsidRPr="00A32158">
        <w:rPr>
          <w:rFonts w:eastAsia="Times New Roman"/>
          <w:lang w:eastAsia="de-DE"/>
        </w:rPr>
        <w:t xml:space="preserve"> and </w:t>
      </w:r>
      <w:r w:rsidRPr="00A32158">
        <w:rPr>
          <w:rFonts w:eastAsia="Times New Roman"/>
          <w:i/>
          <w:lang w:eastAsia="de-DE"/>
        </w:rPr>
        <w:t>ZB MED – Information Centre for Life Sciences</w:t>
      </w:r>
      <w:r w:rsidRPr="00A32158">
        <w:rPr>
          <w:rFonts w:eastAsia="Times New Roman"/>
          <w:lang w:eastAsia="de-DE"/>
        </w:rPr>
        <w:t>. The institutions obtain control over objects relevant for this paper at two processing stages – publication (ZB MED) and acquisition (ZBW). This paper analyses in a qualitative manner the benefit of introducing preservation best practices into the early processing steps of publication and acquisition. The analysis is based on an implemented new workflow (ZBW) and implementation planning (ZB MED). It can serve as a basis for other institutions in similar situations where the archives deal with high amounts of objects that also require relatively high amounts of curation.</w:t>
      </w:r>
    </w:p>
    <w:p w14:paraId="0B9BF444" w14:textId="179E7009" w:rsidR="00D54644" w:rsidRPr="00A32158" w:rsidRDefault="00D54644" w:rsidP="00D54644">
      <w:pPr>
        <w:pStyle w:val="berschrift1"/>
        <w:numPr>
          <w:ilvl w:val="0"/>
          <w:numId w:val="3"/>
        </w:numPr>
        <w:rPr>
          <w:rFonts w:cs="Open Sans"/>
        </w:rPr>
      </w:pPr>
      <w:r w:rsidRPr="00A32158">
        <w:rPr>
          <w:rFonts w:cs="Open Sans"/>
        </w:rPr>
        <w:t>Background and related work</w:t>
      </w:r>
    </w:p>
    <w:p w14:paraId="695EB160" w14:textId="546A2887" w:rsidR="00D54644" w:rsidRPr="00A32158" w:rsidRDefault="00D54644" w:rsidP="00D54644">
      <w:pPr>
        <w:pStyle w:val="Listenabsatz"/>
        <w:spacing w:before="100" w:beforeAutospacing="1" w:after="100" w:afterAutospacing="1"/>
        <w:ind w:left="0" w:firstLine="0"/>
        <w:rPr>
          <w:rFonts w:eastAsia="Times New Roman"/>
          <w:lang w:eastAsia="de-DE"/>
        </w:rPr>
      </w:pPr>
      <w:r w:rsidRPr="00A32158">
        <w:rPr>
          <w:rFonts w:eastAsia="Times New Roman"/>
          <w:lang w:eastAsia="de-DE"/>
        </w:rPr>
        <w:t xml:space="preserve">The preservation community defined general best practices for preservation </w:t>
      </w:r>
      <w:r w:rsidRPr="00A32158">
        <w:rPr>
          <w:rFonts w:eastAsia="Times New Roman"/>
          <w:lang w:eastAsia="de-DE"/>
        </w:rPr>
        <w:fldChar w:fldCharType="begin"/>
      </w:r>
      <w:r w:rsidR="006E1CB1">
        <w:rPr>
          <w:rFonts w:eastAsia="Times New Roman"/>
          <w:lang w:eastAsia="de-DE"/>
        </w:rPr>
        <w:instrText xml:space="preserve"> ADDIN ZOTERO_ITEM CSL_CITATION {"citationID":"wHmmqpKh","properties":{"formattedCitation":"[1]\\uc0\\u8211{}[4]","plainCitation":"[1]–[4]","noteIndex":0},"citationItems":[{"id":1067,"uris":["http://zotero.org/groups/4544678/items/H6F3DK85"],"uri":["http://zotero.org/groups/4544678/items/H6F3DK85"],"itemData":{"id":1067,"type":"article","language":"English","title":"Digital Preservation Coalition Rapid Assessment Model (DPC RAM) (Version 2.0)","URL":"http://doi.org/10.7207/dpcram21-02","author":[{"family":"Mitcham","given":"J."},{"family":"Wheatley","given":"P."}]}},{"id":1358,"uris":["http://zotero.org/groups/4544678/items/ZXBU97D2"],"uri":["http://zotero.org/groups/4544678/items/ZXBU97D2"],"itemData":{"id":1358,"type":"article-journal","container-title":"An NDSA Publication","DOI":"10.17605/OSF.IO/Q8C47","language":"en","source":"osf.io","title":"Digital Curation Decision Guide","URL":"https://osf.io/q8c47/","author":[{"family":"Beking","given":"Angela"},{"family":"Daigle","given":"Bradley"},{"family":"Collins","given":"Ian"},{"family":"Keller","given":"Tawnya"},{"family":"Mennerich","given":"Donald"},{"family":"Metz","given":"Rosalyn"},{"family":"Prescott","given":"Leah"},{"family":"Tallman","given":"Nathan"},{"family":"Sampson","given":"Walker"},{"family":"Underdown","given":"David"},{"family":"Wilson","given":"Simon"},{"family":"Work","given":"Lauren"}],"accessed":{"date-parts":[["2022",2,9]]},"issued":{"date-parts":[["2020",12,15]]}}},{"id":1099,"uris":["http://zotero.org/groups/4544678/items/VG4ZLU4I"],"uri":["http://zotero.org/groups/4544678/items/VG4ZLU4I"],"itemData":{"id":1099,"type":"report","abstract":"The Digital Processing Framework suggests a minimum processing standard for digital archival content. The framework brings together archival processing practice with digital preservation activities. Ten practitioners in the field designed this framework to be practical, usable, and adaptable to local institutional settings.","genre":"report","language":"en_US","note":"Accepted: 2018-08-08T13:58:32Z","source":"ecommons.cornell.edu","title":"Digital Processing Framework","URL":"https://ecommons.cornell.edu/handle/1813/57659","author":[{"family":"Faulder","given":"Erin"},{"family":"Annand","given":"Susanne"},{"family":"DeBauche","given":"Sally"},{"family":"Gengenbach","given":"Martin"},{"family":"Irwin","given":"Karla"},{"family":"Musson","given":"Julie"},{"family":"Peltzman","given":"Shira"},{"family":"Tasker","given":"Kate"},{"family":"Uglean Jackson","given":"Laura"},{"family":"Waugh","given":"Dorothy"}],"accessed":{"date-parts":[["2022",1,18]]},"issued":{"date-parts":[["2018",8]]}}},{"id":1370,"uris":["http://zotero.org/groups/4544678/items/N3TKVWXT"],"uri":["http://zotero.org/groups/4544678/items/N3TKVWXT"],"itemData":{"id":1370,"type":"article-journal","abstract":"The CoreTrustSeal Trustworthy Data Repositories Requirements (formerly: Core Trustworthy Data Repositories Requirements) were developed by the DSA–WDS Partnership Working Group on Repository Audit and Certification, a Working Group (WG) of the Research Data Alliance. The goal of the effort was to create a set of harmonized common requirements for certification of repositories at the core level, drawing from criteria already put in place by the Data Seal of Approval (DSA) and the World Data System (WDS) of the International Science Council. An additional goal of the project was to develop common procedures to be implemented by both DSA and WDS. Ultimately, the DSA and WDS plan to collaborate on a global framework for repository certification that moves from the core to the extended (nestor-Seal DIN 31644), to the formal (ISO 16363) level. The CoreTrustSeal Requirements are reviewed and updated if necessary every three years. To prepare the release of the CoreTrustSeal Requirements 2020–2022, a review and revision process was undertaken in several distinct phases. Feedback was included from applicants during past reviews, other communication and outreach activities, as well as an open review period that ran from 1 March 2019 to 31 May 2019. A WG of the CoreTrustSeal Board met face-to-face on 23–25 July 2019 to review each item of feedback, and incorporate them into revisions of the Requirements, Extended Guidance, and Glossary as necessary. Given the feedback received and that past WDS and DSA repositories are continuing to transition to the CoreTrustSeal certification, the number, structure, and content of the Requirements remain fundamentally stable for 2020–2022. This stability enables the CoreTrustSeal Board to work to support a wider range of repository types and repository technical infrastructure providers in the future. It also provides an established baseline from which to consider other external demands on the CoreTrustSeal.","language":"eng","note":"DOI: 10.5281/zenodo.3638211\npublisher: Zenodo","source":"Zenodo","title":"CoreTrustSeal Trustworthy Data Repositories Requirements 2020–2022","URL":"https://zenodo.org/record/3638211","author":[{"family":"CoreTrustSeal Standards and Certification Board","given":""}],"accessed":{"date-parts":[["2022",2,13]]},"issued":{"date-parts":[["2019",11,20]]}}}],"schema":"https://github.com/citation-style-language/schema/raw/master/csl-citation.json"} </w:instrText>
      </w:r>
      <w:r w:rsidRPr="00A32158">
        <w:rPr>
          <w:rFonts w:eastAsia="Times New Roman"/>
          <w:lang w:eastAsia="de-DE"/>
        </w:rPr>
        <w:fldChar w:fldCharType="separate"/>
      </w:r>
      <w:r w:rsidR="006E1CB1" w:rsidRPr="006E1CB1">
        <w:rPr>
          <w:szCs w:val="24"/>
        </w:rPr>
        <w:t>[1]–[4]</w:t>
      </w:r>
      <w:r w:rsidRPr="00A32158">
        <w:rPr>
          <w:rFonts w:eastAsia="Times New Roman"/>
          <w:lang w:eastAsia="de-DE"/>
        </w:rPr>
        <w:fldChar w:fldCharType="end"/>
      </w:r>
      <w:r w:rsidRPr="00A32158">
        <w:rPr>
          <w:rFonts w:eastAsia="Times New Roman"/>
          <w:lang w:eastAsia="de-DE"/>
        </w:rPr>
        <w:t xml:space="preserve">. One example for best practices used as quality criteria for objects </w:t>
      </w:r>
      <w:r w:rsidR="00975356">
        <w:rPr>
          <w:rFonts w:eastAsia="Times New Roman"/>
          <w:lang w:eastAsia="de-DE"/>
        </w:rPr>
        <w:t xml:space="preserve">is shown </w:t>
      </w:r>
      <w:r w:rsidRPr="00A32158">
        <w:rPr>
          <w:rFonts w:eastAsia="Times New Roman"/>
          <w:lang w:eastAsia="de-DE"/>
        </w:rPr>
        <w:t>as follow</w:t>
      </w:r>
      <w:r w:rsidR="00183ACE">
        <w:rPr>
          <w:rFonts w:eastAsia="Times New Roman"/>
          <w:lang w:eastAsia="de-DE"/>
        </w:rPr>
        <w:t>s</w:t>
      </w:r>
      <w:r w:rsidRPr="00A32158">
        <w:rPr>
          <w:rFonts w:eastAsia="Times New Roman"/>
          <w:lang w:eastAsia="de-DE"/>
        </w:rPr>
        <w:t xml:space="preserve">: The German National Library (DNB) defines five different ingest levels, which increase </w:t>
      </w:r>
      <w:r w:rsidR="00975356">
        <w:rPr>
          <w:rFonts w:eastAsia="Times New Roman"/>
          <w:lang w:eastAsia="de-DE"/>
        </w:rPr>
        <w:t xml:space="preserve">the quality of files regarding preservation </w:t>
      </w:r>
      <w:r w:rsidRPr="00A32158">
        <w:rPr>
          <w:rFonts w:eastAsia="Times New Roman"/>
          <w:lang w:eastAsia="de-DE"/>
        </w:rPr>
        <w:t xml:space="preserve">with each level from data integrity through identification of file formats, unrestricted access to files for DNB, available technical metadata and, finally, to valid files according to format validation. The DNB conducts quality checks during ingest and rejects files if integrity is not provided and formats are not identifiable </w:t>
      </w:r>
      <w:r w:rsidRPr="00A32158">
        <w:rPr>
          <w:rFonts w:eastAsia="Times New Roman"/>
          <w:lang w:eastAsia="de-DE"/>
        </w:rPr>
        <w:fldChar w:fldCharType="begin"/>
      </w:r>
      <w:r w:rsidR="006E1CB1">
        <w:rPr>
          <w:rFonts w:eastAsia="Times New Roman"/>
          <w:lang w:eastAsia="de-DE"/>
        </w:rPr>
        <w:instrText xml:space="preserve"> ADDIN ZOTERO_ITEM CSL_CITATION {"citationID":"mquPxMaB","properties":{"formattedCitation":"[5]","plainCitation":"[5]","noteIndex":0},"citationItems":[{"id":1369,"uris":["http://zotero.org/groups/4544678/items/26SEXW2M"],"uri":["http://zotero.org/groups/4544678/items/26SEXW2M"],"itemData":{"id":1369,"type":"article","title":"Spezifikation der Dateiformat-Policy für die Sammlung von Netzpublikationen der Deutschen Nationalbibliothek. Version 1.0","URL":"http://nbn-resolving.de/urn:nbn:de:101-2012102408","author":[{"family":"Deutsche Nationalbibliothek","given":""}],"issued":{"date-parts":[["2012",10,24]]}}}],"schema":"https://github.com/citation-style-language/schema/raw/master/csl-citation.json"} </w:instrText>
      </w:r>
      <w:r w:rsidRPr="00A32158">
        <w:rPr>
          <w:rFonts w:eastAsia="Times New Roman"/>
          <w:lang w:eastAsia="de-DE"/>
        </w:rPr>
        <w:fldChar w:fldCharType="separate"/>
      </w:r>
      <w:r w:rsidR="006E1CB1" w:rsidRPr="006E1CB1">
        <w:t>[5]</w:t>
      </w:r>
      <w:r w:rsidRPr="00A32158">
        <w:rPr>
          <w:rFonts w:eastAsia="Times New Roman"/>
          <w:lang w:eastAsia="de-DE"/>
        </w:rPr>
        <w:fldChar w:fldCharType="end"/>
      </w:r>
      <w:r w:rsidRPr="00A32158">
        <w:rPr>
          <w:rFonts w:eastAsia="Times New Roman"/>
          <w:lang w:eastAsia="de-DE"/>
        </w:rPr>
        <w:t>.</w:t>
      </w:r>
    </w:p>
    <w:p w14:paraId="70C79720" w14:textId="42DBF1AD" w:rsidR="00D54644" w:rsidRPr="00A32158" w:rsidRDefault="00D54644" w:rsidP="00D54644">
      <w:pPr>
        <w:pStyle w:val="Listenabsatz"/>
        <w:spacing w:before="100" w:beforeAutospacing="1" w:after="100" w:afterAutospacing="1"/>
        <w:ind w:left="0" w:firstLine="0"/>
        <w:rPr>
          <w:rFonts w:eastAsia="Times New Roman"/>
          <w:lang w:eastAsia="de-DE"/>
        </w:rPr>
      </w:pPr>
      <w:r w:rsidRPr="00A32158">
        <w:rPr>
          <w:rFonts w:eastAsia="Times New Roman"/>
          <w:lang w:eastAsia="de-DE"/>
        </w:rPr>
        <w:t>Curating objects according to preservation best practices during transfer to archi</w:t>
      </w:r>
      <w:r w:rsidR="003E4174">
        <w:rPr>
          <w:rFonts w:eastAsia="Times New Roman"/>
          <w:lang w:eastAsia="de-DE"/>
        </w:rPr>
        <w:t xml:space="preserve">ves may result in huge curation </w:t>
      </w:r>
      <w:r w:rsidRPr="00A32158">
        <w:rPr>
          <w:rFonts w:eastAsia="Times New Roman"/>
          <w:lang w:eastAsia="de-DE"/>
        </w:rPr>
        <w:t>efforts</w:t>
      </w:r>
      <w:r w:rsidR="003E4174">
        <w:rPr>
          <w:rFonts w:eastAsia="Times New Roman"/>
          <w:lang w:eastAsia="de-DE"/>
        </w:rPr>
        <w:t xml:space="preserve"> for archives and archive departments, stalling objects in the pre-ingest or ingest step </w:t>
      </w:r>
      <w:r w:rsidRPr="00A32158">
        <w:rPr>
          <w:rFonts w:eastAsia="Times New Roman"/>
          <w:lang w:eastAsia="de-DE"/>
        </w:rPr>
        <w:fldChar w:fldCharType="begin"/>
      </w:r>
      <w:r w:rsidR="006E1CB1">
        <w:rPr>
          <w:rFonts w:eastAsia="Times New Roman"/>
          <w:lang w:eastAsia="de-DE"/>
        </w:rPr>
        <w:instrText xml:space="preserve"> ADDIN ZOTERO_ITEM CSL_CITATION {"citationID":"Phyd2Imq","properties":{"formattedCitation":"[6]","plainCitation":"[6]","noteIndex":0},"citationItems":[{"id":977,"uris":["http://zotero.org/groups/4544678/items/4FXA3N8B"],"uri":["http://zotero.org/groups/4544678/items/4FXA3N8B"],"itemData":{"id":977,"type":"paper-conference","abstract":"Short paper \n    Hosted on the Open Science Framework","container-title":"Proceedings of 16th International Conference on Digital Preservation","DOI":"10.17605/OSF.IO/VW7RJ","event":"iPres","event-place":"Amsterdam","language":"en","note":"publisher: OSF","page":"317-322","publisher-place":"Amsterdam","source":"osf.io","title":"Managing Preservation Costs with managed Ingest: The Portico Straight-to-Ingest Project","title-short":"Managing Preservation Costs with managed Ingest","URL":"https://osf.io/vw7rj/","author":[{"family":"Morrissey","given":"Sheila"},{"family":"Kirchhoff","given":"Amy"}],"accessed":{"date-parts":[["2021",12,23]]},"issued":{"date-parts":[["2019",9,27]]}}}],"schema":"https://github.com/citation-style-language/schema/raw/master/csl-citation.json"} </w:instrText>
      </w:r>
      <w:r w:rsidRPr="00A32158">
        <w:rPr>
          <w:rFonts w:eastAsia="Times New Roman"/>
          <w:lang w:eastAsia="de-DE"/>
        </w:rPr>
        <w:fldChar w:fldCharType="separate"/>
      </w:r>
      <w:r w:rsidR="006E1CB1" w:rsidRPr="006E1CB1">
        <w:t>[6]</w:t>
      </w:r>
      <w:r w:rsidRPr="00A32158">
        <w:rPr>
          <w:rFonts w:eastAsia="Times New Roman"/>
          <w:lang w:eastAsia="de-DE"/>
        </w:rPr>
        <w:fldChar w:fldCharType="end"/>
      </w:r>
      <w:r w:rsidRPr="00A32158">
        <w:rPr>
          <w:rFonts w:eastAsia="Times New Roman"/>
          <w:lang w:eastAsia="de-DE"/>
        </w:rPr>
        <w:t xml:space="preserve">. Efforts might be due to obtaining necessary rights </w:t>
      </w:r>
      <w:r w:rsidRPr="00A32158">
        <w:rPr>
          <w:rFonts w:eastAsia="Times New Roman"/>
          <w:lang w:eastAsia="de-DE"/>
        </w:rPr>
        <w:fldChar w:fldCharType="begin"/>
      </w:r>
      <w:r w:rsidR="006E1CB1">
        <w:rPr>
          <w:rFonts w:eastAsia="Times New Roman"/>
          <w:lang w:eastAsia="de-DE"/>
        </w:rPr>
        <w:instrText xml:space="preserve"> ADDIN ZOTERO_ITEM CSL_CITATION {"citationID":"AFvVoeHI","properties":{"formattedCitation":"[7], [8]","plainCitation":"[7], [8]","noteIndex":0},"citationItems":[{"id":985,"uris":["http://zotero.org/groups/4544678/items/JMBTPIV9"],"uri":["http://zotero.org/groups/4544678/items/JMBTPIV9"],"itemData":{"id":985,"type":"post-weblog","abstract":"In the previous post  in this series I examined one of the two answers to the question \"why preserve e-journals?\". Libraries subscribing to ...","language":"en","title":"Why Preserve E-Journals? To Preserve The Record","title-short":"Why Preserve E-Journals?","URL":"https://blog.dshr.org/2007/06/why-preserve-e-journals-to-preserve.html","author":[{"family":"Rosenthal, David","given":""}],"accessed":{"date-parts":[["2021",12,26]]},"issued":{"date-parts":[["2007",6,10]]}}},{"id":1047,"uris":["http://zotero.org/groups/4544678/items/BXSZ3K9D"],"uri":["http://zotero.org/groups/4544678/items/BXSZ3K9D"],"itemData":{"id":1047,"type":"article-journal","abstract":"Purpose This paper aims to discuss the public knowledge project (PKP) preservation network (PN), which provides free preservation services for eligible journals by collecting article content and preserving it in a network of (at the time of writing) eight “preservation nodes” using the LOCKSS system. The PKP PN was launched in June 2016. Design/methodology/approach This paper addresses the development and implementation of a free, distributed digital PN for open journal systems (OJS) content. It discusses challenges in developing the network, in particular relating to preserving content from a set of partners who have no formal business relationship with PKP. The paper examines data regarding journals that have opted in to the network to date and considers interface usability and other barriers facing those that have not joined. Findings Within 18 months of launch, more than 600 journals had opted to be preserved in the PKP PN. Many more journals are eligible to join the network; the paper explores potential strategies to increase participation and identifies and proposes methods to overcome technical and communication barriers. Originality/value This paper describes a highly collaborative, open-source preservation initiative which forms a unique part of the e-journal preservation landscape and preserves a particularly vulnerable portion of the scholarly record.","container-title":"Digital Library Perspectives","DOI":"10.1108/DLP-11-2017-0043","ISSN":"2059-5816","issue":"4","note":"publisher: Emerald Publishing Limited","page":"246-261","source":"Emerald Insight","title":"Distributed digital preservation: preserving open journal systems content in the PKP PN","title-short":"Distributed digital preservation","volume":"34","author":[{"family":"Sprout","given":"Bronwen"},{"family":"Jordan","given":"Mark"}],"issued":{"date-parts":[["2018",1,1]]}}}],"schema":"https://github.com/citation-style-language/schema/raw/master/csl-citation.json"} </w:instrText>
      </w:r>
      <w:r w:rsidRPr="00A32158">
        <w:rPr>
          <w:rFonts w:eastAsia="Times New Roman"/>
          <w:lang w:eastAsia="de-DE"/>
        </w:rPr>
        <w:fldChar w:fldCharType="separate"/>
      </w:r>
      <w:r w:rsidR="006E1CB1" w:rsidRPr="006E1CB1">
        <w:t>[7], [8]</w:t>
      </w:r>
      <w:r w:rsidRPr="00A32158">
        <w:rPr>
          <w:rFonts w:eastAsia="Times New Roman"/>
          <w:lang w:eastAsia="de-DE"/>
        </w:rPr>
        <w:fldChar w:fldCharType="end"/>
      </w:r>
      <w:r w:rsidRPr="00A32158">
        <w:rPr>
          <w:rFonts w:eastAsia="Times New Roman"/>
          <w:lang w:eastAsia="de-DE"/>
        </w:rPr>
        <w:t xml:space="preserve">, dealing with non-standard and inconsistent infrastructure and data structure as well as missing files </w:t>
      </w:r>
      <w:r w:rsidRPr="00A32158">
        <w:rPr>
          <w:rFonts w:eastAsia="Times New Roman"/>
          <w:lang w:eastAsia="de-DE"/>
        </w:rPr>
        <w:fldChar w:fldCharType="begin"/>
      </w:r>
      <w:r w:rsidR="006E1CB1">
        <w:rPr>
          <w:rFonts w:eastAsia="Times New Roman"/>
          <w:lang w:eastAsia="de-DE"/>
        </w:rPr>
        <w:instrText xml:space="preserve"> ADDIN ZOTERO_ITEM CSL_CITATION {"citationID":"R5pdjcYm","properties":{"formattedCitation":"[6], [8], [9]","plainCitation":"[6], [8], [9]","noteIndex":0},"citationItems":[{"id":977,"uris":["http://zotero.org/groups/4544678/items/4FXA3N8B"],"uri":["http://zotero.org/groups/4544678/items/4FXA3N8B"],"itemData":{"id":977,"type":"paper-conference","abstract":"Short paper \n    Hosted on the Open Science Framework","container-title":"Proceedings of 16th International Conference on Digital Preservation","DOI":"10.17605/OSF.IO/VW7RJ","event":"iPres","event-place":"Amsterdam","language":"en","note":"publisher: OSF","page":"317-322","publisher-place":"Amsterdam","source":"osf.io","title":"Managing Preservation Costs with managed Ingest: The Portico Straight-to-Ingest Project","title-short":"Managing Preservation Costs with managed Ingest","URL":"https://osf.io/vw7rj/","author":[{"family":"Morrissey","given":"Sheila"},{"family":"Kirchhoff","given":"Amy"}],"accessed":{"date-parts":[["2021",12,23]]},"issued":{"date-parts":[["2019",9,27]]}}},{"id":1047,"uris":["http://zotero.org/groups/4544678/items/BXSZ3K9D"],"uri":["http://zotero.org/groups/4544678/items/BXSZ3K9D"],"itemData":{"id":1047,"type":"article-journal","abstract":"Purpose This paper aims to discuss the public knowledge project (PKP) preservation network (PN), which provides free preservation services for eligible journals by collecting article content and preserving it in a network of (at the time of writing) eight “preservation nodes” using the LOCKSS system. The PKP PN was launched in June 2016. Design/methodology/approach This paper addresses the development and implementation of a free, distributed digital PN for open journal systems (OJS) content. It discusses challenges in developing the network, in particular relating to preserving content from a set of partners who have no formal business relationship with PKP. The paper examines data regarding journals that have opted in to the network to date and considers interface usability and other barriers facing those that have not joined. Findings Within 18 months of launch, more than 600 journals had opted to be preserved in the PKP PN. Many more journals are eligible to join the network; the paper explores potential strategies to increase participation and identifies and proposes methods to overcome technical and communication barriers. Originality/value This paper describes a highly collaborative, open-source preservation initiative which forms a unique part of the e-journal preservation landscape and preserves a particularly vulnerable portion of the scholarly record.","container-title":"Digital Library Perspectives","DOI":"10.1108/DLP-11-2017-0043","ISSN":"2059-5816","issue":"4","note":"publisher: Emerald Publishing Limited","page":"246-261","source":"Emerald Insight","title":"Distributed digital preservation: preserving open journal systems content in the PKP PN","title-short":"Distributed digital preservation","volume":"34","author":[{"family":"Sprout","given":"Bronwen"},{"family":"Jordan","given":"Mark"}],"issued":{"date-parts":[["2018",1,1]]}}},{"id":1137,"uris":["http://zotero.org/groups/4551633/items/M4KYWJ6E"],"uri":["http://zotero.org/groups/4551633/items/M4KYWJ6E"],"itemData":{"id":1137,"type":"article-journal","abstract":"The process of developing a digital collection in the context of a research project often involves a pipeline pattern during which data growth, data types, and data authenticity need to be assessed iteratively in relation to the different research steps and in the interest of archiving. Throughout a project’s lifecycle curators organize newly generated data while cleaning and integrating legacy data when it exists, and deciding what data will be preserved for the long term. Although these actions should be part of a well-oiled data management workflow, there are practical challenges in doing so if the collection is very large and heterogeneous, or is accessed by several researchers contemporaneously. There is a need for data management solutions that can help curators with efficient and on-demand analyses of their collection so that they remain well-informed about its evolving characteristics. In this paper, we describe our efforts towards developing a workflow to leverage open science High Performance Computing (HPC) resources for routinely and efficiently conducting data management tasks on large collections. We demonstrate that HPC resources and techniques can significantly reduce the time for accomplishing critical data management tasks, and enable a dynamic archiving throughout the research process. We use a large archaeological data collection with a long and complex formation history as our test case. We share our experiences in adopting open science HPC resources for large-scale data management, which entails understanding usage of the open source HPC environment and training users. These experiences can be generalized to meet the needs of other data curators working with large collections.","container-title":"International Journal of Digital Curation","DOI":"10.2218/ijdc.v9i2.331","ISSN":"1746-8256","issue":"2","language":"en","note":"number: 2","page":"17-27","source":"www.ijdc.net","title":"Leveraging High Performance Computing for Managing Large and Evolving Data Collections","volume":"9","author":[{"family":"Arora","given":"Ritu"},{"family":"Esteva","given":"Maria"},{"family":"Trelogan","given":"Jessica"}],"issued":{"date-parts":[["2014",10,30]]}}}],"schema":"https://github.com/citation-style-language/schema/raw/master/csl-citation.json"} </w:instrText>
      </w:r>
      <w:r w:rsidRPr="00A32158">
        <w:rPr>
          <w:rFonts w:eastAsia="Times New Roman"/>
          <w:lang w:eastAsia="de-DE"/>
        </w:rPr>
        <w:fldChar w:fldCharType="separate"/>
      </w:r>
      <w:r w:rsidR="006E1CB1" w:rsidRPr="006E1CB1">
        <w:t>[6], [8], [9]</w:t>
      </w:r>
      <w:r w:rsidRPr="00A32158">
        <w:rPr>
          <w:rFonts w:eastAsia="Times New Roman"/>
          <w:lang w:eastAsia="de-DE"/>
        </w:rPr>
        <w:fldChar w:fldCharType="end"/>
      </w:r>
      <w:r w:rsidRPr="00A32158">
        <w:rPr>
          <w:rFonts w:eastAsia="Times New Roman"/>
          <w:lang w:eastAsia="de-DE"/>
        </w:rPr>
        <w:t xml:space="preserve"> or simply defective data </w:t>
      </w:r>
      <w:r w:rsidRPr="00A32158">
        <w:rPr>
          <w:rFonts w:eastAsia="Times New Roman"/>
          <w:lang w:eastAsia="de-DE"/>
        </w:rPr>
        <w:fldChar w:fldCharType="begin"/>
      </w:r>
      <w:r w:rsidR="006E1CB1">
        <w:rPr>
          <w:rFonts w:eastAsia="Times New Roman"/>
          <w:lang w:eastAsia="de-DE"/>
        </w:rPr>
        <w:instrText xml:space="preserve"> ADDIN ZOTERO_ITEM CSL_CITATION {"citationID":"WjjWKZ3g","properties":{"formattedCitation":"[10]","plainCitation":"[10]","noteIndex":0},"citationItems":[{"id":1063,"uris":["http://zotero.org/groups/4544678/items/XE44LIHS"],"uri":["http://zotero.org/groups/4544678/items/XE44LIHS"],"itemData":{"id":1063,"type":"paper-conference","container-title":"Proceedings of the Memory of the World in the Digital Age: Digitization and Preservation Conference","event":"Memory of the World in the Digital Age: Digitization and Preservation","event-place":"Vancouver, British Columbia, Canada","page":"256-268","publisher-place":"Vancouver, British Columbia, Canada","title":"A Persistent Digital Collections Strategy for UBC Library","URL":"http://www.unesco.org/new/fileadmin/MULTIMEDIA/HQ/CI/CI/pdf/mow/VC_Sprout_Romkey_26_B_1540.pdf","author":[{"family":"Sprout","given":"Bronwen"},{"family":"Romkey","given":"Sarah"}],"issued":{"date-parts":[["2013"]]}}}],"schema":"https://github.com/citation-style-language/schema/raw/master/csl-citation.json"} </w:instrText>
      </w:r>
      <w:r w:rsidRPr="00A32158">
        <w:rPr>
          <w:rFonts w:eastAsia="Times New Roman"/>
          <w:lang w:eastAsia="de-DE"/>
        </w:rPr>
        <w:fldChar w:fldCharType="separate"/>
      </w:r>
      <w:r w:rsidR="006E1CB1" w:rsidRPr="006E1CB1">
        <w:t>[10]</w:t>
      </w:r>
      <w:r w:rsidRPr="00A32158">
        <w:rPr>
          <w:rFonts w:eastAsia="Times New Roman"/>
          <w:lang w:eastAsia="de-DE"/>
        </w:rPr>
        <w:fldChar w:fldCharType="end"/>
      </w:r>
      <w:r w:rsidRPr="00A32158">
        <w:rPr>
          <w:rFonts w:eastAsia="Times New Roman"/>
          <w:lang w:eastAsia="de-DE"/>
        </w:rPr>
        <w:t>. Personal communication of the author Yvonne Tunnat with various members of the digital preservation community shortly after publishing a blog post regarding curation efforts and relevant tools used during acquisition shows interest in this topic as well.</w:t>
      </w:r>
    </w:p>
    <w:p w14:paraId="172C8336" w14:textId="5688C849" w:rsidR="0041479E" w:rsidRDefault="00D54644" w:rsidP="00D54644">
      <w:pPr>
        <w:pStyle w:val="Listenabsatz"/>
        <w:spacing w:before="100" w:beforeAutospacing="1" w:after="100" w:afterAutospacing="1"/>
        <w:ind w:left="0" w:firstLine="0"/>
        <w:rPr>
          <w:rFonts w:eastAsia="Times New Roman"/>
          <w:lang w:eastAsia="de-DE"/>
        </w:rPr>
      </w:pPr>
      <w:r w:rsidRPr="00A32158">
        <w:rPr>
          <w:rFonts w:eastAsia="Times New Roman"/>
          <w:lang w:eastAsia="de-DE"/>
        </w:rPr>
        <w:t xml:space="preserve">Increasing conformance with these best practices was termed for this paper as increased </w:t>
      </w:r>
      <w:r w:rsidRPr="00A32158">
        <w:rPr>
          <w:rFonts w:eastAsia="Times New Roman"/>
          <w:i/>
          <w:lang w:eastAsia="de-DE"/>
        </w:rPr>
        <w:t>archivability</w:t>
      </w:r>
      <w:r w:rsidRPr="00A32158">
        <w:rPr>
          <w:rFonts w:eastAsia="Times New Roman"/>
          <w:lang w:eastAsia="de-DE"/>
        </w:rPr>
        <w:t xml:space="preserve"> </w:t>
      </w:r>
      <w:r w:rsidRPr="00A32158">
        <w:rPr>
          <w:rFonts w:eastAsia="Times New Roman"/>
          <w:lang w:eastAsia="de-DE"/>
        </w:rPr>
        <w:fldChar w:fldCharType="begin"/>
      </w:r>
      <w:r w:rsidR="006E1CB1">
        <w:rPr>
          <w:rFonts w:eastAsia="Times New Roman"/>
          <w:lang w:eastAsia="de-DE"/>
        </w:rPr>
        <w:instrText xml:space="preserve"> ADDIN ZOTERO_ITEM CSL_CITATION {"citationID":"HVUWAYhH","properties":{"formattedCitation":"[11]","plainCitation":"[11]","noteIndex":0},"citationItems":[{"id":998,"uris":["http://zotero.org/groups/4544678/items/M6WQMXUS"],"uri":["http://zotero.org/groups/4544678/items/M6WQMXUS"],"itemData":{"id":998,"type":"article-journal","abstract":"Website Archivability (WA) is a notion established to capture the core aspects of a website, crucial in diagnosing whether it has the potential to be archived with completeness and accuracy. In this work, aiming at measuring WA, we introduce and elaborate on all aspects of CLEAR+, an extended version of the Credible Live Evaluation Method for Archive Readiness (CLEAR) method. We use a systematic approach to evaluate WA from multiple different perspectives, which we call Website Archivability Facets. We then analyse archiveready.com, a web application we created as the reference implementation of CLEAR+, and discuss the implementation of the evaluation workflow. Finally, we conduct thorough evaluations of all aspects of WA to support the validity, the reliability and the benefits of our method using real-world web data.","container-title":"International Journal on Digital Libraries","DOI":"10.1007/s00799-015-0144-4","ISSN":"1432-1300","issue":"2","journalAbbreviation":"Int J Digit Libr","language":"en","page":"119-141","source":"Springer Link","title":"A quantitative approach to evaluate Website Archivability using the CLEAR+ method","volume":"17","author":[{"family":"Banos","given":"Vangelis"},{"family":"Manolopoulos","given":"Yannis"}],"issued":{"date-parts":[["2016",6,1]]}}}],"schema":"https://github.com/citation-style-language/schema/raw/master/csl-citation.json"} </w:instrText>
      </w:r>
      <w:r w:rsidRPr="00A32158">
        <w:rPr>
          <w:rFonts w:eastAsia="Times New Roman"/>
          <w:lang w:eastAsia="de-DE"/>
        </w:rPr>
        <w:fldChar w:fldCharType="separate"/>
      </w:r>
      <w:r w:rsidR="006E1CB1" w:rsidRPr="006E1CB1">
        <w:t>[11]</w:t>
      </w:r>
      <w:r w:rsidRPr="00A32158">
        <w:rPr>
          <w:rFonts w:eastAsia="Times New Roman"/>
          <w:lang w:eastAsia="de-DE"/>
        </w:rPr>
        <w:fldChar w:fldCharType="end"/>
      </w:r>
      <w:r w:rsidRPr="00A32158">
        <w:rPr>
          <w:rFonts w:eastAsia="Times New Roman"/>
          <w:lang w:eastAsia="de-DE"/>
        </w:rPr>
        <w:t xml:space="preserve">, which was defined by Banos and Manolopoulos </w:t>
      </w:r>
      <w:r w:rsidRPr="00A32158">
        <w:rPr>
          <w:rFonts w:eastAsia="Times New Roman"/>
          <w:lang w:eastAsia="de-DE"/>
        </w:rPr>
        <w:fldChar w:fldCharType="begin"/>
      </w:r>
      <w:r w:rsidR="006E1CB1">
        <w:rPr>
          <w:rFonts w:eastAsia="Times New Roman"/>
          <w:lang w:eastAsia="de-DE"/>
        </w:rPr>
        <w:instrText xml:space="preserve"> ADDIN ZOTERO_ITEM CSL_CITATION {"citationID":"SUUhaTnC","properties":{"formattedCitation":"[11]","plainCitation":"[11]","noteIndex":0},"citationItems":[{"id":998,"uris":["http://zotero.org/groups/4544678/items/M6WQMXUS"],"uri":["http://zotero.org/groups/4544678/items/M6WQMXUS"],"itemData":{"id":998,"type":"article-journal","abstract":"Website Archivability (WA) is a notion established to capture the core aspects of a website, crucial in diagnosing whether it has the potential to be archived with completeness and accuracy. In this work, aiming at measuring WA, we introduce and elaborate on all aspects of CLEAR+, an extended version of the Credible Live Evaluation Method for Archive Readiness (CLEAR) method. We use a systematic approach to evaluate WA from multiple different perspectives, which we call Website Archivability Facets. We then analyse archiveready.com, a web application we created as the reference implementation of CLEAR+, and discuss the implementation of the evaluation workflow. Finally, we conduct thorough evaluations of all aspects of WA to support the validity, the reliability and the benefits of our method using real-world web data.","container-title":"International Journal on Digital Libraries","DOI":"10.1007/s00799-015-0144-4","ISSN":"1432-1300","issue":"2","journalAbbreviation":"Int J Digit Libr","language":"en","page":"119-141","source":"Springer Link","title":"A quantitative approach to evaluate Website Archivability using the CLEAR+ method","volume":"17","author":[{"family":"Banos","given":"Vangelis"},{"family":"Manolopoulos","given":"Yannis"}],"issued":{"date-parts":[["2016",6,1]]}}}],"schema":"https://github.com/citation-style-language/schema/raw/master/csl-citation.json"} </w:instrText>
      </w:r>
      <w:r w:rsidRPr="00A32158">
        <w:rPr>
          <w:rFonts w:eastAsia="Times New Roman"/>
          <w:lang w:eastAsia="de-DE"/>
        </w:rPr>
        <w:fldChar w:fldCharType="separate"/>
      </w:r>
      <w:r w:rsidR="006E1CB1" w:rsidRPr="006E1CB1">
        <w:t>[11]</w:t>
      </w:r>
      <w:r w:rsidRPr="00A32158">
        <w:rPr>
          <w:rFonts w:eastAsia="Times New Roman"/>
          <w:lang w:eastAsia="de-DE"/>
        </w:rPr>
        <w:fldChar w:fldCharType="end"/>
      </w:r>
      <w:r w:rsidRPr="00A32158">
        <w:rPr>
          <w:rFonts w:eastAsia="Times New Roman"/>
          <w:lang w:eastAsia="de-DE"/>
        </w:rPr>
        <w:t xml:space="preserve"> as “whether [a website] has the potential to be archived with completeness and accuracy” but is used in this context for objects in a broader sense. The processing of objects </w:t>
      </w:r>
      <w:r w:rsidR="00975356">
        <w:rPr>
          <w:rFonts w:eastAsia="Times New Roman"/>
          <w:lang w:eastAsia="de-DE"/>
        </w:rPr>
        <w:t>to make</w:t>
      </w:r>
      <w:r w:rsidR="00975356" w:rsidRPr="00A32158">
        <w:rPr>
          <w:rFonts w:eastAsia="Times New Roman"/>
          <w:lang w:eastAsia="de-DE"/>
        </w:rPr>
        <w:t xml:space="preserve"> </w:t>
      </w:r>
      <w:r w:rsidRPr="00A32158">
        <w:rPr>
          <w:rFonts w:eastAsia="Times New Roman"/>
          <w:lang w:eastAsia="de-DE"/>
        </w:rPr>
        <w:t>them more archivable, like detecting and repairing defective files</w:t>
      </w:r>
      <w:r w:rsidR="00183ACE">
        <w:rPr>
          <w:rFonts w:eastAsia="Times New Roman"/>
          <w:lang w:eastAsia="de-DE"/>
        </w:rPr>
        <w:t>,</w:t>
      </w:r>
      <w:r w:rsidRPr="00A32158">
        <w:rPr>
          <w:rFonts w:eastAsia="Times New Roman"/>
          <w:lang w:eastAsia="de-DE"/>
        </w:rPr>
        <w:t xml:space="preserve"> were defined as </w:t>
      </w:r>
      <w:r w:rsidRPr="00A32158">
        <w:rPr>
          <w:rFonts w:eastAsia="Times New Roman"/>
          <w:i/>
          <w:lang w:eastAsia="de-DE"/>
        </w:rPr>
        <w:t>actions increasing archivability</w:t>
      </w:r>
      <w:r w:rsidRPr="00A32158">
        <w:rPr>
          <w:rFonts w:eastAsia="Times New Roman"/>
          <w:lang w:eastAsia="de-DE"/>
        </w:rPr>
        <w:t xml:space="preserve">. Institutions can conduct these actions during any step of the object processing workflow (from object creation until archiving, see fig. 1). For this paper, the authors divided processing steps and actions into those </w:t>
      </w:r>
      <w:r w:rsidR="00975356">
        <w:rPr>
          <w:rFonts w:eastAsia="Times New Roman"/>
          <w:lang w:eastAsia="de-DE"/>
        </w:rPr>
        <w:t>which are part of</w:t>
      </w:r>
      <w:r w:rsidRPr="00A32158">
        <w:rPr>
          <w:rFonts w:eastAsia="Times New Roman"/>
          <w:lang w:eastAsia="de-DE"/>
        </w:rPr>
        <w:t xml:space="preserve"> a </w:t>
      </w:r>
      <w:r w:rsidRPr="00A32158">
        <w:rPr>
          <w:rFonts w:eastAsia="Times New Roman"/>
          <w:i/>
          <w:lang w:eastAsia="de-DE"/>
        </w:rPr>
        <w:t>pre-archive</w:t>
      </w:r>
      <w:r w:rsidRPr="00A32158">
        <w:rPr>
          <w:rFonts w:eastAsia="Times New Roman"/>
          <w:lang w:eastAsia="de-DE"/>
        </w:rPr>
        <w:t xml:space="preserve"> workflow (WF) and those </w:t>
      </w:r>
      <w:r w:rsidR="00975356">
        <w:rPr>
          <w:rFonts w:eastAsia="Times New Roman"/>
          <w:lang w:eastAsia="de-DE"/>
        </w:rPr>
        <w:t xml:space="preserve">that are </w:t>
      </w:r>
      <w:r w:rsidRPr="00A32158">
        <w:rPr>
          <w:rFonts w:eastAsia="Times New Roman"/>
          <w:lang w:eastAsia="de-DE"/>
        </w:rPr>
        <w:t xml:space="preserve">part of the archive </w:t>
      </w:r>
      <w:r w:rsidRPr="00A32158">
        <w:rPr>
          <w:rFonts w:eastAsia="Times New Roman"/>
          <w:lang w:eastAsia="de-DE"/>
        </w:rPr>
        <w:lastRenderedPageBreak/>
        <w:t>WF, where specifically pre-ingest and ingest steps are located. In the pre-archive WF, departments other than the archive are responsible for the object processing and actions are localized earlier in the processing (see fig. 1).</w:t>
      </w:r>
    </w:p>
    <w:p w14:paraId="6AE12C1F" w14:textId="77777777" w:rsidR="0041479E" w:rsidRDefault="0041479E">
      <w:pPr>
        <w:rPr>
          <w:rFonts w:eastAsia="Times New Roman"/>
          <w:lang w:eastAsia="de-DE"/>
        </w:rPr>
      </w:pPr>
    </w:p>
    <w:p w14:paraId="20F0D310" w14:textId="587883E4" w:rsidR="00D54644" w:rsidRPr="00A32158" w:rsidRDefault="00D54644" w:rsidP="00975356">
      <w:pPr>
        <w:ind w:firstLine="0"/>
        <w:rPr>
          <w:rFonts w:eastAsia="Times New Roman"/>
          <w:lang w:eastAsia="de-DE"/>
        </w:rPr>
      </w:pPr>
      <w:r w:rsidRPr="00A32158">
        <w:rPr>
          <w:rFonts w:eastAsia="Times New Roman"/>
          <w:lang w:eastAsia="de-DE"/>
        </w:rPr>
        <w:t xml:space="preserve">As far as the authors were able to </w:t>
      </w:r>
      <w:r w:rsidR="001C5D69">
        <w:rPr>
          <w:rFonts w:eastAsia="Times New Roman"/>
          <w:lang w:eastAsia="de-DE"/>
        </w:rPr>
        <w:t>determine</w:t>
      </w:r>
      <w:r w:rsidRPr="00A32158">
        <w:rPr>
          <w:rFonts w:eastAsia="Times New Roman"/>
          <w:lang w:eastAsia="de-DE"/>
        </w:rPr>
        <w:t xml:space="preserve">, literature rarely analyses which archivability increasing actions are best conducted in early processing steps by departments other than the archive. Preservation best practices are implicitly targeted at archive departments and the archives are recommended to take “an active role in [digital information’s] maintenance early in its life cycle” </w:t>
      </w:r>
      <w:r w:rsidRPr="00A32158">
        <w:rPr>
          <w:rFonts w:eastAsia="Times New Roman"/>
          <w:lang w:eastAsia="de-DE"/>
        </w:rPr>
        <w:fldChar w:fldCharType="begin"/>
      </w:r>
      <w:r w:rsidR="006E1CB1">
        <w:rPr>
          <w:rFonts w:eastAsia="Times New Roman"/>
          <w:lang w:eastAsia="de-DE"/>
        </w:rPr>
        <w:instrText xml:space="preserve"> ADDIN ZOTERO_ITEM CSL_CITATION {"citationID":"kOgIB93z","properties":{"formattedCitation":"[12]","plainCitation":"[12]","noteIndex":0},"citationItems":[{"id":1113,"uris":["http://zotero.org/groups/4544678/items/LDGACPVV"],"uri":["http://zotero.org/groups/4544678/items/LDGACPVV"],"itemData":{"id":1113,"type":"article-journal","container-title":"Sand Report, SAND 2002","DOI":"10.2172/793225","journalAbbreviation":"Sand Report, SAND--2002-0107","note":"publisher: Citeseer","title":"Long-term spatial data preservation and archiving: What are the issues","volume":"107","author":[{"family":"Bleakly","given":"Denise R"}],"issued":{"date-parts":[["2002"]]}}}],"schema":"https://github.com/citation-style-language/schema/raw/master/csl-citation.json"} </w:instrText>
      </w:r>
      <w:r w:rsidRPr="00A32158">
        <w:rPr>
          <w:rFonts w:eastAsia="Times New Roman"/>
          <w:lang w:eastAsia="de-DE"/>
        </w:rPr>
        <w:fldChar w:fldCharType="separate"/>
      </w:r>
      <w:r w:rsidR="006E1CB1" w:rsidRPr="006E1CB1">
        <w:t>[12]</w:t>
      </w:r>
      <w:r w:rsidRPr="00A32158">
        <w:rPr>
          <w:rFonts w:eastAsia="Times New Roman"/>
          <w:lang w:eastAsia="de-DE"/>
        </w:rPr>
        <w:fldChar w:fldCharType="end"/>
      </w:r>
      <w:r w:rsidRPr="00A32158">
        <w:rPr>
          <w:rFonts w:eastAsia="Times New Roman"/>
          <w:lang w:eastAsia="de-DE"/>
        </w:rPr>
        <w:t xml:space="preserve">. Still, the authors found the prospect of early curation actions mentioned in the context of digitization projects </w:t>
      </w:r>
      <w:r w:rsidRPr="00A32158">
        <w:rPr>
          <w:rFonts w:eastAsia="Times New Roman"/>
          <w:lang w:eastAsia="de-DE"/>
        </w:rPr>
        <w:fldChar w:fldCharType="begin"/>
      </w:r>
      <w:r w:rsidR="006E1CB1">
        <w:rPr>
          <w:rFonts w:eastAsia="Times New Roman"/>
          <w:lang w:eastAsia="de-DE"/>
        </w:rPr>
        <w:instrText xml:space="preserve"> ADDIN ZOTERO_ITEM CSL_CITATION {"citationID":"4Vqof0kF","properties":{"formattedCitation":"[13]\\uc0\\u8211{}[15]","plainCitation":"[13]–[15]","noteIndex":0},"citationItems":[{"id":1056,"uris":["http://zotero.org/groups/4544678/items/P4ZJD4WA"],"uri":["http://zotero.org/groups/4544678/items/P4ZJD4WA"],"itemData":{"id":1056,"type":"book","abstract":"The Guidelines for Digital Newspaper Preservation Readiness address a specific set of preservation challenges faced by libraries, archives, historical societies, and other organizations that curate substantial collections of digital newspaper content. The Guidelines are intended to inform curators and collection managers at libraries, archives, historical societies, and other such memory organizations about various practical readiness activities that they can take. They provide links to technical resources that curators can either implement themselves or work with their technical staff to implement. The Guidelines (Version 1.0) only deal with digital newspapers at this point, not broadcast or other forms of digital news.","event-place":"Atlanta, GA","language":"English","publisher":"University of North Texas Libraries, UNT Digital Library, https://digital.library.unt.edu","publisher-place":"Atlanta, GA","title":"Guidelines for Digital Newspaper Preservation Readiness","URL":"https://digital.library.unt.edu/ark:/67531/metadc282586/","author":[{"family":"Skinner","given":"Katherine"},{"family":"Schultz","given":"Matt"}],"accessed":{"date-parts":[["2022",1,7]]},"issued":{"date-parts":[["2014",4,3]]}}},{"id":971,"uris":["http://zotero.org/groups/4544678/items/WJY3YMUP"],"uri":["http://zotero.org/groups/4544678/items/WJY3YMUP"],"itemData":{"id":971,"type":"chapter","abstract":"Purpose Project management techniques for digital initiatives must shift with the transformation of content from analog to digital, from singular projects to mass-digitization and large-scale digital preservation. How are project management methods employed across digital practices, from digitization, to online access, to preservation? How can project management methods evolve to create a collaborative workflow across collection and service areas of librarianship, centered on digital stewardship? Methodology/approach Solutions for these questions are illustrated in an explanation of the workflows implemented at the University of Maryland, College Park Libraries and reflected upon in a case study of a recent digital initiative. Findings Centered on the efforts of two departments in the Libraries’ Digital Systems and Stewardship division, this chapter outlines the origins, techniques, and integration of digital project management with a focus on Waterfall and Agile project management. Furthermore, the integration and transition of project management methodologies and tools between groups is emphasized, mirroring the transformation of analog media to digital formats and the requisite shifts in thinking such projects require. Originality/value These case studies are based on research across the profession and implementation at the University of Maryland, College Park Libraries. The local application of two established project management techniques, Waterfall and Agile, are summarized and compared. Though regularly employed in application development, applying Agile project management in libraries is a relatively new practice and has not been widely documented in library literature.","collection-title":"Advances in Library Administration and Organization","container-title":"Project Management in the Library Workplace","ISBN":"978-1-78754-837-4","note":"DOI: 10.1108/S0732-067120180000038013","page":"151-166","publisher":"Emerald Publishing Limited","source":"Emerald Insight","title":"Integration of Project Management Techniques in Digital Projects","URL":"https://doi.org/10.1108/S0732-067120180000038013","volume":"38","author":[{"family":"Dohe","given":"Kate"},{"family":"Pike","given":"Robin"}],"accessed":{"date-parts":[["2021",12,19]]},"issued":{"date-parts":[["2018",1,1]]}}},{"id":1362,"uris":["http://zotero.org/groups/4544678/items/ENGJU5Z8"],"uri":["http://zotero.org/groups/4544678/items/ENGJU5Z8"],"itemData":{"id":1362,"type":"article","language":"Deutsch","title":"12.151 DFG-Praxisregeln \"Digitalisierung\" [12/16]","URL":"http://www.dfg.de/formulare/12_151/12_151_de.pdf","author":[{"family":"Deutsche Forschungsgesellschaft","given":""}],"accessed":{"date-parts":[["2022",2,10]]}}}],"schema":"https://github.com/citation-style-language/schema/raw/master/csl-citation.json"} </w:instrText>
      </w:r>
      <w:r w:rsidRPr="00A32158">
        <w:rPr>
          <w:rFonts w:eastAsia="Times New Roman"/>
          <w:lang w:eastAsia="de-DE"/>
        </w:rPr>
        <w:fldChar w:fldCharType="separate"/>
      </w:r>
      <w:r w:rsidR="006E1CB1" w:rsidRPr="006E1CB1">
        <w:rPr>
          <w:szCs w:val="24"/>
        </w:rPr>
        <w:t>[13]–[15]</w:t>
      </w:r>
      <w:r w:rsidRPr="00A32158">
        <w:rPr>
          <w:rFonts w:eastAsia="Times New Roman"/>
          <w:lang w:eastAsia="de-DE"/>
        </w:rPr>
        <w:fldChar w:fldCharType="end"/>
      </w:r>
      <w:r w:rsidRPr="00A32158">
        <w:rPr>
          <w:rFonts w:eastAsia="Times New Roman"/>
          <w:lang w:eastAsia="de-DE"/>
        </w:rPr>
        <w:t xml:space="preserve">, research data </w:t>
      </w:r>
      <w:r w:rsidRPr="00A32158">
        <w:rPr>
          <w:rFonts w:eastAsia="Times New Roman"/>
          <w:lang w:eastAsia="de-DE"/>
        </w:rPr>
        <w:fldChar w:fldCharType="begin"/>
      </w:r>
      <w:r w:rsidR="006E1CB1">
        <w:rPr>
          <w:rFonts w:eastAsia="Times New Roman"/>
          <w:lang w:eastAsia="de-DE"/>
        </w:rPr>
        <w:instrText xml:space="preserve"> ADDIN ZOTERO_ITEM CSL_CITATION {"citationID":"FKXWsVQs","properties":{"formattedCitation":"[12]","plainCitation":"[12]","noteIndex":0},"citationItems":[{"id":1113,"uris":["http://zotero.org/groups/4544678/items/LDGACPVV"],"uri":["http://zotero.org/groups/4544678/items/LDGACPVV"],"itemData":{"id":1113,"type":"article-journal","container-title":"Sand Report, SAND 2002","DOI":"10.2172/793225","journalAbbreviation":"Sand Report, SAND--2002-0107","note":"publisher: Citeseer","title":"Long-term spatial data preservation and archiving: What are the issues","volume":"107","author":[{"family":"Bleakly","given":"Denise R"}],"issued":{"date-parts":[["2002"]]}}}],"schema":"https://github.com/citation-style-language/schema/raw/master/csl-citation.json"} </w:instrText>
      </w:r>
      <w:r w:rsidRPr="00A32158">
        <w:rPr>
          <w:rFonts w:eastAsia="Times New Roman"/>
          <w:lang w:eastAsia="de-DE"/>
        </w:rPr>
        <w:fldChar w:fldCharType="separate"/>
      </w:r>
      <w:r w:rsidR="006E1CB1" w:rsidRPr="006E1CB1">
        <w:t>[12]</w:t>
      </w:r>
      <w:r w:rsidRPr="00A32158">
        <w:rPr>
          <w:rFonts w:eastAsia="Times New Roman"/>
          <w:lang w:eastAsia="de-DE"/>
        </w:rPr>
        <w:fldChar w:fldCharType="end"/>
      </w:r>
      <w:r w:rsidRPr="00A32158">
        <w:rPr>
          <w:rFonts w:eastAsia="Times New Roman"/>
          <w:lang w:eastAsia="de-DE"/>
        </w:rPr>
        <w:t xml:space="preserve"> and web archiving </w:t>
      </w:r>
      <w:r w:rsidRPr="00A32158">
        <w:rPr>
          <w:rFonts w:eastAsia="Times New Roman"/>
          <w:lang w:eastAsia="de-DE"/>
        </w:rPr>
        <w:fldChar w:fldCharType="begin"/>
      </w:r>
      <w:r w:rsidR="006E1CB1">
        <w:rPr>
          <w:rFonts w:eastAsia="Times New Roman"/>
          <w:lang w:eastAsia="de-DE"/>
        </w:rPr>
        <w:instrText xml:space="preserve"> ADDIN ZOTERO_ITEM CSL_CITATION {"citationID":"aQbMIOhk","properties":{"formattedCitation":"[11]","plainCitation":"[11]","noteIndex":0},"citationItems":[{"id":998,"uris":["http://zotero.org/groups/4544678/items/M6WQMXUS"],"uri":["http://zotero.org/groups/4544678/items/M6WQMXUS"],"itemData":{"id":998,"type":"article-journal","abstract":"Website Archivability (WA) is a notion established to capture the core aspects of a website, crucial in diagnosing whether it has the potential to be archived with completeness and accuracy. In this work, aiming at measuring WA, we introduce and elaborate on all aspects of CLEAR+, an extended version of the Credible Live Evaluation Method for Archive Readiness (CLEAR) method. We use a systematic approach to evaluate WA from multiple different perspectives, which we call Website Archivability Facets. We then analyse archiveready.com, a web application we created as the reference implementation of CLEAR+, and discuss the implementation of the evaluation workflow. Finally, we conduct thorough evaluations of all aspects of WA to support the validity, the reliability and the benefits of our method using real-world web data.","container-title":"International Journal on Digital Libraries","DOI":"10.1007/s00799-015-0144-4","ISSN":"1432-1300","issue":"2","journalAbbreviation":"Int J Digit Libr","language":"en","page":"119-141","source":"Springer Link","title":"A quantitative approach to evaluate Website Archivability using the CLEAR+ method","volume":"17","author":[{"family":"Banos","given":"Vangelis"},{"family":"Manolopoulos","given":"Yannis"}],"issued":{"date-parts":[["2016",6,1]]}}}],"schema":"https://github.com/citation-style-language/schema/raw/master/csl-citation.json"} </w:instrText>
      </w:r>
      <w:r w:rsidRPr="00A32158">
        <w:rPr>
          <w:rFonts w:eastAsia="Times New Roman"/>
          <w:lang w:eastAsia="de-DE"/>
        </w:rPr>
        <w:fldChar w:fldCharType="separate"/>
      </w:r>
      <w:r w:rsidR="006E1CB1" w:rsidRPr="006E1CB1">
        <w:t>[11]</w:t>
      </w:r>
      <w:r w:rsidRPr="00A32158">
        <w:rPr>
          <w:rFonts w:eastAsia="Times New Roman"/>
          <w:lang w:eastAsia="de-DE"/>
        </w:rPr>
        <w:fldChar w:fldCharType="end"/>
      </w:r>
      <w:r w:rsidRPr="00A32158">
        <w:rPr>
          <w:rFonts w:eastAsia="Times New Roman"/>
          <w:lang w:eastAsia="de-DE"/>
        </w:rPr>
        <w:t xml:space="preserve">. Skinner and Schultz </w:t>
      </w:r>
      <w:r w:rsidR="00752205">
        <w:rPr>
          <w:rFonts w:eastAsia="Times New Roman"/>
          <w:lang w:eastAsia="de-DE"/>
        </w:rPr>
        <w:fldChar w:fldCharType="begin"/>
      </w:r>
      <w:r w:rsidR="00752205">
        <w:rPr>
          <w:rFonts w:eastAsia="Times New Roman"/>
          <w:lang w:eastAsia="de-DE"/>
        </w:rPr>
        <w:instrText xml:space="preserve"> ADDIN ZOTERO_ITEM CSL_CITATION {"citationID":"exRAEDNs","properties":{"formattedCitation":"[13]","plainCitation":"[13]","noteIndex":0},"citationItems":[{"id":1056,"uris":["http://zotero.org/groups/4544678/items/P4ZJD4WA"],"uri":["http://zotero.org/groups/4544678/items/P4ZJD4WA"],"itemData":{"id":1056,"type":"book","abstract":"The Guidelines for Digital Newspaper Preservation Readiness address a specific set of preservation challenges faced by libraries, archives, historical societies, and other organizations that curate substantial collections of digital newspaper content. The Guidelines are intended to inform curators and collection managers at libraries, archives, historical societies, and other such memory organizations about various practical readiness activities that they can take. They provide links to technical resources that curators can either implement themselves or work with their technical staff to implement. The Guidelines (Version 1.0) only deal with digital newspapers at this point, not broadcast or other forms of digital news.","event-place":"Atlanta, GA","language":"English","publisher":"University of North Texas Libraries, UNT Digital Library, https://digital.library.unt.edu","publisher-place":"Atlanta, GA","title":"Guidelines for Digital Newspaper Preservation Readiness","URL":"https://digital.library.unt.edu/ark:/67531/metadc282586/","author":[{"family":"Skinner","given":"Katherine"},{"family":"Schultz","given":"Matt"}],"accessed":{"date-parts":[["2022",1,7]]},"issued":{"date-parts":[["2014",4,3]]}}}],"schema":"https://github.com/citation-style-language/schema/raw/master/csl-citation.json"} </w:instrText>
      </w:r>
      <w:r w:rsidR="00752205">
        <w:rPr>
          <w:rFonts w:eastAsia="Times New Roman"/>
          <w:lang w:eastAsia="de-DE"/>
        </w:rPr>
        <w:fldChar w:fldCharType="separate"/>
      </w:r>
      <w:r w:rsidR="00752205" w:rsidRPr="00752205">
        <w:t>[13]</w:t>
      </w:r>
      <w:r w:rsidR="00752205">
        <w:rPr>
          <w:rFonts w:eastAsia="Times New Roman"/>
          <w:lang w:eastAsia="de-DE"/>
        </w:rPr>
        <w:fldChar w:fldCharType="end"/>
      </w:r>
      <w:r w:rsidR="00752205">
        <w:rPr>
          <w:rFonts w:eastAsia="Times New Roman"/>
          <w:lang w:eastAsia="de-DE"/>
        </w:rPr>
        <w:t xml:space="preserve"> </w:t>
      </w:r>
      <w:r w:rsidRPr="00A32158">
        <w:rPr>
          <w:rFonts w:eastAsia="Times New Roman"/>
          <w:lang w:eastAsia="de-DE"/>
        </w:rPr>
        <w:t xml:space="preserve">address digitized objects but also consider born-digital material. </w:t>
      </w:r>
      <w:r w:rsidRPr="00A32158">
        <w:rPr>
          <w:rFonts w:eastAsia="Times New Roman"/>
          <w:lang w:eastAsia="de-DE"/>
        </w:rPr>
        <w:t>They devote a chapter to preservation best practices for digitized objects as part of creation and acquisition, in which they recommend the set-up of an inventory, the definition and documentation of recommended file formats, metadata and data structures, the generation of checksums and establishment of explicit permission to preserve the objects.</w:t>
      </w:r>
    </w:p>
    <w:p w14:paraId="51DDD857" w14:textId="23D50D87" w:rsidR="00D54644" w:rsidRDefault="00D54644" w:rsidP="00D54644">
      <w:pPr>
        <w:pStyle w:val="Listenabsatz"/>
        <w:spacing w:before="100" w:beforeAutospacing="1" w:after="100" w:afterAutospacing="1"/>
        <w:ind w:left="0" w:firstLine="0"/>
        <w:rPr>
          <w:rFonts w:eastAsia="Times New Roman"/>
          <w:lang w:eastAsia="de-DE"/>
        </w:rPr>
      </w:pPr>
      <w:r w:rsidRPr="00A32158">
        <w:rPr>
          <w:rFonts w:eastAsia="Times New Roman"/>
          <w:lang w:eastAsia="de-DE"/>
        </w:rPr>
        <w:t xml:space="preserve">Selected best practices for ZB MED and ZBW with relevance for this paper are similar: consistent data structure, recommended file formats, among them PDF/A with embedded open fonts, valid objects and metadata standards established in the research community. The actions that increase archivability are related to these best practices. The authors assume that introducing these actions in early object processing steps results in a </w:t>
      </w:r>
      <w:r w:rsidR="001C5D69">
        <w:rPr>
          <w:rFonts w:eastAsia="Times New Roman"/>
          <w:lang w:eastAsia="de-DE"/>
        </w:rPr>
        <w:t>reduction of</w:t>
      </w:r>
      <w:r w:rsidRPr="00A32158">
        <w:rPr>
          <w:rFonts w:eastAsia="Times New Roman"/>
          <w:lang w:eastAsia="de-DE"/>
        </w:rPr>
        <w:t xml:space="preserve"> total curation effort for the institution (see fig. 1).</w:t>
      </w:r>
    </w:p>
    <w:p w14:paraId="5D7A50DC" w14:textId="77777777" w:rsidR="00BF6EE3" w:rsidRDefault="00BF6EE3" w:rsidP="00D54644">
      <w:pPr>
        <w:pStyle w:val="Listenabsatz"/>
        <w:spacing w:before="100" w:beforeAutospacing="1" w:after="100" w:afterAutospacing="1"/>
        <w:ind w:left="0" w:firstLine="0"/>
        <w:rPr>
          <w:rFonts w:eastAsia="Times New Roman"/>
          <w:lang w:eastAsia="de-DE"/>
        </w:rPr>
      </w:pPr>
    </w:p>
    <w:p w14:paraId="452A8C14" w14:textId="77777777" w:rsidR="00472ABF" w:rsidRDefault="00472ABF" w:rsidP="00D54644">
      <w:pPr>
        <w:pStyle w:val="Listenabsatz"/>
        <w:spacing w:before="100" w:beforeAutospacing="1" w:after="100" w:afterAutospacing="1"/>
        <w:ind w:left="0" w:firstLine="0"/>
        <w:rPr>
          <w:rFonts w:eastAsia="Times New Roman"/>
          <w:lang w:eastAsia="de-DE"/>
        </w:rPr>
        <w:sectPr w:rsidR="00472ABF">
          <w:type w:val="continuous"/>
          <w:pgSz w:w="11900" w:h="16820"/>
          <w:pgMar w:top="1080" w:right="902" w:bottom="1440" w:left="902" w:header="567" w:footer="737" w:gutter="0"/>
          <w:cols w:num="2" w:space="720" w:equalWidth="0">
            <w:col w:w="4869" w:space="357"/>
            <w:col w:w="4869" w:space="0"/>
          </w:cols>
          <w:titlePg/>
        </w:sectPr>
      </w:pPr>
    </w:p>
    <w:p w14:paraId="387CDE8A" w14:textId="55519DE5" w:rsidR="00BF6EE3" w:rsidRDefault="008D65F8" w:rsidP="00D54644">
      <w:pPr>
        <w:pStyle w:val="Listenabsatz"/>
        <w:spacing w:before="100" w:beforeAutospacing="1" w:after="100" w:afterAutospacing="1"/>
        <w:ind w:left="0" w:firstLine="0"/>
        <w:rPr>
          <w:rFonts w:eastAsia="Times New Roman"/>
          <w:lang w:eastAsia="de-DE"/>
        </w:rPr>
      </w:pPr>
      <w:r>
        <w:rPr>
          <w:rFonts w:eastAsia="Times New Roman"/>
          <w:noProof/>
          <w:lang w:val="de-DE" w:eastAsia="de-DE"/>
        </w:rPr>
        <w:drawing>
          <wp:inline distT="0" distB="0" distL="0" distR="0" wp14:anchorId="3723481D" wp14:editId="32120E01">
            <wp:extent cx="6410960" cy="3291840"/>
            <wp:effectExtent l="0" t="0" r="889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1.emf"/>
                    <pic:cNvPicPr/>
                  </pic:nvPicPr>
                  <pic:blipFill rotWithShape="1">
                    <a:blip r:embed="rId15" cstate="print">
                      <a:extLst>
                        <a:ext uri="{28A0092B-C50C-407E-A947-70E740481C1C}">
                          <a14:useLocalDpi xmlns:a14="http://schemas.microsoft.com/office/drawing/2010/main" val="0"/>
                        </a:ext>
                      </a:extLst>
                    </a:blip>
                    <a:srcRect t="8280"/>
                    <a:stretch/>
                  </pic:blipFill>
                  <pic:spPr bwMode="auto">
                    <a:xfrm>
                      <a:off x="0" y="0"/>
                      <a:ext cx="6410960" cy="3291840"/>
                    </a:xfrm>
                    <a:prstGeom prst="rect">
                      <a:avLst/>
                    </a:prstGeom>
                    <a:ln>
                      <a:noFill/>
                    </a:ln>
                    <a:extLst>
                      <a:ext uri="{53640926-AAD7-44D8-BBD7-CCE9431645EC}">
                        <a14:shadowObscured xmlns:a14="http://schemas.microsoft.com/office/drawing/2010/main"/>
                      </a:ext>
                    </a:extLst>
                  </pic:spPr>
                </pic:pic>
              </a:graphicData>
            </a:graphic>
          </wp:inline>
        </w:drawing>
      </w:r>
    </w:p>
    <w:p w14:paraId="5541AEC1" w14:textId="588E8F8C" w:rsidR="00BF6EE3" w:rsidRPr="00A32158" w:rsidRDefault="00472ABF" w:rsidP="00472ABF">
      <w:pPr>
        <w:pStyle w:val="Beschriftung"/>
        <w:rPr>
          <w:rFonts w:eastAsia="Times New Roman"/>
          <w:lang w:eastAsia="de-DE"/>
        </w:rPr>
      </w:pPr>
      <w:r>
        <w:rPr>
          <w:rFonts w:eastAsia="Open Sans"/>
        </w:rPr>
        <w:t xml:space="preserve">Figure 1 </w:t>
      </w:r>
      <w:r w:rsidRPr="001850B6">
        <w:rPr>
          <w:rFonts w:eastAsia="Open Sans"/>
        </w:rPr>
        <w:t>Depicted are object processing steps (from object creation to archived), the respective steps where ZB MED and ZBW obtain control of the objects, as well as three possible locations of archivability increasing actions (pre-archive during publishing, pre-archive during acquisition or pre-ingest within the archive department). The diagram shows the result of conducted archivability increasing actions</w:t>
      </w:r>
      <w:r w:rsidR="00E84B21">
        <w:rPr>
          <w:rFonts w:eastAsia="Open Sans"/>
        </w:rPr>
        <w:t xml:space="preserve"> as</w:t>
      </w:r>
      <w:r w:rsidRPr="001850B6">
        <w:rPr>
          <w:rFonts w:eastAsia="Open Sans"/>
        </w:rPr>
        <w:t xml:space="preserve"> an increase in archivability and a decrease in total curation effort. Increase and decrease have been determined as a result from qualitative analysis instead of quantitative measurements and therefore the scale is arbitrary.</w:t>
      </w:r>
    </w:p>
    <w:p w14:paraId="752A21AB" w14:textId="77777777" w:rsidR="00472ABF" w:rsidRDefault="00472ABF" w:rsidP="00D54644">
      <w:pPr>
        <w:pStyle w:val="berschrift1"/>
        <w:numPr>
          <w:ilvl w:val="0"/>
          <w:numId w:val="3"/>
        </w:numPr>
        <w:rPr>
          <w:rFonts w:cs="Open Sans"/>
        </w:rPr>
        <w:sectPr w:rsidR="00472ABF" w:rsidSect="00472ABF">
          <w:type w:val="continuous"/>
          <w:pgSz w:w="11900" w:h="16820"/>
          <w:pgMar w:top="1080" w:right="902" w:bottom="1440" w:left="902" w:header="567" w:footer="737" w:gutter="0"/>
          <w:cols w:space="357"/>
          <w:titlePg/>
        </w:sectPr>
      </w:pPr>
    </w:p>
    <w:p w14:paraId="6A60ABD7" w14:textId="0C4CB0DF" w:rsidR="00D54644" w:rsidRPr="00A32158" w:rsidRDefault="00D54644" w:rsidP="00D54644">
      <w:pPr>
        <w:pStyle w:val="berschrift1"/>
        <w:numPr>
          <w:ilvl w:val="0"/>
          <w:numId w:val="3"/>
        </w:numPr>
        <w:rPr>
          <w:rFonts w:cs="Open Sans"/>
        </w:rPr>
      </w:pPr>
      <w:r w:rsidRPr="00A32158">
        <w:rPr>
          <w:rFonts w:cs="Open Sans"/>
        </w:rPr>
        <w:t>Method</w:t>
      </w:r>
    </w:p>
    <w:p w14:paraId="0340FD39" w14:textId="34162632" w:rsidR="00D54644" w:rsidRPr="00A32158" w:rsidRDefault="00D54644" w:rsidP="00D54644">
      <w:pPr>
        <w:pStyle w:val="Listenabsatz"/>
        <w:spacing w:before="100" w:beforeAutospacing="1" w:after="100" w:afterAutospacing="1"/>
        <w:ind w:left="0" w:firstLine="0"/>
        <w:rPr>
          <w:rFonts w:eastAsia="Times New Roman"/>
          <w:lang w:eastAsia="de-DE"/>
        </w:rPr>
      </w:pPr>
      <w:r w:rsidRPr="00A32158">
        <w:rPr>
          <w:rFonts w:eastAsia="Times New Roman"/>
          <w:lang w:eastAsia="de-DE"/>
        </w:rPr>
        <w:t xml:space="preserve">To answer the research question "Is generating archivable </w:t>
      </w:r>
      <w:r w:rsidR="00E84B21">
        <w:rPr>
          <w:rFonts w:eastAsia="Times New Roman"/>
          <w:lang w:eastAsia="de-DE"/>
        </w:rPr>
        <w:t>d</w:t>
      </w:r>
      <w:r w:rsidRPr="00A32158">
        <w:rPr>
          <w:rFonts w:eastAsia="Times New Roman"/>
          <w:lang w:eastAsia="de-DE"/>
        </w:rPr>
        <w:t xml:space="preserve">igital </w:t>
      </w:r>
      <w:r w:rsidR="00E84B21">
        <w:rPr>
          <w:rFonts w:eastAsia="Times New Roman"/>
          <w:lang w:eastAsia="de-DE"/>
        </w:rPr>
        <w:t>o</w:t>
      </w:r>
      <w:r w:rsidRPr="00A32158">
        <w:rPr>
          <w:rFonts w:eastAsia="Times New Roman"/>
          <w:lang w:eastAsia="de-DE"/>
        </w:rPr>
        <w:t>bjects early in their life cycle worth the (staff and process development) effort?"</w:t>
      </w:r>
      <w:r w:rsidR="00082385">
        <w:rPr>
          <w:rFonts w:eastAsia="Times New Roman"/>
          <w:lang w:eastAsia="de-DE"/>
        </w:rPr>
        <w:t xml:space="preserve">, </w:t>
      </w:r>
      <w:r w:rsidRPr="00A32158">
        <w:rPr>
          <w:rFonts w:eastAsia="Times New Roman"/>
          <w:lang w:eastAsia="de-DE"/>
        </w:rPr>
        <w:t xml:space="preserve">this short paper uses the method "actual practice" (as opposed to best practice, as </w:t>
      </w:r>
      <w:r w:rsidRPr="003E4174">
        <w:rPr>
          <w:rFonts w:eastAsia="Times New Roman"/>
          <w:lang w:eastAsia="de-DE"/>
        </w:rPr>
        <w:t>examinations</w:t>
      </w:r>
      <w:r w:rsidRPr="00A32158">
        <w:rPr>
          <w:rFonts w:eastAsia="Times New Roman"/>
          <w:lang w:eastAsia="de-DE"/>
        </w:rPr>
        <w:t xml:space="preserve"> about this sub-topic in Digital Preservation </w:t>
      </w:r>
      <w:r w:rsidRPr="003E4174">
        <w:rPr>
          <w:rFonts w:eastAsia="Times New Roman"/>
          <w:lang w:eastAsia="de-DE"/>
        </w:rPr>
        <w:t>seem</w:t>
      </w:r>
      <w:r w:rsidRPr="00A32158">
        <w:rPr>
          <w:rFonts w:eastAsia="Times New Roman"/>
          <w:lang w:eastAsia="de-DE"/>
        </w:rPr>
        <w:t xml:space="preserve"> to be </w:t>
      </w:r>
      <w:r w:rsidR="00082385">
        <w:rPr>
          <w:rFonts w:eastAsia="Times New Roman"/>
          <w:lang w:eastAsia="de-DE"/>
        </w:rPr>
        <w:t>rarely</w:t>
      </w:r>
      <w:r w:rsidR="00082385" w:rsidRPr="00A32158">
        <w:rPr>
          <w:rFonts w:eastAsia="Times New Roman"/>
          <w:lang w:eastAsia="de-DE"/>
        </w:rPr>
        <w:t xml:space="preserve"> </w:t>
      </w:r>
      <w:r w:rsidRPr="00A32158">
        <w:rPr>
          <w:rFonts w:eastAsia="Times New Roman"/>
          <w:lang w:eastAsia="de-DE"/>
        </w:rPr>
        <w:t xml:space="preserve">addressed in literature), analyzing available literature (chapter </w:t>
      </w:r>
      <w:r w:rsidR="00A55509">
        <w:rPr>
          <w:rFonts w:eastAsia="Times New Roman"/>
          <w:lang w:eastAsia="de-DE"/>
        </w:rPr>
        <w:t>II</w:t>
      </w:r>
      <w:r w:rsidRPr="00A32158">
        <w:rPr>
          <w:rFonts w:eastAsia="Times New Roman"/>
          <w:lang w:eastAsia="de-DE"/>
        </w:rPr>
        <w:t>) and two uses cases: description and evaluation of ZB MED’s pre-archival WF (chapter</w:t>
      </w:r>
      <w:r w:rsidR="00A55509">
        <w:rPr>
          <w:rFonts w:eastAsia="Times New Roman"/>
          <w:lang w:eastAsia="de-DE"/>
        </w:rPr>
        <w:t xml:space="preserve"> IV. A</w:t>
      </w:r>
      <w:r w:rsidRPr="00A32158">
        <w:rPr>
          <w:rFonts w:eastAsia="Times New Roman"/>
          <w:lang w:eastAsia="de-DE"/>
        </w:rPr>
        <w:t>) and ZBW’s pre-</w:t>
      </w:r>
      <w:r w:rsidRPr="00A32158">
        <w:rPr>
          <w:rFonts w:eastAsia="Times New Roman"/>
          <w:lang w:eastAsia="de-DE"/>
        </w:rPr>
        <w:t xml:space="preserve">archival object processing (chapter </w:t>
      </w:r>
      <w:r w:rsidR="00A55509">
        <w:rPr>
          <w:rFonts w:eastAsia="Times New Roman"/>
          <w:lang w:eastAsia="de-DE"/>
        </w:rPr>
        <w:t>IV. B</w:t>
      </w:r>
      <w:r w:rsidRPr="00A32158">
        <w:rPr>
          <w:rFonts w:eastAsia="Times New Roman"/>
          <w:lang w:eastAsia="de-DE"/>
        </w:rPr>
        <w:t>). In the referenced blog posts the used tools are described and more practical point</w:t>
      </w:r>
      <w:r w:rsidR="00102DC0">
        <w:rPr>
          <w:rFonts w:eastAsia="Times New Roman"/>
          <w:lang w:eastAsia="de-DE"/>
        </w:rPr>
        <w:t>s</w:t>
      </w:r>
      <w:r w:rsidRPr="00A32158">
        <w:rPr>
          <w:rFonts w:eastAsia="Times New Roman"/>
          <w:lang w:eastAsia="de-DE"/>
        </w:rPr>
        <w:t xml:space="preserve"> of the workflow </w:t>
      </w:r>
      <w:r w:rsidR="00E84B21">
        <w:rPr>
          <w:rFonts w:eastAsia="Times New Roman"/>
          <w:lang w:eastAsia="de-DE"/>
        </w:rPr>
        <w:t>are</w:t>
      </w:r>
      <w:r w:rsidR="00E84B21" w:rsidRPr="00A32158">
        <w:rPr>
          <w:rFonts w:eastAsia="Times New Roman"/>
          <w:lang w:eastAsia="de-DE"/>
        </w:rPr>
        <w:t xml:space="preserve"> </w:t>
      </w:r>
      <w:r w:rsidRPr="00A32158">
        <w:rPr>
          <w:rFonts w:eastAsia="Times New Roman"/>
          <w:lang w:eastAsia="de-DE"/>
        </w:rPr>
        <w:t>examined. This paper uses a qualitative analysis</w:t>
      </w:r>
      <w:r w:rsidR="001C5D69">
        <w:rPr>
          <w:rFonts w:eastAsia="Times New Roman"/>
          <w:lang w:eastAsia="de-DE"/>
        </w:rPr>
        <w:t xml:space="preserve"> regarding benefits of early archivability actions</w:t>
      </w:r>
      <w:r w:rsidRPr="00A32158">
        <w:rPr>
          <w:rFonts w:eastAsia="Times New Roman"/>
          <w:lang w:eastAsia="de-DE"/>
        </w:rPr>
        <w:t xml:space="preserve"> and </w:t>
      </w:r>
      <w:r w:rsidR="001C5D69">
        <w:rPr>
          <w:rFonts w:eastAsia="Times New Roman"/>
          <w:lang w:eastAsia="de-DE"/>
        </w:rPr>
        <w:t xml:space="preserve">assesses </w:t>
      </w:r>
      <w:r w:rsidRPr="00A32158">
        <w:rPr>
          <w:rFonts w:eastAsia="Times New Roman"/>
          <w:lang w:eastAsia="de-DE"/>
        </w:rPr>
        <w:t xml:space="preserve">the impact on the objects which have to be archived. </w:t>
      </w:r>
    </w:p>
    <w:p w14:paraId="78B53709" w14:textId="66E08EC9" w:rsidR="00D54644" w:rsidRPr="00A32158" w:rsidRDefault="00D54644" w:rsidP="00D54644">
      <w:pPr>
        <w:pStyle w:val="Listenabsatz"/>
        <w:spacing w:before="100" w:beforeAutospacing="1" w:after="100" w:afterAutospacing="1"/>
        <w:ind w:left="0" w:firstLine="0"/>
        <w:rPr>
          <w:rFonts w:eastAsia="Times New Roman"/>
          <w:lang w:eastAsia="de-DE"/>
        </w:rPr>
      </w:pPr>
    </w:p>
    <w:p w14:paraId="4036E3E3" w14:textId="6899B097" w:rsidR="00D54644" w:rsidRPr="00A32158" w:rsidRDefault="00D54644" w:rsidP="00D54644">
      <w:pPr>
        <w:pStyle w:val="berschrift1"/>
        <w:numPr>
          <w:ilvl w:val="0"/>
          <w:numId w:val="3"/>
        </w:numPr>
        <w:rPr>
          <w:rFonts w:cs="Open Sans"/>
        </w:rPr>
      </w:pPr>
      <w:r w:rsidRPr="00A32158">
        <w:rPr>
          <w:rFonts w:cs="Open Sans"/>
        </w:rPr>
        <w:t>Use Cases</w:t>
      </w:r>
    </w:p>
    <w:p w14:paraId="1D751A9B" w14:textId="4C4EF6E6" w:rsidR="00D54644" w:rsidRPr="00A32158" w:rsidRDefault="00D54644" w:rsidP="00D54644">
      <w:pPr>
        <w:pStyle w:val="berschrift2"/>
        <w:numPr>
          <w:ilvl w:val="1"/>
          <w:numId w:val="3"/>
        </w:numPr>
        <w:rPr>
          <w:rFonts w:cs="Open Sans"/>
        </w:rPr>
      </w:pPr>
      <w:r w:rsidRPr="00A32158">
        <w:rPr>
          <w:rFonts w:cs="Open Sans"/>
        </w:rPr>
        <w:t>ZB MED Use Case</w:t>
      </w:r>
    </w:p>
    <w:p w14:paraId="2FD66376" w14:textId="1183C82C" w:rsidR="00D54644" w:rsidRPr="00A32158" w:rsidRDefault="00D54644" w:rsidP="00D54644">
      <w:pPr>
        <w:pStyle w:val="Listenabsatz"/>
        <w:ind w:left="0" w:firstLine="0"/>
      </w:pPr>
      <w:r w:rsidRPr="00A32158">
        <w:lastRenderedPageBreak/>
        <w:t xml:space="preserve">ZB MED provides several publication services to the life science community, among them the PUBLISSO Gold publication portal </w:t>
      </w:r>
      <w:r w:rsidRPr="00A32158">
        <w:fldChar w:fldCharType="begin"/>
      </w:r>
      <w:r w:rsidR="006E1CB1">
        <w:instrText xml:space="preserve"> ADDIN ZOTERO_ITEM CSL_CITATION {"citationID":"VimOjkRK","properties":{"formattedCitation":"[16]","plainCitation":"[16]","noteIndex":0},"citationItems":[{"id":1422,"uris":["http://zotero.org/groups/4544678/items/4QHVVMPX"],"uri":["http://zotero.org/groups/4544678/items/4QHVVMPX"],"itemData":{"id":1422,"type":"webpage","language":"en","title":"PUBLISSO Gold Open Access publication portal","URL":"https://www.publisso.de/en/publishing/","accessed":{"date-parts":[["2022",2,21]]}}}],"schema":"https://github.com/citation-style-language/schema/raw/master/csl-citation.json"} </w:instrText>
      </w:r>
      <w:r w:rsidRPr="00A32158">
        <w:fldChar w:fldCharType="separate"/>
      </w:r>
      <w:r w:rsidR="006E1CB1" w:rsidRPr="006E1CB1">
        <w:t>[16]</w:t>
      </w:r>
      <w:r w:rsidRPr="00A32158">
        <w:fldChar w:fldCharType="end"/>
      </w:r>
      <w:r w:rsidRPr="00A32158">
        <w:t xml:space="preserve"> and, in collaboration with the Association of the Scientific Medical Societies in Germany, the German Medical Science (GMS) publication portal </w:t>
      </w:r>
      <w:r w:rsidRPr="00A32158">
        <w:fldChar w:fldCharType="begin"/>
      </w:r>
      <w:r w:rsidR="006E1CB1">
        <w:instrText xml:space="preserve"> ADDIN ZOTERO_ITEM CSL_CITATION {"citationID":"DYIp70aj","properties":{"formattedCitation":"[17]","plainCitation":"[17]","noteIndex":0},"citationItems":[{"id":1420,"uris":["http://zotero.org/groups/4544678/items/PLW35EUP"],"uri":["http://zotero.org/groups/4544678/items/PLW35EUP"],"itemData":{"id":1420,"type":"webpage","language":"en","title":"German Medical Science publication portal","URL":"https://www.egms.de/dynamic/en/index.htm","accessed":{"date-parts":[["2022",2,21]]}}}],"schema":"https://github.com/citation-style-language/schema/raw/master/csl-citation.json"} </w:instrText>
      </w:r>
      <w:r w:rsidRPr="00A32158">
        <w:fldChar w:fldCharType="separate"/>
      </w:r>
      <w:r w:rsidR="006E1CB1" w:rsidRPr="006E1CB1">
        <w:t>[17]</w:t>
      </w:r>
      <w:r w:rsidRPr="00A32158">
        <w:fldChar w:fldCharType="end"/>
      </w:r>
      <w:r w:rsidRPr="00A32158">
        <w:t xml:space="preserve">. Publications on these platforms are intended to be archived in ZB MED’s own archive, which is a separate system. Since a high number of data sets are archived retroactively, </w:t>
      </w:r>
      <w:r w:rsidR="001C5D69">
        <w:t xml:space="preserve">at a </w:t>
      </w:r>
      <w:r w:rsidRPr="00A32158">
        <w:t xml:space="preserve">significantly </w:t>
      </w:r>
      <w:r w:rsidR="001C5D69">
        <w:t xml:space="preserve">later time than </w:t>
      </w:r>
      <w:r w:rsidRPr="00A32158">
        <w:t>their publication date, various challenges became apparent when the archive collected data sets from the GMS portal. Still, ZB MED has control over formal quality assurance (QA) of publications on the platforms. Accordingly</w:t>
      </w:r>
      <w:r w:rsidR="009B79B2">
        <w:t>,</w:t>
      </w:r>
      <w:r w:rsidRPr="00A32158">
        <w:t xml:space="preserve"> it can incorporate various suggestions </w:t>
      </w:r>
      <w:r w:rsidR="00082385">
        <w:t>from</w:t>
      </w:r>
      <w:r w:rsidRPr="00A32158">
        <w:t xml:space="preserve"> its own archive department into publication processes and infrastructure in order to increase archivability. A summary of possible actions improving archivability during publication steps follows. These are in various states of implementation.</w:t>
      </w:r>
    </w:p>
    <w:p w14:paraId="4EB2754A" w14:textId="07A30380" w:rsidR="00D54644" w:rsidRPr="00A32158" w:rsidRDefault="00D54644" w:rsidP="00D54644">
      <w:pPr>
        <w:pStyle w:val="Listenabsatz"/>
        <w:ind w:left="0" w:firstLine="0"/>
      </w:pPr>
      <w:r w:rsidRPr="00A32158">
        <w:t xml:space="preserve">A well-known challenge for archiving is clearing necessary rights </w:t>
      </w:r>
      <w:r w:rsidRPr="00A32158">
        <w:fldChar w:fldCharType="begin"/>
      </w:r>
      <w:r w:rsidR="002C5539">
        <w:instrText xml:space="preserve"> ADDIN ZOTERO_ITEM CSL_CITATION {"citationID":"jr82lzzs","properties":{"formattedCitation":"[7], [8]","plainCitation":"[7], [8]","noteIndex":0},"citationItems":[{"id":985,"uris":["http://zotero.org/groups/4544678/items/JMBTPIV9"],"uri":["http://zotero.org/groups/4544678/items/JMBTPIV9"],"itemData":{"id":985,"type":"post-weblog","abstract":"In the previous post  in this series I examined one of the two answers to the question \"why preserve e-journals?\". Libraries subscribing to ...","language":"en","title":"Why Preserve E-Journals? To Preserve The Record","title-short":"Why Preserve E-Journals?","URL":"https://blog.dshr.org/2007/06/why-preserve-e-journals-to-preserve.html","author":[{"family":"Rosenthal, David","given":""}],"accessed":{"date-parts":[["2021",12,26]]},"issued":{"date-parts":[["2007",6,10]]}}},{"id":1047,"uris":["http://zotero.org/groups/4544678/items/BXSZ3K9D"],"uri":["http://zotero.org/groups/4544678/items/BXSZ3K9D"],"itemData":{"id":1047,"type":"article-journal","abstract":"Purpose This paper aims to discuss the public knowledge project (PKP) preservation network (PN), which provides free preservation services for eligible journals by collecting article content and preserving it in a network of (at the time of writing) eight “preservation nodes” using the LOCKSS system. The PKP PN was launched in June 2016. Design/methodology/approach This paper addresses the development and implementation of a free, distributed digital PN for open journal systems (OJS) content. It discusses challenges in developing the network, in particular relating to preserving content from a set of partners who have no formal business relationship with PKP. The paper examines data regarding journals that have opted in to the network to date and considers interface usability and other barriers facing those that have not joined. Findings Within 18 months of launch, more than 600 journals had opted to be preserved in the PKP PN. Many more journals are eligible to join the network; the paper explores potential strategies to increase participation and identifies and proposes methods to overcome technical and communication barriers. Originality/value This paper describes a highly collaborative, open-source preservation initiative which forms a unique part of the e-journal preservation landscape and preserves a particularly vulnerable portion of the scholarly record.","container-title":"Digital Library Perspectives","DOI":"10.1108/DLP-11-2017-0043","ISSN":"2059-5816","issue":"4","note":"publisher: Emerald Publishing Limited","page":"246-261","source":"Emerald Insight","title":"Distributed digital preservation: preserving open journal systems content in the PKP PN","title-short":"Distributed digital preservation","volume":"34","author":[{"family":"Sprout","given":"Bronwen"},{"family":"Jordan","given":"Mark"}],"issued":{"date-parts":[["2018",1,1]]}}}],"schema":"https://github.com/citation-style-language/schema/raw/master/csl-citation.json"} </w:instrText>
      </w:r>
      <w:r w:rsidRPr="00A32158">
        <w:fldChar w:fldCharType="separate"/>
      </w:r>
      <w:r w:rsidR="002C5539" w:rsidRPr="002C5539">
        <w:t>[7], [8]</w:t>
      </w:r>
      <w:r w:rsidRPr="00A32158">
        <w:fldChar w:fldCharType="end"/>
      </w:r>
      <w:r w:rsidRPr="00A32158">
        <w:t>. In addition to rights of objects, fonts can also be copyrighted which hinders embedding during PDF/A migration. Using open fonts during publication allows later embedding in PDF/A without reviewing and verifying the usage rights of the used font. In case the font used during publication does not allow embedding by the archive, the institution can resort to another font that does. But this change in font</w:t>
      </w:r>
      <w:r w:rsidR="00E84B21">
        <w:t>s</w:t>
      </w:r>
      <w:r w:rsidRPr="00A32158">
        <w:t xml:space="preserve"> may lead to changes in content display, which requires additional QA, and therefore effort from the archive.</w:t>
      </w:r>
      <w:r w:rsidR="00E84B21">
        <w:t xml:space="preserve"> Optimally, PDF/A with already embedded fonts is used for publication.</w:t>
      </w:r>
    </w:p>
    <w:p w14:paraId="2F4A8667" w14:textId="0FB1EF3A" w:rsidR="00D54644" w:rsidRPr="00A32158" w:rsidRDefault="00D54644" w:rsidP="00D54644">
      <w:pPr>
        <w:pStyle w:val="Listenabsatz"/>
        <w:ind w:left="0" w:firstLine="0"/>
      </w:pPr>
      <w:r w:rsidRPr="00A32158">
        <w:t xml:space="preserve">A significant challenge during ingest relates to the publication’s data structure. If the structure is inconsistent, the institution preparing the data packages for the archive (data provider or the archive itself) cannot </w:t>
      </w:r>
      <w:r w:rsidR="00F66CD3">
        <w:t>rely</w:t>
      </w:r>
      <w:r w:rsidR="00F66CD3" w:rsidRPr="00A32158">
        <w:t xml:space="preserve"> </w:t>
      </w:r>
      <w:r w:rsidRPr="00A32158">
        <w:t>on an entirely automat</w:t>
      </w:r>
      <w:r w:rsidR="00CB65D5">
        <w:t>ed</w:t>
      </w:r>
      <w:r w:rsidRPr="00A32158">
        <w:t xml:space="preserve"> workflow. Instead</w:t>
      </w:r>
      <w:r w:rsidR="009B79B2">
        <w:t>,</w:t>
      </w:r>
      <w:r w:rsidRPr="00A32158">
        <w:t xml:space="preserve"> it needs to identify exceptions and map the different data structures of provided objects to the archive’s data structure. In the established workflow at ZB MED, about 0</w:t>
      </w:r>
      <w:r w:rsidR="001C5D69">
        <w:t>.</w:t>
      </w:r>
      <w:r w:rsidRPr="00A32158">
        <w:t xml:space="preserve">1% publications contained exceptions that resulted in additional handling. While changes to data structures over time are </w:t>
      </w:r>
      <w:r w:rsidR="000D5D29">
        <w:t>probably</w:t>
      </w:r>
      <w:r w:rsidR="000D5D29" w:rsidRPr="00A32158">
        <w:t xml:space="preserve"> </w:t>
      </w:r>
      <w:r w:rsidRPr="00A32158">
        <w:t>unavoidable, the publisher may help with later data transfer by documenting a data structure schema as well as exceptions and new versions alongside respective objects. This may be useful not only for a transfer into archives but also for exit scenarios.</w:t>
      </w:r>
    </w:p>
    <w:p w14:paraId="5912F42F" w14:textId="14721F1A" w:rsidR="00D54644" w:rsidRPr="00A32158" w:rsidRDefault="000D5D29" w:rsidP="00D54644">
      <w:pPr>
        <w:pStyle w:val="Listenabsatz"/>
        <w:ind w:left="0" w:firstLine="0"/>
      </w:pPr>
      <w:r>
        <w:t>At</w:t>
      </w:r>
      <w:r w:rsidR="00D54644" w:rsidRPr="00A32158">
        <w:t xml:space="preserve"> the object level, recommendations of file formats that are more or less suited for digital preservation are well known in the digital preservation community </w:t>
      </w:r>
      <w:r w:rsidR="00D54644" w:rsidRPr="00A32158">
        <w:fldChar w:fldCharType="begin"/>
      </w:r>
      <w:r w:rsidR="002C5539">
        <w:instrText xml:space="preserve"> ADDIN ZOTERO_ITEM CSL_CITATION {"citationID":"LORpF05S","properties":{"formattedCitation":"[18]","plainCitation":"[18]","noteIndex":0},"citationItems":[{"id":1349,"uris":["http://zotero.org/groups/4544678/items/AAY7C96D"],"uri":["http://zotero.org/groups/4544678/items/AAY7C96D"],"itemData":{"id":1349,"type":"article-journal","abstract":"The Library of Congress is drafting a decision-support framework pertaining to the preservation of digital content. The framework is presented through a Web site that identifies and documents digital content formats that are promising (or unpromising) for long-term sustainability, together\nwith some explanatory essays. The resource is intended to serve staff who evaluate born digital content for selection for the Library's collections and make provisions to sustain that content.The initial investigation has outlined two sets of high-level factors that may be used when\nchoosing formats:• conceptual factors that may affect the sustainability of any digital format• factors that relate to quality or special functionality that might be desired for certain categories of content","container-title":"Archiving Conference","issue":"1","journalAbbreviation":"Archiving Conference","page":"222-227","source":"IngentaConnect","title":"Digital Formats: Factors for Sustainability, Functionality, and Quality","title-short":"Digital Formats","volume":"2005","author":[{"family":"Arms","given":"Caroline"},{"family":"Fleischhauer","given":"Carl"}],"issued":{"date-parts":[["2005",1,1]]}}}],"schema":"https://github.com/citation-style-language/schema/raw/master/csl-citation.json"} </w:instrText>
      </w:r>
      <w:r w:rsidR="00D54644" w:rsidRPr="00A32158">
        <w:fldChar w:fldCharType="separate"/>
      </w:r>
      <w:r w:rsidR="002C5539" w:rsidRPr="002C5539">
        <w:t>[18]</w:t>
      </w:r>
      <w:r w:rsidR="00D54644" w:rsidRPr="00A32158">
        <w:fldChar w:fldCharType="end"/>
      </w:r>
      <w:r w:rsidR="00D54644" w:rsidRPr="00A32158">
        <w:t xml:space="preserve">. Close collaboration with editorial offices helps with communicating these as best practices to authors. Additionally, the introduction of validation and a documentation of publication versions might also offer opportunities: The benefit of pre-archive validation is detailed in the ZBW Use Case (see chapter </w:t>
      </w:r>
      <w:r w:rsidR="00A55509">
        <w:t>IV. B</w:t>
      </w:r>
      <w:r w:rsidR="00D54644" w:rsidRPr="00A32158">
        <w:t xml:space="preserve">). Versioning of identifiers in metadata when new versions of a publication are generated allows for automated or </w:t>
      </w:r>
      <w:r w:rsidR="00D54644" w:rsidRPr="00A32158">
        <w:t>partly automated update workflows connecting platform and archive. This, in turn, should reduce efforts of communicating updates between staff of different departments while also decreasing risks of human error.</w:t>
      </w:r>
    </w:p>
    <w:p w14:paraId="472E95F3" w14:textId="446A5720" w:rsidR="00D54644" w:rsidRPr="00A32158" w:rsidRDefault="00D54644" w:rsidP="00D54644">
      <w:pPr>
        <w:pStyle w:val="Listenabsatz"/>
        <w:ind w:left="0" w:firstLine="0"/>
      </w:pPr>
      <w:r w:rsidRPr="00A32158">
        <w:t>Going beyond the purely technical level, markup languages can</w:t>
      </w:r>
      <w:r w:rsidR="000D5D29" w:rsidRPr="000D5D29">
        <w:t xml:space="preserve"> </w:t>
      </w:r>
      <w:r w:rsidR="000D5D29" w:rsidRPr="00A32158">
        <w:t>also</w:t>
      </w:r>
      <w:r w:rsidRPr="00A32158">
        <w:t xml:space="preserve"> serve as metadata standards as part of the object itself. As text publications are not necessarily restricted to the PDF format but become increasingly reusable for machines when published as XML, selecting subject-specific markup languages according to preservation best practices becomes relevant as well. Examples of well-known subject-specific markup languages are bioschemas </w:t>
      </w:r>
      <w:r w:rsidRPr="00A32158">
        <w:fldChar w:fldCharType="begin"/>
      </w:r>
      <w:r w:rsidR="002C5539">
        <w:instrText xml:space="preserve"> ADDIN ZOTERO_ITEM CSL_CITATION {"citationID":"kKRdsfuS","properties":{"formattedCitation":"[19]","plainCitation":"[19]","noteIndex":0},"citationItems":[{"id":1406,"uris":["http://zotero.org/groups/4544678/items/APTBKHVM"],"uri":["http://zotero.org/groups/4544678/items/APTBKHVM"],"itemData":{"id":1406,"type":"paper-conference","event":"International Semantic Web Conference (Posters, Demos &amp; Industry Tracks)","title":"Bioschemas: from potato salad to protein annotation","author":[{"family":"Gray","given":"Alasdair JG"},{"family":"Goble","given":"Carole A"},{"family":"Jimenez","given":"Rafael"}],"issued":{"date-parts":[["2017"]]}}}],"schema":"https://github.com/citation-style-language/schema/raw/master/csl-citation.json"} </w:instrText>
      </w:r>
      <w:r w:rsidRPr="00A32158">
        <w:fldChar w:fldCharType="separate"/>
      </w:r>
      <w:r w:rsidR="002C5539" w:rsidRPr="002C5539">
        <w:t>[19]</w:t>
      </w:r>
      <w:r w:rsidRPr="00A32158">
        <w:fldChar w:fldCharType="end"/>
      </w:r>
      <w:r w:rsidRPr="00A32158">
        <w:t xml:space="preserve"> or MathML </w:t>
      </w:r>
      <w:r w:rsidRPr="00A32158">
        <w:fldChar w:fldCharType="begin"/>
      </w:r>
      <w:r w:rsidR="002C5539">
        <w:instrText xml:space="preserve"> ADDIN ZOTERO_ITEM CSL_CITATION {"citationID":"YkMOmshj","properties":{"formattedCitation":"[20]","plainCitation":"[20]","noteIndex":0},"citationItems":[{"id":1407,"uris":["http://zotero.org/groups/4544678/items/VZ3TF8SU"],"uri":["http://zotero.org/groups/4544678/items/VZ3TF8SU"],"itemData":{"id":1407,"type":"article-journal","container-title":"Notices of the AMS","issue":"5","journalAbbreviation":"Notices of the AMS","page":"532-538","title":"The importance of MathML to mathematics communication","volume":"52","author":[{"family":"Miner","given":"Robert"}],"issued":{"date-parts":[["2005"]]}}}],"schema":"https://github.com/citation-style-language/schema/raw/master/csl-citation.json"} </w:instrText>
      </w:r>
      <w:r w:rsidRPr="00A32158">
        <w:fldChar w:fldCharType="separate"/>
      </w:r>
      <w:r w:rsidR="002C5539" w:rsidRPr="002C5539">
        <w:t>[20]</w:t>
      </w:r>
      <w:r w:rsidRPr="00A32158">
        <w:fldChar w:fldCharType="end"/>
      </w:r>
      <w:r w:rsidRPr="00A32158">
        <w:t xml:space="preserve">. Recommending these standards for publications with preservation best practices in mind while also consulting the scientific community can evolve into a new task for subject-specific archives. In case of machine readability of molecular structures of chemical compounds, ZB MED researched open, well-used and maintained markup languages. They consulted FAIRsharing </w:t>
      </w:r>
      <w:r w:rsidRPr="00A32158">
        <w:fldChar w:fldCharType="begin"/>
      </w:r>
      <w:r w:rsidR="002C5539">
        <w:instrText xml:space="preserve"> ADDIN ZOTERO_ITEM CSL_CITATION {"citationID":"99MZHSqF","properties":{"formattedCitation":"[21]","plainCitation":"[21]","noteIndex":0},"citationItems":[{"id":1408,"uris":["http://zotero.org/groups/4544678/items/TZUNJ9Q2"],"uri":["http://zotero.org/groups/4544678/items/TZUNJ9Q2"],"itemData":{"id":1408,"type":"article-journal","container-title":"Nature Biotechnology","DOI":"10.1038/s41587-019-0080-8","ISSN":"1546-1696","issue":"4","journalAbbreviation":"Nat Biotechnol","language":"en","note":"number: 4\npublisher: Nature Publishing Group","page":"358-367","source":"www.nature.com","title":"FAIRsharing as a community approach to standards, repositories and policies","volume":"37","author":[{"family":"Sansone","given":"Susanna-Assunta"},{"family":"McQuilton","given":"Peter"},{"family":"Rocca-Serra","given":"Philippe"},{"family":"Gonzalez-Beltran","given":"Alejandra"},{"family":"Izzo","given":"Massimiliano"},{"family":"Lister","given":"Allyson L."},{"family":"Thurston","given":"Milo"}],"issued":{"date-parts":[["2019",4]]}}}],"schema":"https://github.com/citation-style-language/schema/raw/master/csl-citation.json"} </w:instrText>
      </w:r>
      <w:r w:rsidRPr="00A32158">
        <w:fldChar w:fldCharType="separate"/>
      </w:r>
      <w:r w:rsidR="002C5539" w:rsidRPr="002C5539">
        <w:t>[21]</w:t>
      </w:r>
      <w:r w:rsidRPr="00A32158">
        <w:fldChar w:fldCharType="end"/>
      </w:r>
      <w:r w:rsidRPr="00A32158">
        <w:t>, taking into account referenced maintainers, number of databases that use the standard and whether the standard is open. They investigated usage of the standard in popular software used in the research community, for which they referred to people with</w:t>
      </w:r>
      <w:r w:rsidR="00456531">
        <w:t xml:space="preserve"> a background in</w:t>
      </w:r>
      <w:r w:rsidR="001C5D69">
        <w:t xml:space="preserve"> </w:t>
      </w:r>
      <w:r w:rsidR="005F4F7B">
        <w:t xml:space="preserve">chemistry and related </w:t>
      </w:r>
      <w:r w:rsidR="001C5D69">
        <w:t>field</w:t>
      </w:r>
      <w:r w:rsidR="00456531">
        <w:t>s</w:t>
      </w:r>
      <w:r w:rsidRPr="00A32158">
        <w:t xml:space="preserve">. A preliminary selection resulted in openSMILES </w:t>
      </w:r>
      <w:r w:rsidRPr="00A32158">
        <w:fldChar w:fldCharType="begin"/>
      </w:r>
      <w:r w:rsidR="002C5539">
        <w:instrText xml:space="preserve"> ADDIN ZOTERO_ITEM CSL_CITATION {"citationID":"jCeNPobN","properties":{"formattedCitation":"[22]","plainCitation":"[22]","noteIndex":0},"citationItems":[{"id":1424,"uris":["http://zotero.org/groups/4544678/items/DAJEELMW"],"uri":["http://zotero.org/groups/4544678/items/DAJEELMW"],"itemData":{"id":1424,"type":"webpage","title":"Simplified Molecular Input Line Entry Specification Format (SMILES)","URL":"https://doi.org/10.25504/FAIRsharing.qv4b3c"}}],"schema":"https://github.com/citation-style-language/schema/raw/master/csl-citation.json"} </w:instrText>
      </w:r>
      <w:r w:rsidRPr="00A32158">
        <w:fldChar w:fldCharType="separate"/>
      </w:r>
      <w:r w:rsidR="002C5539" w:rsidRPr="002C5539">
        <w:t>[22]</w:t>
      </w:r>
      <w:r w:rsidRPr="00A32158">
        <w:fldChar w:fldCharType="end"/>
      </w:r>
      <w:r w:rsidRPr="00A32158">
        <w:t xml:space="preserve"> as the preferred standard.</w:t>
      </w:r>
    </w:p>
    <w:p w14:paraId="613B742D" w14:textId="30859500" w:rsidR="00D54644" w:rsidRPr="00A32158" w:rsidRDefault="00D54644" w:rsidP="00D54644">
      <w:pPr>
        <w:pStyle w:val="Listenabsatz"/>
        <w:ind w:left="0" w:firstLine="0"/>
      </w:pPr>
      <w:r w:rsidRPr="00A32158">
        <w:t xml:space="preserve">In general, integrating the above-mentioned recommendations into object creation processes is expected to </w:t>
      </w:r>
      <w:r w:rsidR="005F4F7B">
        <w:t>reduce</w:t>
      </w:r>
      <w:r w:rsidR="005F4F7B" w:rsidRPr="00A32158">
        <w:t xml:space="preserve"> </w:t>
      </w:r>
      <w:r w:rsidRPr="00A32158">
        <w:t xml:space="preserve">total curation efforts as </w:t>
      </w:r>
      <w:r w:rsidR="00CB65D5">
        <w:t xml:space="preserve">an </w:t>
      </w:r>
      <w:r w:rsidRPr="00A32158">
        <w:t>automat</w:t>
      </w:r>
      <w:r w:rsidR="00CB65D5">
        <w:t>ed</w:t>
      </w:r>
      <w:r w:rsidRPr="00A32158">
        <w:t xml:space="preserve"> object transfer is enhanced</w:t>
      </w:r>
      <w:r w:rsidR="005F4F7B">
        <w:t xml:space="preserve"> and likelihood for later handling is decreased</w:t>
      </w:r>
      <w:r w:rsidRPr="00A32158">
        <w:t xml:space="preserve">. For further work, ZB MED attempts the implementation of the mentioned suggestions as far as technically possible. </w:t>
      </w:r>
    </w:p>
    <w:p w14:paraId="4653D0FE" w14:textId="0F3827FB" w:rsidR="00D54644" w:rsidRPr="00A32158" w:rsidRDefault="00D54644" w:rsidP="00D54644">
      <w:pPr>
        <w:pStyle w:val="berschrift2"/>
        <w:numPr>
          <w:ilvl w:val="1"/>
          <w:numId w:val="3"/>
        </w:numPr>
        <w:rPr>
          <w:rFonts w:cs="Open Sans"/>
        </w:rPr>
      </w:pPr>
      <w:r w:rsidRPr="00A32158">
        <w:rPr>
          <w:rFonts w:cs="Open Sans"/>
        </w:rPr>
        <w:t>ZBW Use Case</w:t>
      </w:r>
    </w:p>
    <w:p w14:paraId="15475335" w14:textId="74CBB93B" w:rsidR="00D54644" w:rsidRPr="00A32158" w:rsidRDefault="00D54644" w:rsidP="00346394">
      <w:pPr>
        <w:ind w:firstLine="0"/>
      </w:pPr>
      <w:r w:rsidRPr="00A32158">
        <w:t xml:space="preserve">The ZBW </w:t>
      </w:r>
      <w:r w:rsidR="000D5D29">
        <w:t xml:space="preserve">– </w:t>
      </w:r>
      <w:r w:rsidRPr="00A32158">
        <w:t xml:space="preserve">Leibniz Information Centre for Economics provides digital documents like </w:t>
      </w:r>
      <w:r w:rsidR="00346394">
        <w:t>articles</w:t>
      </w:r>
      <w:r w:rsidRPr="00A32158">
        <w:t xml:space="preserve"> and research papers on its many presentation platforms like EconStor </w:t>
      </w:r>
      <w:r w:rsidRPr="00A32158">
        <w:fldChar w:fldCharType="begin"/>
      </w:r>
      <w:r w:rsidR="002C5539">
        <w:instrText xml:space="preserve"> ADDIN ZOTERO_ITEM CSL_CITATION {"citationID":"SjzP04B6","properties":{"formattedCitation":"[23]","plainCitation":"[23]","noteIndex":0},"citationItems":[{"id":1388,"uris":["http://zotero.org/groups/4544678/items/JMHE22X7"],"uri":["http://zotero.org/groups/4544678/items/JMHE22X7"],"itemData":{"id":1388,"type":"webpage","language":"english, german","title":"EconStor","URL":"https://www.econstor.eu/","author":[{"family":"ZBW","given":""}],"accessed":{"date-parts":[["2022",2,14]]}}}],"schema":"https://github.com/citation-style-language/schema/raw/master/csl-citation.json"} </w:instrText>
      </w:r>
      <w:r w:rsidRPr="00A32158">
        <w:fldChar w:fldCharType="separate"/>
      </w:r>
      <w:r w:rsidR="002C5539" w:rsidRPr="002C5539">
        <w:t>[23]</w:t>
      </w:r>
      <w:r w:rsidRPr="00A32158">
        <w:fldChar w:fldCharType="end"/>
      </w:r>
      <w:r w:rsidRPr="00A32158">
        <w:t xml:space="preserve"> or other instances </w:t>
      </w:r>
      <w:r w:rsidR="000D5D29">
        <w:t xml:space="preserve">which are </w:t>
      </w:r>
      <w:r w:rsidRPr="00A32158">
        <w:t xml:space="preserve">all available via EconBiz </w:t>
      </w:r>
      <w:r w:rsidRPr="00A32158">
        <w:fldChar w:fldCharType="begin"/>
      </w:r>
      <w:r w:rsidR="002C5539">
        <w:instrText xml:space="preserve"> ADDIN ZOTERO_ITEM CSL_CITATION {"citationID":"zpqfMw8q","properties":{"formattedCitation":"[24]","plainCitation":"[24]","noteIndex":0},"citationItems":[{"id":1389,"uris":["http://zotero.org/groups/4544678/items/MFK8JJSN"],"uri":["http://zotero.org/groups/4544678/items/MFK8JJSN"],"itemData":{"id":1389,"type":"webpage","language":"English, German","title":"EconBiz","URL":"https://www.econbiz.de/","author":[{"family":"ZBW","given":""}],"accessed":{"date-parts":[["2022",2,14]]}}}],"schema":"https://github.com/citation-style-language/schema/raw/master/csl-citation.json"} </w:instrText>
      </w:r>
      <w:r w:rsidRPr="00A32158">
        <w:fldChar w:fldCharType="separate"/>
      </w:r>
      <w:r w:rsidR="002C5539" w:rsidRPr="002C5539">
        <w:t>[24]</w:t>
      </w:r>
      <w:r w:rsidRPr="00A32158">
        <w:fldChar w:fldCharType="end"/>
      </w:r>
      <w:r w:rsidRPr="00A32158">
        <w:t>.</w:t>
      </w:r>
    </w:p>
    <w:p w14:paraId="6C4FC7D5" w14:textId="76BB20CB" w:rsidR="00D54644" w:rsidRPr="00A32158" w:rsidRDefault="00D54644" w:rsidP="001850B6">
      <w:pPr>
        <w:ind w:firstLine="0"/>
      </w:pPr>
      <w:r w:rsidRPr="00A32158">
        <w:t>The ZBW established Digital Preservation in 2015 to ensure long-term</w:t>
      </w:r>
      <w:r w:rsidR="000D5D29">
        <w:t xml:space="preserve"> </w:t>
      </w:r>
      <w:r w:rsidRPr="00A32158">
        <w:t xml:space="preserve">availability for their hosted content. The Digital Preservation Archive is a dark archive, based on the System Rosetta developed by Ex Libris </w:t>
      </w:r>
      <w:r w:rsidRPr="00A32158">
        <w:fldChar w:fldCharType="begin"/>
      </w:r>
      <w:r w:rsidR="002C5539">
        <w:instrText xml:space="preserve"> ADDIN ZOTERO_ITEM CSL_CITATION {"citationID":"YFHna26J","properties":{"formattedCitation":"[25]","plainCitation":"[25]","noteIndex":0},"citationItems":[{"id":1390,"uris":["http://zotero.org/groups/4544678/items/BCNX8NKQ"],"uri":["http://zotero.org/groups/4544678/items/BCNX8NKQ"],"itemData":{"id":1390,"type":"webpage","language":"English","title":"Rosetta","URL":"https://exlibrisgroup.com/products/rosetta-digital-asset-management-and-preservation/","author":[{"family":"Ex Libris","given":""}],"accessed":{"date-parts":[["2022",2,14]]}}}],"schema":"https://github.com/citation-style-language/schema/raw/master/csl-citation.json"} </w:instrText>
      </w:r>
      <w:r w:rsidRPr="00A32158">
        <w:fldChar w:fldCharType="separate"/>
      </w:r>
      <w:r w:rsidR="002C5539" w:rsidRPr="002C5539">
        <w:t>[25]</w:t>
      </w:r>
      <w:r w:rsidRPr="00A32158">
        <w:fldChar w:fldCharType="end"/>
      </w:r>
      <w:r w:rsidR="000D5D29">
        <w:t>.</w:t>
      </w:r>
      <w:r w:rsidRPr="00A32158">
        <w:t xml:space="preserve"> </w:t>
      </w:r>
      <w:r w:rsidR="000D5D29">
        <w:t>A</w:t>
      </w:r>
      <w:r w:rsidRPr="00A32158">
        <w:t xml:space="preserve">ll the content is presented to the users by other representation platforms, mostly based on DSpace </w:t>
      </w:r>
      <w:r w:rsidRPr="00A32158">
        <w:fldChar w:fldCharType="begin"/>
      </w:r>
      <w:r w:rsidR="002C5539">
        <w:instrText xml:space="preserve"> ADDIN ZOTERO_ITEM CSL_CITATION {"citationID":"WVaJSA78","properties":{"formattedCitation":"[26]","plainCitation":"[26]","noteIndex":0},"citationItems":[{"id":1391,"uris":["http://zotero.org/groups/4544678/items/SJEDE5F6"],"uri":["http://zotero.org/groups/4544678/items/SJEDE5F6"],"itemData":{"id":1391,"type":"webpage","language":"English","title":"DSpace","URL":"https://www.dspace.com/en/pub/home.cfm","author":[{"family":"dSPACE","given":""}],"accessed":{"date-parts":[["2022",2,14]]}}}],"schema":"https://github.com/citation-style-language/schema/raw/master/csl-citation.json"} </w:instrText>
      </w:r>
      <w:r w:rsidRPr="00A32158">
        <w:fldChar w:fldCharType="separate"/>
      </w:r>
      <w:r w:rsidR="002C5539" w:rsidRPr="002C5539">
        <w:t>[26]</w:t>
      </w:r>
      <w:r w:rsidRPr="00A32158">
        <w:fldChar w:fldCharType="end"/>
      </w:r>
      <w:r w:rsidRPr="00A32158">
        <w:t>.</w:t>
      </w:r>
    </w:p>
    <w:p w14:paraId="4BB21D54" w14:textId="791FDB52" w:rsidR="00D54644" w:rsidRPr="00A32158" w:rsidRDefault="00D54644" w:rsidP="001850B6">
      <w:pPr>
        <w:ind w:firstLine="0"/>
        <w:rPr>
          <w:color w:val="000000"/>
          <w:shd w:val="clear" w:color="auto" w:fill="FFFFFF"/>
        </w:rPr>
      </w:pPr>
      <w:r w:rsidRPr="00A32158">
        <w:t xml:space="preserve">However, </w:t>
      </w:r>
      <w:r w:rsidRPr="00A32158">
        <w:rPr>
          <w:color w:val="000000"/>
          <w:shd w:val="clear" w:color="auto" w:fill="FFFFFF"/>
        </w:rPr>
        <w:t xml:space="preserve">Digital Preservation is the last step in the object processing pipeline, just </w:t>
      </w:r>
      <w:r w:rsidR="000D5D29">
        <w:rPr>
          <w:color w:val="000000"/>
          <w:shd w:val="clear" w:color="auto" w:fill="FFFFFF"/>
        </w:rPr>
        <w:t>as</w:t>
      </w:r>
      <w:r w:rsidR="000D5D29" w:rsidRPr="00A32158">
        <w:rPr>
          <w:color w:val="000000"/>
          <w:shd w:val="clear" w:color="auto" w:fill="FFFFFF"/>
        </w:rPr>
        <w:t xml:space="preserve"> </w:t>
      </w:r>
      <w:r w:rsidRPr="00A32158">
        <w:rPr>
          <w:color w:val="000000"/>
          <w:shd w:val="clear" w:color="auto" w:fill="FFFFFF"/>
        </w:rPr>
        <w:t xml:space="preserve">it is at ZB MED (see chapter </w:t>
      </w:r>
      <w:r w:rsidR="00A55509">
        <w:rPr>
          <w:color w:val="000000"/>
          <w:shd w:val="clear" w:color="auto" w:fill="FFFFFF"/>
        </w:rPr>
        <w:t>IV. A</w:t>
      </w:r>
      <w:r w:rsidRPr="00A32158">
        <w:rPr>
          <w:color w:val="000000"/>
          <w:shd w:val="clear" w:color="auto" w:fill="FFFFFF"/>
        </w:rPr>
        <w:t xml:space="preserve">). For most workflows that </w:t>
      </w:r>
      <w:r w:rsidR="000D5D29">
        <w:rPr>
          <w:color w:val="000000"/>
          <w:shd w:val="clear" w:color="auto" w:fill="FFFFFF"/>
        </w:rPr>
        <w:t>presents</w:t>
      </w:r>
      <w:r w:rsidR="000D5D29" w:rsidRPr="00A32158">
        <w:rPr>
          <w:color w:val="000000"/>
          <w:shd w:val="clear" w:color="auto" w:fill="FFFFFF"/>
        </w:rPr>
        <w:t xml:space="preserve"> </w:t>
      </w:r>
      <w:r w:rsidRPr="00A32158">
        <w:rPr>
          <w:color w:val="000000"/>
          <w:shd w:val="clear" w:color="auto" w:fill="FFFFFF"/>
        </w:rPr>
        <w:t>no problem, as the material on the DSpace platform is published immediately after acquisition and the ingest is done the night after.</w:t>
      </w:r>
    </w:p>
    <w:p w14:paraId="0B1C0F89" w14:textId="658032E7" w:rsidR="00D54644" w:rsidRPr="00A32158" w:rsidRDefault="00D54644" w:rsidP="001850B6">
      <w:pPr>
        <w:pStyle w:val="Kommentartext"/>
        <w:ind w:firstLine="0"/>
      </w:pPr>
      <w:r w:rsidRPr="00A32158">
        <w:t xml:space="preserve">For objects acquired </w:t>
      </w:r>
      <w:r w:rsidR="00346394">
        <w:t>under</w:t>
      </w:r>
      <w:r w:rsidRPr="00A32158">
        <w:t xml:space="preserve"> National and Alliance Licences, though, the hosting on ZBW servers and therefore the ingest to the Rosetta archive is done </w:t>
      </w:r>
      <w:r w:rsidRPr="00A32158">
        <w:lastRenderedPageBreak/>
        <w:t>months or even years after the acquisition of the material.</w:t>
      </w:r>
    </w:p>
    <w:p w14:paraId="4E8CC373" w14:textId="05969082" w:rsidR="00D54644" w:rsidRPr="00A32158" w:rsidRDefault="00D54644" w:rsidP="001850B6">
      <w:pPr>
        <w:ind w:firstLine="0"/>
      </w:pPr>
      <w:r w:rsidRPr="00A32158">
        <w:t xml:space="preserve">After such a long time, the data providers (usually publishers like Emerald, De Gruyter and Elsevier) have long since moved </w:t>
      </w:r>
      <w:r w:rsidR="002E2270">
        <w:t xml:space="preserve">on </w:t>
      </w:r>
      <w:r w:rsidRPr="00A32158">
        <w:t xml:space="preserve">to other projects, so that it is time-consuming and sometimes impossible to get a replacement if parts of the data are missing or corrupted. </w:t>
      </w:r>
    </w:p>
    <w:p w14:paraId="0932F3F7" w14:textId="5AF7127D" w:rsidR="00D54644" w:rsidRPr="00A32158" w:rsidRDefault="00D54644" w:rsidP="001850B6">
      <w:pPr>
        <w:ind w:firstLine="0"/>
      </w:pPr>
      <w:r w:rsidRPr="00A32158">
        <w:t xml:space="preserve">Therefore, the ZBW staff responsible for the acquisition has established an automated preliminary data check workflow pre-archive. The publishers deliver the data, in most cases a large amount of PDF files, in Zip folders. </w:t>
      </w:r>
    </w:p>
    <w:p w14:paraId="02C5EE67" w14:textId="77777777" w:rsidR="00D54644" w:rsidRPr="00A32158" w:rsidRDefault="00D54644" w:rsidP="001850B6">
      <w:pPr>
        <w:ind w:firstLine="0"/>
      </w:pPr>
      <w:r w:rsidRPr="00A32158">
        <w:t>During the past years, the pre-archive workflow included:</w:t>
      </w:r>
    </w:p>
    <w:p w14:paraId="7E578436" w14:textId="6E6F9A62" w:rsidR="00D54644" w:rsidRPr="00A32158" w:rsidRDefault="00D54644" w:rsidP="001850B6">
      <w:pPr>
        <w:pStyle w:val="Listenabsatz"/>
        <w:numPr>
          <w:ilvl w:val="0"/>
          <w:numId w:val="10"/>
        </w:numPr>
        <w:spacing w:after="160" w:line="259" w:lineRule="auto"/>
        <w:jc w:val="left"/>
      </w:pPr>
      <w:r w:rsidRPr="00A32158">
        <w:t>Unpack</w:t>
      </w:r>
      <w:r w:rsidR="00C25D02">
        <w:t>ing</w:t>
      </w:r>
      <w:r w:rsidRPr="00A32158">
        <w:t xml:space="preserve"> the zipped files</w:t>
      </w:r>
    </w:p>
    <w:p w14:paraId="7E77FE8E" w14:textId="77777777" w:rsidR="00D54644" w:rsidRPr="00A32158" w:rsidRDefault="00D54644" w:rsidP="001850B6">
      <w:pPr>
        <w:pStyle w:val="Listenabsatz"/>
        <w:numPr>
          <w:ilvl w:val="0"/>
          <w:numId w:val="10"/>
        </w:numPr>
        <w:spacing w:after="160" w:line="259" w:lineRule="auto"/>
        <w:jc w:val="left"/>
      </w:pPr>
      <w:r w:rsidRPr="00A32158">
        <w:t>Integrity check (via checksums)</w:t>
      </w:r>
    </w:p>
    <w:p w14:paraId="5C6D96EE" w14:textId="77777777" w:rsidR="00D54644" w:rsidRPr="00A32158" w:rsidRDefault="00D54644" w:rsidP="001850B6">
      <w:pPr>
        <w:pStyle w:val="Listenabsatz"/>
        <w:numPr>
          <w:ilvl w:val="0"/>
          <w:numId w:val="10"/>
        </w:numPr>
        <w:spacing w:after="160" w:line="259" w:lineRule="auto"/>
        <w:jc w:val="left"/>
      </w:pPr>
      <w:r w:rsidRPr="00A32158">
        <w:t>Completeness check</w:t>
      </w:r>
    </w:p>
    <w:p w14:paraId="73440059" w14:textId="77777777" w:rsidR="00D54644" w:rsidRPr="00A32158" w:rsidRDefault="00D54644" w:rsidP="001850B6">
      <w:pPr>
        <w:pStyle w:val="Kommentartext"/>
        <w:ind w:firstLine="0"/>
      </w:pPr>
      <w:r w:rsidRPr="00A32158">
        <w:t>Newly implemented into the pre-archive workflow are:</w:t>
      </w:r>
    </w:p>
    <w:p w14:paraId="38D44050" w14:textId="37DEDA28" w:rsidR="001850B6" w:rsidRPr="00A32158" w:rsidRDefault="00D54644" w:rsidP="001850B6">
      <w:pPr>
        <w:pStyle w:val="Kommentartext"/>
        <w:numPr>
          <w:ilvl w:val="0"/>
          <w:numId w:val="13"/>
        </w:numPr>
        <w:spacing w:after="160"/>
        <w:jc w:val="left"/>
      </w:pPr>
      <w:r w:rsidRPr="00A32158">
        <w:t>Check</w:t>
      </w:r>
      <w:r w:rsidR="00C25D02">
        <w:t>ing</w:t>
      </w:r>
      <w:r w:rsidRPr="00A32158">
        <w:t xml:space="preserve"> for password protection (which would impede data migration)</w:t>
      </w:r>
    </w:p>
    <w:p w14:paraId="1139732D" w14:textId="0E1116F0" w:rsidR="00D54644" w:rsidRPr="00A32158" w:rsidRDefault="00D54644" w:rsidP="001850B6">
      <w:pPr>
        <w:pStyle w:val="Kommentartext"/>
        <w:numPr>
          <w:ilvl w:val="0"/>
          <w:numId w:val="13"/>
        </w:numPr>
        <w:spacing w:after="160"/>
        <w:jc w:val="left"/>
      </w:pPr>
      <w:r w:rsidRPr="00A32158">
        <w:t>Run</w:t>
      </w:r>
      <w:r w:rsidR="00C25D02">
        <w:t>ning</w:t>
      </w:r>
      <w:r w:rsidRPr="00A32158">
        <w:t xml:space="preserve"> the PDF files through tools to check for errors</w:t>
      </w:r>
    </w:p>
    <w:p w14:paraId="640449D5" w14:textId="021C3A46" w:rsidR="00D54644" w:rsidRPr="00A32158" w:rsidRDefault="00D54644" w:rsidP="001850B6">
      <w:pPr>
        <w:ind w:firstLine="0"/>
      </w:pPr>
      <w:r w:rsidRPr="00A32158">
        <w:t xml:space="preserve">The tools used are Grep, PDFinfo and, mainly: ExifTool </w:t>
      </w:r>
      <w:r w:rsidRPr="00A32158">
        <w:fldChar w:fldCharType="begin"/>
      </w:r>
      <w:r w:rsidR="002C5539">
        <w:instrText xml:space="preserve"> ADDIN ZOTERO_ITEM CSL_CITATION {"citationID":"a486MaE5","properties":{"formattedCitation":"[27]","plainCitation":"[27]","noteIndex":0},"citationItems":[{"id":1392,"uris":["http://zotero.org/groups/4544678/items/84ZRNFJM"],"uri":["http://zotero.org/groups/4544678/items/84ZRNFJM"],"itemData":{"id":1392,"type":"webpage","language":"English","title":"ExifTool","URL":"https://exiftool.org/","author":[{"family":"Harvey, Phil","given":""}],"accessed":{"date-parts":[["2022",2,14]]}}}],"schema":"https://github.com/citation-style-language/schema/raw/master/csl-citation.json"} </w:instrText>
      </w:r>
      <w:r w:rsidRPr="00A32158">
        <w:fldChar w:fldCharType="separate"/>
      </w:r>
      <w:r w:rsidR="002C5539" w:rsidRPr="002C5539">
        <w:t>[27]</w:t>
      </w:r>
      <w:r w:rsidRPr="00A32158">
        <w:fldChar w:fldCharType="end"/>
      </w:r>
      <w:r w:rsidRPr="00A32158">
        <w:t xml:space="preserve">. The workflow in detail, the implementation of the workflow, the staff time used for daily work and the handling of different ExifTools error messages </w:t>
      </w:r>
      <w:r w:rsidR="00C25D02">
        <w:t>are</w:t>
      </w:r>
      <w:r w:rsidRPr="00A32158">
        <w:t xml:space="preserve"> described in detail in an OPF blog</w:t>
      </w:r>
      <w:r w:rsidR="007B5981">
        <w:t xml:space="preserve"> </w:t>
      </w:r>
      <w:r w:rsidRPr="00A32158">
        <w:t xml:space="preserve">post published in February 2022 </w:t>
      </w:r>
      <w:r w:rsidRPr="00A32158">
        <w:fldChar w:fldCharType="begin"/>
      </w:r>
      <w:r w:rsidR="002C5539">
        <w:instrText xml:space="preserve"> ADDIN ZOTERO_ITEM CSL_CITATION {"citationID":"GM0Kgkb3","properties":{"formattedCitation":"[28]","plainCitation":"[28]","noteIndex":0},"citationItems":[{"id":1393,"uris":["http://zotero.org/groups/4544678/items/KHVKEQGB"],"uri":["http://zotero.org/groups/4544678/items/KHVKEQGB"],"itemData":{"id":1393,"type":"post-weblog","container-title":"Open Preservation Foundation Blogs","language":"English","title":"Validation with ExifTool: Quick and not so dirty","URL":"https://openpreservation.org/blogs/pdf-validation-with-exiftool-quick-and-not-so-dirty/?q=1","author":[{"family":"Tunnat, Yvonne","given":""}],"accessed":{"date-parts":[["2022",2,14]]},"issued":{"date-parts":[["2011",2,4]]}}}],"schema":"https://github.com/citation-style-language/schema/raw/master/csl-citation.json"} </w:instrText>
      </w:r>
      <w:r w:rsidRPr="00A32158">
        <w:fldChar w:fldCharType="separate"/>
      </w:r>
      <w:r w:rsidR="002C5539" w:rsidRPr="002C5539">
        <w:t>[28]</w:t>
      </w:r>
      <w:r w:rsidRPr="00A32158">
        <w:fldChar w:fldCharType="end"/>
      </w:r>
      <w:r w:rsidRPr="00A32158">
        <w:t>.</w:t>
      </w:r>
    </w:p>
    <w:p w14:paraId="13914AF8" w14:textId="4B85D14C" w:rsidR="00D54644" w:rsidRPr="00A32158" w:rsidRDefault="00D54644" w:rsidP="001850B6">
      <w:pPr>
        <w:ind w:firstLine="0"/>
      </w:pPr>
      <w:r w:rsidRPr="00A32158">
        <w:t>Tests have shown that certain error messages hint at the PDFs not being archivable, sometimes not even accessible for the users. For those, the ZBW acquisition department can ask for a replacement directly after acquisition. As many PDF files are password-protected, the ZBW rights department and the data providers have agreed to delete the password-protection. To accomplish this</w:t>
      </w:r>
      <w:r w:rsidR="002E2270">
        <w:t>,</w:t>
      </w:r>
      <w:r w:rsidRPr="00A32158">
        <w:t xml:space="preserve"> the ZBW acquisition department has set up another automat</w:t>
      </w:r>
      <w:r w:rsidR="00CB65D5">
        <w:t>ed</w:t>
      </w:r>
      <w:r w:rsidRPr="00A32158">
        <w:t xml:space="preserve"> workflow.</w:t>
      </w:r>
    </w:p>
    <w:p w14:paraId="47F5D6B9" w14:textId="77777777" w:rsidR="00D54644" w:rsidRPr="00A32158" w:rsidRDefault="00D54644" w:rsidP="001850B6">
      <w:pPr>
        <w:ind w:firstLine="0"/>
      </w:pPr>
      <w:r w:rsidRPr="00A32158">
        <w:rPr>
          <w:lang w:val="en-GB"/>
        </w:rPr>
        <w:t>As only open source tools are used, the invested resources are calculated as curation effort, specifically as staff time of the involved departments acquisition and archive.</w:t>
      </w:r>
      <w:r w:rsidRPr="00A32158">
        <w:t>This includes:</w:t>
      </w:r>
    </w:p>
    <w:p w14:paraId="3D3B4DC0" w14:textId="77777777" w:rsidR="00D54644" w:rsidRPr="00A32158" w:rsidRDefault="00D54644" w:rsidP="00D54644">
      <w:pPr>
        <w:pStyle w:val="Listenabsatz"/>
        <w:numPr>
          <w:ilvl w:val="0"/>
          <w:numId w:val="8"/>
        </w:numPr>
        <w:spacing w:after="160" w:line="259" w:lineRule="auto"/>
        <w:jc w:val="left"/>
      </w:pPr>
      <w:r w:rsidRPr="00A32158">
        <w:t>copying the PDF files to the hotfolder where the tools conduct their actions</w:t>
      </w:r>
    </w:p>
    <w:p w14:paraId="272290B9" w14:textId="38334FD3" w:rsidR="00D54644" w:rsidRPr="00A32158" w:rsidRDefault="00456531" w:rsidP="00D54644">
      <w:pPr>
        <w:pStyle w:val="Listenabsatz"/>
        <w:numPr>
          <w:ilvl w:val="0"/>
          <w:numId w:val="8"/>
        </w:numPr>
        <w:spacing w:after="160" w:line="259" w:lineRule="auto"/>
        <w:jc w:val="left"/>
      </w:pPr>
      <w:r>
        <w:t xml:space="preserve">preliminary judgment of the </w:t>
      </w:r>
      <w:r w:rsidR="00D54644" w:rsidRPr="00A32158">
        <w:t>findings (especially if a new error occur</w:t>
      </w:r>
      <w:r w:rsidR="0061351E">
        <w:t>s</w:t>
      </w:r>
      <w:r w:rsidR="00D54644" w:rsidRPr="00A32158">
        <w:t>, which has not been evaluated yet)</w:t>
      </w:r>
    </w:p>
    <w:p w14:paraId="7416D81B" w14:textId="77777777" w:rsidR="00D54644" w:rsidRPr="00A32158" w:rsidRDefault="00D54644" w:rsidP="00D54644">
      <w:pPr>
        <w:pStyle w:val="Listenabsatz"/>
        <w:numPr>
          <w:ilvl w:val="0"/>
          <w:numId w:val="8"/>
        </w:numPr>
        <w:spacing w:after="160" w:line="259" w:lineRule="auto"/>
        <w:jc w:val="left"/>
      </w:pPr>
      <w:r w:rsidRPr="00A32158">
        <w:t>if a new error occurs, the ZBW archive department checks if the affected PDF files can be migrated to PDF/A-2b</w:t>
      </w:r>
    </w:p>
    <w:p w14:paraId="2B6D67EA" w14:textId="238A1DA2" w:rsidR="00D54644" w:rsidRPr="00A32158" w:rsidRDefault="00D54644" w:rsidP="00D54644">
      <w:pPr>
        <w:pStyle w:val="Listenabsatz"/>
        <w:numPr>
          <w:ilvl w:val="0"/>
          <w:numId w:val="8"/>
        </w:numPr>
        <w:spacing w:after="160" w:line="259" w:lineRule="auto"/>
        <w:jc w:val="left"/>
      </w:pPr>
      <w:r w:rsidRPr="00A32158">
        <w:t xml:space="preserve">if a new error occurs, the acquisition department performs a manual check </w:t>
      </w:r>
      <w:r w:rsidR="00346394">
        <w:t xml:space="preserve">to see </w:t>
      </w:r>
      <w:r w:rsidRPr="00A32158">
        <w:t xml:space="preserve">if the PDF is accessible. This is also done </w:t>
      </w:r>
      <w:r w:rsidR="007B5981">
        <w:t>for</w:t>
      </w:r>
      <w:r w:rsidR="007B5981" w:rsidRPr="00A32158">
        <w:t xml:space="preserve"> </w:t>
      </w:r>
      <w:r w:rsidRPr="00A32158">
        <w:t>some errors</w:t>
      </w:r>
      <w:r w:rsidR="0061351E">
        <w:t>,</w:t>
      </w:r>
      <w:r w:rsidRPr="00A32158">
        <w:t xml:space="preserve"> </w:t>
      </w:r>
      <w:r w:rsidR="0061351E">
        <w:t>such as</w:t>
      </w:r>
      <w:r w:rsidR="0061351E" w:rsidRPr="00A32158">
        <w:t xml:space="preserve"> </w:t>
      </w:r>
      <w:r w:rsidRPr="00A32158">
        <w:t xml:space="preserve">“PDF header not at beginning </w:t>
      </w:r>
      <w:r w:rsidR="0061351E">
        <w:t>of</w:t>
      </w:r>
      <w:r w:rsidRPr="00A32158">
        <w:t xml:space="preserve"> the file”.</w:t>
      </w:r>
    </w:p>
    <w:p w14:paraId="1F384943" w14:textId="39CB721C" w:rsidR="00D54644" w:rsidRPr="00A32158" w:rsidRDefault="00D54644" w:rsidP="001850B6">
      <w:pPr>
        <w:ind w:firstLine="0"/>
      </w:pPr>
      <w:r w:rsidRPr="00A32158">
        <w:t xml:space="preserve">The curation effort for a bulk of 1,000 PDFs for the newly established workflow, in average, </w:t>
      </w:r>
      <w:r w:rsidR="0061351E">
        <w:t xml:space="preserve">requires </w:t>
      </w:r>
      <w:r w:rsidRPr="00A32158">
        <w:t>an hour of staff time. This include</w:t>
      </w:r>
      <w:r w:rsidR="0061351E">
        <w:t>s</w:t>
      </w:r>
      <w:r w:rsidRPr="00A32158">
        <w:t xml:space="preserve"> error-handling and asking for replacement when a PDF file is corrupted.</w:t>
      </w:r>
    </w:p>
    <w:p w14:paraId="4D5F4D3B" w14:textId="5273A69B" w:rsidR="00D54644" w:rsidRPr="00A32158" w:rsidRDefault="00D54644" w:rsidP="001850B6">
      <w:pPr>
        <w:ind w:firstLine="0"/>
      </w:pPr>
      <w:r w:rsidRPr="00A32158">
        <w:t xml:space="preserve">This workflow now </w:t>
      </w:r>
      <w:r w:rsidR="00346394">
        <w:t>takes up</w:t>
      </w:r>
      <w:r w:rsidRPr="00A32158">
        <w:t xml:space="preserve"> more time during acquisition due to additional actions that aim </w:t>
      </w:r>
      <w:r w:rsidR="0061351E">
        <w:t>for</w:t>
      </w:r>
      <w:r w:rsidR="0061351E" w:rsidRPr="00A32158">
        <w:t xml:space="preserve"> </w:t>
      </w:r>
      <w:r w:rsidRPr="00A32158">
        <w:t>better archivability.</w:t>
      </w:r>
    </w:p>
    <w:p w14:paraId="5C22AB9F" w14:textId="2F777D9C" w:rsidR="00D54644" w:rsidRPr="00A32158" w:rsidRDefault="00D54644" w:rsidP="001850B6">
      <w:pPr>
        <w:ind w:firstLine="0"/>
      </w:pPr>
      <w:r w:rsidRPr="00A32158">
        <w:t>The ingest into the archive, in comparison, is now fully automated and usually does not need extra staff time. Only if errors occur does the ZBW archiving department have to work on these and spend staff time. Nevertheless, the new WF is worth the extra time during acquisition, as corrupted data is detected early and can be replaced</w:t>
      </w:r>
      <w:r w:rsidR="0061351E">
        <w:t>,</w:t>
      </w:r>
      <w:r w:rsidRPr="00A32158">
        <w:t xml:space="preserve"> whereas it would be permanently lost to the archive or in general otherwise. No matter how good the digital curation workflows are: if the data is too corrupt</w:t>
      </w:r>
      <w:r w:rsidR="0061351E">
        <w:t>ed</w:t>
      </w:r>
      <w:r w:rsidRPr="00A32158">
        <w:t xml:space="preserve"> to be repaired or even lacking contents to begin with, there is nothing to be done about it at a later stage. Either the contact to the publisher has gone cold, so that the ZBW acquisition team </w:t>
      </w:r>
      <w:r w:rsidR="0061351E">
        <w:t>can</w:t>
      </w:r>
      <w:r w:rsidRPr="00A32158">
        <w:t xml:space="preserve">not get hold of the data provider and thus, the object anymore. Or the ZBW and the publisher negotiated that the contents can be hosted (and thus archived) when the data is no longer available from the publisher’s websites. In this case, if defective data is discovered </w:t>
      </w:r>
      <w:r w:rsidR="0061351E">
        <w:t xml:space="preserve">a </w:t>
      </w:r>
      <w:r w:rsidRPr="00A32158">
        <w:t>significant</w:t>
      </w:r>
      <w:r w:rsidR="0061351E">
        <w:t xml:space="preserve"> time</w:t>
      </w:r>
      <w:r w:rsidRPr="00A32158">
        <w:t xml:space="preserve"> after archiving and the publisher does not provide it anymore either, the content is lost for good.</w:t>
      </w:r>
    </w:p>
    <w:p w14:paraId="391ECEC6" w14:textId="161AA490" w:rsidR="00D54644" w:rsidRPr="00A32158" w:rsidRDefault="00D54644" w:rsidP="001850B6">
      <w:pPr>
        <w:ind w:firstLine="0"/>
      </w:pPr>
      <w:r w:rsidRPr="00A32158">
        <w:t xml:space="preserve">As a side effect: The data providers have so far been </w:t>
      </w:r>
      <w:r w:rsidR="0061351E">
        <w:t>grateful</w:t>
      </w:r>
      <w:r w:rsidR="0061351E" w:rsidRPr="00A32158">
        <w:t xml:space="preserve"> </w:t>
      </w:r>
      <w:r w:rsidRPr="00A32158">
        <w:t>for the information about corrupt files, as they also want to offer a high data quality on their platforms for their users.</w:t>
      </w:r>
    </w:p>
    <w:p w14:paraId="6DEF5DDD" w14:textId="1A5D3DB8" w:rsidR="00D54644" w:rsidRPr="00A32158" w:rsidRDefault="00D54644" w:rsidP="001850B6">
      <w:pPr>
        <w:ind w:firstLine="0"/>
      </w:pPr>
      <w:r w:rsidRPr="00A32158">
        <w:t>The ZBW staff established these workflows quite recently. In the future the</w:t>
      </w:r>
      <w:r w:rsidR="00456531">
        <w:t xml:space="preserve"> </w:t>
      </w:r>
      <w:r w:rsidR="00CB65D5">
        <w:t>acquisition department</w:t>
      </w:r>
      <w:r w:rsidRPr="00A32158">
        <w:t xml:space="preserve"> will evaluate the workflows regularly and, if necessary, extend or alter them. </w:t>
      </w:r>
    </w:p>
    <w:p w14:paraId="08520E20" w14:textId="00035184" w:rsidR="001850B6" w:rsidRPr="00A32158" w:rsidRDefault="001850B6" w:rsidP="001850B6">
      <w:pPr>
        <w:pStyle w:val="berschrift2"/>
        <w:numPr>
          <w:ilvl w:val="1"/>
          <w:numId w:val="3"/>
        </w:numPr>
        <w:rPr>
          <w:rFonts w:cs="Open Sans"/>
        </w:rPr>
      </w:pPr>
      <w:r w:rsidRPr="00A32158">
        <w:rPr>
          <w:rFonts w:cs="Open Sans"/>
        </w:rPr>
        <w:t>Tools</w:t>
      </w:r>
    </w:p>
    <w:p w14:paraId="391D4984" w14:textId="06158DF8" w:rsidR="001850B6" w:rsidRPr="00A32158" w:rsidRDefault="001850B6" w:rsidP="00346394">
      <w:pPr>
        <w:shd w:val="clear" w:color="auto" w:fill="FFFFFF"/>
        <w:spacing w:before="150"/>
        <w:ind w:firstLine="0"/>
        <w:rPr>
          <w:rFonts w:eastAsia="Times New Roman"/>
          <w:bCs/>
          <w:lang w:eastAsia="de-DE"/>
        </w:rPr>
      </w:pPr>
      <w:r w:rsidRPr="00A32158">
        <w:rPr>
          <w:rFonts w:eastAsia="Times New Roman"/>
          <w:bCs/>
          <w:lang w:eastAsia="de-DE"/>
        </w:rPr>
        <w:t xml:space="preserve">While ingesting the data into the ZBW Rosetta Archive, several tools are used: DROID, JHOVE, NLNZ Metadata Extractor, just to name the most important. These tools extract technical metadata like the file format including the format version, detect password-protected files and identify basic information about size, creation date and a </w:t>
      </w:r>
      <w:r w:rsidR="00EC0937">
        <w:rPr>
          <w:rFonts w:eastAsia="Times New Roman"/>
          <w:bCs/>
          <w:lang w:eastAsia="de-DE"/>
        </w:rPr>
        <w:t>lot</w:t>
      </w:r>
      <w:r w:rsidRPr="00A32158">
        <w:rPr>
          <w:rFonts w:eastAsia="Times New Roman"/>
          <w:bCs/>
          <w:lang w:eastAsia="de-DE"/>
        </w:rPr>
        <w:t xml:space="preserve"> of other information useful to ensure long term-availability.</w:t>
      </w:r>
    </w:p>
    <w:p w14:paraId="339A2046" w14:textId="77777777" w:rsidR="001850B6" w:rsidRPr="00A32158" w:rsidRDefault="001850B6" w:rsidP="00346394">
      <w:pPr>
        <w:shd w:val="clear" w:color="auto" w:fill="FFFFFF"/>
        <w:spacing w:before="150"/>
        <w:ind w:firstLine="0"/>
        <w:rPr>
          <w:rFonts w:eastAsia="Times New Roman"/>
          <w:bCs/>
          <w:lang w:eastAsia="de-DE"/>
        </w:rPr>
      </w:pPr>
      <w:r w:rsidRPr="00A32158">
        <w:rPr>
          <w:rFonts w:eastAsia="Times New Roman"/>
          <w:bCs/>
          <w:lang w:eastAsia="de-DE"/>
        </w:rPr>
        <w:t>As a side effect, the archive department usually detects files that are not accessible or otherwise corrupted.</w:t>
      </w:r>
    </w:p>
    <w:p w14:paraId="3AD4F6AC" w14:textId="562DBF71" w:rsidR="001850B6" w:rsidRPr="00A32158" w:rsidRDefault="001850B6" w:rsidP="00346394">
      <w:pPr>
        <w:shd w:val="clear" w:color="auto" w:fill="FFFFFF"/>
        <w:spacing w:before="150"/>
        <w:ind w:firstLine="0"/>
        <w:rPr>
          <w:rFonts w:eastAsia="Times New Roman"/>
          <w:bCs/>
          <w:lang w:eastAsia="de-DE"/>
        </w:rPr>
      </w:pPr>
      <w:r w:rsidRPr="00A32158">
        <w:rPr>
          <w:rFonts w:eastAsia="Times New Roman"/>
          <w:bCs/>
          <w:lang w:eastAsia="de-DE"/>
        </w:rPr>
        <w:t xml:space="preserve">During the pre-archive workflow after acquisition, the acquisition department uses Grep, PDFinfo and ExifTool (see chapter </w:t>
      </w:r>
      <w:r w:rsidR="00A55509">
        <w:rPr>
          <w:rFonts w:eastAsia="Times New Roman"/>
          <w:bCs/>
          <w:lang w:eastAsia="de-DE"/>
        </w:rPr>
        <w:t>IV. B</w:t>
      </w:r>
      <w:r w:rsidRPr="00A32158">
        <w:rPr>
          <w:rFonts w:eastAsia="Times New Roman"/>
          <w:bCs/>
          <w:lang w:eastAsia="de-DE"/>
        </w:rPr>
        <w:t>). The usage of the tools is regularly evaluated, e. g. via tool benchmarking; comparing which tool is best</w:t>
      </w:r>
      <w:r w:rsidR="00C25D02">
        <w:rPr>
          <w:rFonts w:eastAsia="Times New Roman"/>
          <w:bCs/>
          <w:lang w:eastAsia="de-DE"/>
        </w:rPr>
        <w:t xml:space="preserve"> </w:t>
      </w:r>
      <w:r w:rsidRPr="00A32158">
        <w:rPr>
          <w:rFonts w:eastAsia="Times New Roman"/>
          <w:bCs/>
          <w:lang w:eastAsia="de-DE"/>
        </w:rPr>
        <w:t xml:space="preserve">suited for a certain task, mostly with regard to file validation. This has been done thoroughly for the file formats: </w:t>
      </w:r>
    </w:p>
    <w:p w14:paraId="1707E4C7" w14:textId="37C21553" w:rsidR="001850B6" w:rsidRPr="00A32158" w:rsidRDefault="001850B6" w:rsidP="001850B6">
      <w:pPr>
        <w:pStyle w:val="Listenabsatz"/>
        <w:numPr>
          <w:ilvl w:val="0"/>
          <w:numId w:val="16"/>
        </w:numPr>
        <w:shd w:val="clear" w:color="auto" w:fill="FFFFFF"/>
        <w:spacing w:before="150"/>
        <w:jc w:val="left"/>
        <w:rPr>
          <w:rFonts w:eastAsia="Times New Roman"/>
          <w:bCs/>
          <w:lang w:eastAsia="de-DE"/>
        </w:rPr>
      </w:pPr>
      <w:r w:rsidRPr="00A32158">
        <w:rPr>
          <w:rFonts w:eastAsia="Times New Roman"/>
          <w:bCs/>
          <w:lang w:eastAsia="de-DE"/>
        </w:rPr>
        <w:t xml:space="preserve">TIFF </w:t>
      </w:r>
      <w:r w:rsidRPr="00A32158">
        <w:rPr>
          <w:rFonts w:eastAsia="Times New Roman"/>
          <w:bCs/>
          <w:lang w:eastAsia="de-DE"/>
        </w:rPr>
        <w:fldChar w:fldCharType="begin"/>
      </w:r>
      <w:r w:rsidR="002C5539">
        <w:rPr>
          <w:rFonts w:eastAsia="Times New Roman"/>
          <w:bCs/>
          <w:lang w:eastAsia="de-DE"/>
        </w:rPr>
        <w:instrText xml:space="preserve"> ADDIN ZOTERO_ITEM CSL_CITATION {"citationID":"lzQJ2EhH","properties":{"formattedCitation":"[29]","plainCitation":"[29]","noteIndex":0},"citationItems":[{"id":1394,"uris":["http://zotero.org/groups/4544678/items/PFU5W4MH"],"uri":["http://zotero.org/groups/4544678/items/PFU5W4MH"],"itemData":{"id":1394,"type":"post-weblog","container-title":"Open Preservation Foundation Blogs","language":"English","title":"TIFF format validation: easy-peasy?","URL":"https://openpreservation.org/blogs/tiff-format-validation-easy-peasy/","author":[{"family":"Tunnat, Yvonne","given":""}],"accessed":{"date-parts":[["2022",2,14]]},"issued":{"date-parts":[["2017",1,17]]}}}],"schema":"https://github.com/citation-style-language/schema/raw/master/csl-citation.json"} </w:instrText>
      </w:r>
      <w:r w:rsidRPr="00A32158">
        <w:rPr>
          <w:rFonts w:eastAsia="Times New Roman"/>
          <w:bCs/>
          <w:lang w:eastAsia="de-DE"/>
        </w:rPr>
        <w:fldChar w:fldCharType="separate"/>
      </w:r>
      <w:r w:rsidR="002C5539" w:rsidRPr="002C5539">
        <w:t>[29]</w:t>
      </w:r>
      <w:r w:rsidRPr="00A32158">
        <w:rPr>
          <w:rFonts w:eastAsia="Times New Roman"/>
          <w:bCs/>
          <w:lang w:eastAsia="de-DE"/>
        </w:rPr>
        <w:fldChar w:fldCharType="end"/>
      </w:r>
      <w:r w:rsidRPr="00A32158">
        <w:rPr>
          <w:rFonts w:eastAsia="Times New Roman"/>
          <w:bCs/>
          <w:lang w:eastAsia="de-DE"/>
        </w:rPr>
        <w:t xml:space="preserve"> </w:t>
      </w:r>
    </w:p>
    <w:p w14:paraId="24E053ED" w14:textId="3135A6C5" w:rsidR="001850B6" w:rsidRPr="00A32158" w:rsidRDefault="001850B6" w:rsidP="001850B6">
      <w:pPr>
        <w:pStyle w:val="Listenabsatz"/>
        <w:numPr>
          <w:ilvl w:val="0"/>
          <w:numId w:val="16"/>
        </w:numPr>
        <w:shd w:val="clear" w:color="auto" w:fill="FFFFFF"/>
        <w:spacing w:before="150"/>
        <w:jc w:val="left"/>
        <w:rPr>
          <w:rFonts w:eastAsia="Times New Roman"/>
          <w:bCs/>
          <w:lang w:eastAsia="de-DE"/>
        </w:rPr>
      </w:pPr>
      <w:r w:rsidRPr="00A32158">
        <w:rPr>
          <w:rFonts w:eastAsia="Times New Roman"/>
          <w:bCs/>
          <w:lang w:eastAsia="de-DE"/>
        </w:rPr>
        <w:t xml:space="preserve">JPEG </w:t>
      </w:r>
      <w:r w:rsidRPr="00A32158">
        <w:rPr>
          <w:rFonts w:eastAsia="Times New Roman"/>
          <w:bCs/>
          <w:lang w:eastAsia="de-DE"/>
        </w:rPr>
        <w:fldChar w:fldCharType="begin"/>
      </w:r>
      <w:r w:rsidR="002C5539">
        <w:rPr>
          <w:rFonts w:eastAsia="Times New Roman"/>
          <w:bCs/>
          <w:lang w:eastAsia="de-DE"/>
        </w:rPr>
        <w:instrText xml:space="preserve"> ADDIN ZOTERO_ITEM CSL_CITATION {"citationID":"JUdEfAzm","properties":{"formattedCitation":"[30]","plainCitation":"[30]","noteIndex":0},"citationItems":[{"id":1395,"uris":["http://zotero.org/groups/4544678/items/4EFC93EC"],"uri":["http://zotero.org/groups/4544678/items/4EFC93EC"],"itemData":{"id":1395,"type":"post-weblog","container-title":"Open Preservation Foundation Blogs","language":"English","title":"Error detection of JPEG files with JHOVE and Bad Peggy – so who’s the real Sherlock Holmes here?","URL":"https://openpreservation.org/blogs/jpegvalidation/","author":[{"family":"Tunnat, Yvonne","given":""}],"accessed":{"date-parts":[["2022",2,14]]},"issued":{"date-parts":[["2016",11,29]]}}}],"schema":"https://github.com/citation-style-language/schema/raw/master/csl-citation.json"} </w:instrText>
      </w:r>
      <w:r w:rsidRPr="00A32158">
        <w:rPr>
          <w:rFonts w:eastAsia="Times New Roman"/>
          <w:bCs/>
          <w:lang w:eastAsia="de-DE"/>
        </w:rPr>
        <w:fldChar w:fldCharType="separate"/>
      </w:r>
      <w:r w:rsidR="002C5539" w:rsidRPr="002C5539">
        <w:t>[30]</w:t>
      </w:r>
      <w:r w:rsidRPr="00A32158">
        <w:rPr>
          <w:rFonts w:eastAsia="Times New Roman"/>
          <w:bCs/>
          <w:lang w:eastAsia="de-DE"/>
        </w:rPr>
        <w:fldChar w:fldCharType="end"/>
      </w:r>
      <w:r w:rsidRPr="00A32158">
        <w:rPr>
          <w:rFonts w:eastAsia="Times New Roman"/>
          <w:bCs/>
          <w:lang w:eastAsia="de-DE"/>
        </w:rPr>
        <w:t xml:space="preserve"> </w:t>
      </w:r>
    </w:p>
    <w:p w14:paraId="4D007653" w14:textId="66D0C7AF" w:rsidR="001850B6" w:rsidRPr="00A32158" w:rsidRDefault="001850B6" w:rsidP="001850B6">
      <w:pPr>
        <w:pStyle w:val="Listenabsatz"/>
        <w:numPr>
          <w:ilvl w:val="0"/>
          <w:numId w:val="16"/>
        </w:numPr>
        <w:shd w:val="clear" w:color="auto" w:fill="FFFFFF"/>
        <w:spacing w:before="150"/>
        <w:jc w:val="left"/>
        <w:rPr>
          <w:rFonts w:eastAsia="Times New Roman"/>
          <w:bCs/>
          <w:lang w:eastAsia="de-DE"/>
        </w:rPr>
      </w:pPr>
      <w:r w:rsidRPr="00A32158">
        <w:rPr>
          <w:rFonts w:eastAsia="Times New Roman"/>
          <w:bCs/>
          <w:lang w:eastAsia="de-DE"/>
        </w:rPr>
        <w:t xml:space="preserve">GIF </w:t>
      </w:r>
      <w:r w:rsidRPr="00A32158">
        <w:rPr>
          <w:rFonts w:eastAsia="Times New Roman"/>
          <w:bCs/>
          <w:lang w:eastAsia="de-DE"/>
        </w:rPr>
        <w:fldChar w:fldCharType="begin"/>
      </w:r>
      <w:r w:rsidR="002C5539">
        <w:rPr>
          <w:rFonts w:eastAsia="Times New Roman"/>
          <w:bCs/>
          <w:lang w:eastAsia="de-DE"/>
        </w:rPr>
        <w:instrText xml:space="preserve"> ADDIN ZOTERO_ITEM CSL_CITATION {"citationID":"ioewSBLb","properties":{"formattedCitation":"[31]","plainCitation":"[31]","noteIndex":0},"citationItems":[{"id":1397,"uris":["http://zotero.org/groups/4544678/items/FJBC7X78"],"uri":["http://zotero.org/groups/4544678/items/FJBC7X78"],"itemData":{"id":1397,"type":"post-weblog","container-title":"Open Preservation Blogs","language":"English","title":"Good GIF hunting: JHOVE’s GIF validation skills","URL":"https://openpreservation.org/blogs/good-gif-hunting/","author":[{"family":"Tunnat, Yvonne","given":""}],"accessed":{"date-parts":[["2022",2,14]]},"issued":{"date-parts":[["2017",12,5]]}}}],"schema":"https://github.com/citation-style-language/schema/raw/master/csl-citation.json"} </w:instrText>
      </w:r>
      <w:r w:rsidRPr="00A32158">
        <w:rPr>
          <w:rFonts w:eastAsia="Times New Roman"/>
          <w:bCs/>
          <w:lang w:eastAsia="de-DE"/>
        </w:rPr>
        <w:fldChar w:fldCharType="separate"/>
      </w:r>
      <w:r w:rsidR="002C5539" w:rsidRPr="002C5539">
        <w:t>[31]</w:t>
      </w:r>
      <w:r w:rsidRPr="00A32158">
        <w:rPr>
          <w:rFonts w:eastAsia="Times New Roman"/>
          <w:bCs/>
          <w:lang w:eastAsia="de-DE"/>
        </w:rPr>
        <w:fldChar w:fldCharType="end"/>
      </w:r>
      <w:r w:rsidRPr="00A32158">
        <w:rPr>
          <w:rFonts w:eastAsia="Times New Roman"/>
          <w:bCs/>
          <w:lang w:eastAsia="de-DE"/>
        </w:rPr>
        <w:t xml:space="preserve"> </w:t>
      </w:r>
    </w:p>
    <w:p w14:paraId="25C83614" w14:textId="2AB930D2" w:rsidR="001850B6" w:rsidRPr="00A32158" w:rsidRDefault="001850B6" w:rsidP="001850B6">
      <w:pPr>
        <w:pStyle w:val="Listenabsatz"/>
        <w:numPr>
          <w:ilvl w:val="0"/>
          <w:numId w:val="16"/>
        </w:numPr>
        <w:shd w:val="clear" w:color="auto" w:fill="FFFFFF"/>
        <w:spacing w:before="150"/>
        <w:jc w:val="left"/>
        <w:rPr>
          <w:rFonts w:eastAsia="Times New Roman"/>
          <w:bCs/>
          <w:lang w:eastAsia="de-DE"/>
        </w:rPr>
      </w:pPr>
      <w:r w:rsidRPr="00A32158">
        <w:rPr>
          <w:rFonts w:eastAsia="Times New Roman"/>
          <w:bCs/>
          <w:lang w:eastAsia="de-DE"/>
        </w:rPr>
        <w:lastRenderedPageBreak/>
        <w:t xml:space="preserve">PDF </w:t>
      </w:r>
      <w:r w:rsidRPr="00A32158">
        <w:rPr>
          <w:rFonts w:eastAsia="Times New Roman"/>
          <w:bCs/>
          <w:lang w:eastAsia="de-DE"/>
        </w:rPr>
        <w:fldChar w:fldCharType="begin"/>
      </w:r>
      <w:r w:rsidR="002C5539">
        <w:rPr>
          <w:rFonts w:eastAsia="Times New Roman"/>
          <w:bCs/>
          <w:lang w:eastAsia="de-DE"/>
        </w:rPr>
        <w:instrText xml:space="preserve"> ADDIN ZOTERO_ITEM CSL_CITATION {"citationID":"D1LMZzaP","properties":{"formattedCitation":"[32]","plainCitation":"[32]","noteIndex":0},"citationItems":[{"id":1396,"uris":["http://zotero.org/groups/4544678/items/VKKPNSP8"],"uri":["http://zotero.org/groups/4544678/items/VKKPNSP8"],"itemData":{"id":1396,"type":"post-weblog","container-title":"Open Preservation Foundation Blogs","language":"English","title":"JHOVE – the one and only PDF validator","URL":"https://openpreservation.org/blogs/jhove-the-one-and-only-pdf-validator/","author":[{"family":"Tunnat, Yvonne","given":""}],"accessed":{"date-parts":[["2022",2,14]]},"issued":{"date-parts":[["2017",12,19]]}}}],"schema":"https://github.com/citation-style-language/schema/raw/master/csl-citation.json"} </w:instrText>
      </w:r>
      <w:r w:rsidRPr="00A32158">
        <w:rPr>
          <w:rFonts w:eastAsia="Times New Roman"/>
          <w:bCs/>
          <w:lang w:eastAsia="de-DE"/>
        </w:rPr>
        <w:fldChar w:fldCharType="separate"/>
      </w:r>
      <w:r w:rsidR="002C5539" w:rsidRPr="002C5539">
        <w:t>[32]</w:t>
      </w:r>
      <w:r w:rsidRPr="00A32158">
        <w:rPr>
          <w:rFonts w:eastAsia="Times New Roman"/>
          <w:bCs/>
          <w:lang w:eastAsia="de-DE"/>
        </w:rPr>
        <w:fldChar w:fldCharType="end"/>
      </w:r>
      <w:r w:rsidRPr="00A32158">
        <w:rPr>
          <w:rFonts w:eastAsia="Times New Roman"/>
          <w:bCs/>
          <w:lang w:eastAsia="de-DE"/>
        </w:rPr>
        <w:t>.</w:t>
      </w:r>
    </w:p>
    <w:p w14:paraId="0CCF74A3" w14:textId="03F41992" w:rsidR="001850B6" w:rsidRPr="00A32158" w:rsidRDefault="001850B6" w:rsidP="00346394">
      <w:pPr>
        <w:shd w:val="clear" w:color="auto" w:fill="FFFFFF"/>
        <w:spacing w:before="150"/>
        <w:ind w:firstLine="0"/>
        <w:rPr>
          <w:rFonts w:eastAsia="Times New Roman"/>
          <w:bCs/>
          <w:lang w:eastAsia="de-DE"/>
        </w:rPr>
      </w:pPr>
      <w:r w:rsidRPr="00A32158">
        <w:rPr>
          <w:rFonts w:eastAsia="Times New Roman"/>
          <w:bCs/>
          <w:lang w:eastAsia="de-DE"/>
        </w:rPr>
        <w:t xml:space="preserve">As tools and their usage frequently </w:t>
      </w:r>
      <w:r w:rsidR="00EC0937">
        <w:rPr>
          <w:rFonts w:eastAsia="Times New Roman"/>
          <w:bCs/>
          <w:lang w:eastAsia="de-DE"/>
        </w:rPr>
        <w:t>evolve</w:t>
      </w:r>
      <w:r w:rsidRPr="00A32158">
        <w:rPr>
          <w:rFonts w:eastAsia="Times New Roman"/>
          <w:bCs/>
          <w:lang w:eastAsia="de-DE"/>
        </w:rPr>
        <w:t xml:space="preserve">, close preservation watch is essential. For instance, in December 2017, when the ZBW archive department examined the validation tools for PDF, ExifTool was not even considered, although it would have been of use back then. ZBW staff did not include it in the evaluation only because </w:t>
      </w:r>
      <w:r w:rsidR="00830413">
        <w:rPr>
          <w:rFonts w:eastAsia="Times New Roman"/>
          <w:bCs/>
          <w:lang w:eastAsia="de-DE"/>
        </w:rPr>
        <w:t>they</w:t>
      </w:r>
      <w:r w:rsidRPr="00A32158">
        <w:rPr>
          <w:rFonts w:eastAsia="Times New Roman"/>
          <w:bCs/>
          <w:lang w:eastAsia="de-DE"/>
        </w:rPr>
        <w:t xml:space="preserve"> did not yet know about the tool.</w:t>
      </w:r>
    </w:p>
    <w:p w14:paraId="0DBA3CC0" w14:textId="6EA8DC96" w:rsidR="001850B6" w:rsidRPr="00A32158" w:rsidRDefault="001850B6" w:rsidP="00346394">
      <w:pPr>
        <w:shd w:val="clear" w:color="auto" w:fill="FFFFFF"/>
        <w:spacing w:before="150"/>
        <w:ind w:firstLine="0"/>
        <w:rPr>
          <w:rFonts w:eastAsia="Times New Roman"/>
          <w:bCs/>
          <w:lang w:eastAsia="de-DE"/>
        </w:rPr>
      </w:pPr>
      <w:r w:rsidRPr="00A32158">
        <w:rPr>
          <w:rFonts w:eastAsia="Times New Roman"/>
          <w:bCs/>
          <w:lang w:eastAsia="de-DE"/>
        </w:rPr>
        <w:t xml:space="preserve">For some use cases, tools could also be inappropriate, as they take too long, give too many false alarms (false positives) or their validation is too thorough for pre-archive needs, like JHOVE for PDF </w:t>
      </w:r>
      <w:r w:rsidRPr="00A32158">
        <w:rPr>
          <w:rFonts w:eastAsia="Times New Roman"/>
          <w:bCs/>
          <w:lang w:eastAsia="de-DE"/>
        </w:rPr>
        <w:fldChar w:fldCharType="begin"/>
      </w:r>
      <w:r w:rsidR="002C5539">
        <w:rPr>
          <w:rFonts w:eastAsia="Times New Roman"/>
          <w:bCs/>
          <w:lang w:eastAsia="de-DE"/>
        </w:rPr>
        <w:instrText xml:space="preserve"> ADDIN ZOTERO_ITEM CSL_CITATION {"citationID":"jyyyyBf8","properties":{"formattedCitation":"[33]","plainCitation":"[33]","noteIndex":0},"citationItems":[{"id":1425,"uris":["http://zotero.org/groups/4544678/items/4P3QCI8T"],"uri":["http://zotero.org/groups/4544678/items/4P3QCI8T"],"itemData":{"id":1425,"type":"paper-conference","container-title":"iPRES Japan","event":"iPRES","event-place":"Japan, Kyoto","language":"English","page":"11","publisher-place":"Japan, Kyoto","title":"A PDF Test-Set for Well-Formedness Validation in JHOVE - The Good, the Bad and the Ugly","URL":"https://files.dnb.de/nestor/weitere/ipres2017.pdf","author":[{"family":"Lindlar","given":"Michelle"},{"family":"Wilson","given":"Carl"},{"family":"Tunnat, Yvonne","given":""}],"accessed":{"date-parts":[["2022",2,21]]},"issued":{"date-parts":[["2017",9,25]]}}}],"schema":"https://github.com/citation-style-language/schema/raw/master/csl-citation.json"} </w:instrText>
      </w:r>
      <w:r w:rsidRPr="00A32158">
        <w:rPr>
          <w:rFonts w:eastAsia="Times New Roman"/>
          <w:bCs/>
          <w:lang w:eastAsia="de-DE"/>
        </w:rPr>
        <w:fldChar w:fldCharType="separate"/>
      </w:r>
      <w:r w:rsidR="002C5539" w:rsidRPr="002C5539">
        <w:t>[33]</w:t>
      </w:r>
      <w:r w:rsidRPr="00A32158">
        <w:rPr>
          <w:rFonts w:eastAsia="Times New Roman"/>
          <w:bCs/>
          <w:lang w:eastAsia="de-DE"/>
        </w:rPr>
        <w:fldChar w:fldCharType="end"/>
      </w:r>
      <w:r w:rsidRPr="00A32158">
        <w:rPr>
          <w:rFonts w:eastAsia="Times New Roman"/>
          <w:bCs/>
          <w:lang w:eastAsia="de-DE"/>
        </w:rPr>
        <w:t>.</w:t>
      </w:r>
    </w:p>
    <w:p w14:paraId="5E2AA039" w14:textId="049F8A60" w:rsidR="001850B6" w:rsidRPr="00A32158" w:rsidRDefault="001850B6" w:rsidP="00346394">
      <w:pPr>
        <w:shd w:val="clear" w:color="auto" w:fill="FFFFFF"/>
        <w:spacing w:before="150"/>
        <w:ind w:firstLine="0"/>
        <w:rPr>
          <w:rFonts w:eastAsia="Times New Roman"/>
          <w:bCs/>
          <w:lang w:eastAsia="de-DE"/>
        </w:rPr>
      </w:pPr>
      <w:r w:rsidRPr="00A32158">
        <w:rPr>
          <w:rFonts w:eastAsia="Times New Roman"/>
          <w:bCs/>
          <w:lang w:eastAsia="de-DE"/>
        </w:rPr>
        <w:t xml:space="preserve">The tools ZB MED uses for preparation of objects for archiving in its present workflow are a self-developed Submission Application (SubApp) as well as JHOVE and veraPDF in pre-ingest processing. The archive department is responsible for operating these. During the subsequent ingest the archive department uses further tools, </w:t>
      </w:r>
      <w:r w:rsidR="007048C1">
        <w:rPr>
          <w:rFonts w:eastAsia="Times New Roman"/>
          <w:bCs/>
          <w:lang w:eastAsia="de-DE"/>
        </w:rPr>
        <w:t xml:space="preserve">the </w:t>
      </w:r>
      <w:r w:rsidRPr="00A32158">
        <w:rPr>
          <w:rFonts w:eastAsia="Times New Roman"/>
          <w:bCs/>
          <w:lang w:eastAsia="de-DE"/>
        </w:rPr>
        <w:t xml:space="preserve">same as ZBW (see above) which are not detailed here. The SubApp generates data packages and detects exceptions in the data structure, whereas JHOVE </w:t>
      </w:r>
      <w:r w:rsidR="007B5981">
        <w:rPr>
          <w:rFonts w:eastAsia="Times New Roman"/>
          <w:bCs/>
          <w:lang w:eastAsia="de-DE"/>
        </w:rPr>
        <w:t xml:space="preserve">so far </w:t>
      </w:r>
      <w:r w:rsidRPr="00A32158">
        <w:rPr>
          <w:rFonts w:eastAsia="Times New Roman"/>
          <w:bCs/>
          <w:lang w:eastAsia="de-DE"/>
        </w:rPr>
        <w:t>detect</w:t>
      </w:r>
      <w:r w:rsidR="007B5981">
        <w:rPr>
          <w:rFonts w:eastAsia="Times New Roman"/>
          <w:bCs/>
          <w:lang w:eastAsia="de-DE"/>
        </w:rPr>
        <w:t>ed</w:t>
      </w:r>
      <w:r w:rsidRPr="00A32158">
        <w:rPr>
          <w:rFonts w:eastAsia="Times New Roman"/>
          <w:bCs/>
          <w:lang w:eastAsia="de-DE"/>
        </w:rPr>
        <w:t xml:space="preserve"> invalid image files during pre-ingest processing. Exceptions and invalid files require individual processing by the archive and the editorial office, as part of the otherwise automated pre-ingest workflow. The archive department is in close contact with the publishing platforms regarding analysis and evaluation of tools and changes to objects and WFs.</w:t>
      </w:r>
    </w:p>
    <w:p w14:paraId="6163178B" w14:textId="5139FC75" w:rsidR="001850B6" w:rsidRPr="00A32158" w:rsidRDefault="001850B6" w:rsidP="001850B6">
      <w:pPr>
        <w:pStyle w:val="berschrift1"/>
        <w:numPr>
          <w:ilvl w:val="0"/>
          <w:numId w:val="3"/>
        </w:numPr>
        <w:rPr>
          <w:rFonts w:cs="Open Sans"/>
        </w:rPr>
      </w:pPr>
      <w:r w:rsidRPr="00A32158">
        <w:rPr>
          <w:rFonts w:cs="Open Sans"/>
        </w:rPr>
        <w:t>Findings and Summary</w:t>
      </w:r>
    </w:p>
    <w:p w14:paraId="3DF12602" w14:textId="20E65B8B" w:rsidR="001850B6" w:rsidRPr="00A32158" w:rsidRDefault="001850B6" w:rsidP="00346394">
      <w:pPr>
        <w:pStyle w:val="Listenabsatz"/>
        <w:spacing w:before="100" w:beforeAutospacing="1" w:after="100" w:afterAutospacing="1"/>
        <w:ind w:left="0" w:firstLine="0"/>
        <w:rPr>
          <w:rFonts w:eastAsia="Times New Roman"/>
          <w:lang w:eastAsia="de-DE"/>
        </w:rPr>
      </w:pPr>
      <w:r w:rsidRPr="00A32158">
        <w:rPr>
          <w:rFonts w:eastAsia="Times New Roman"/>
          <w:lang w:eastAsia="de-DE"/>
        </w:rPr>
        <w:t>As shown in the use cases, ZBW and ZBW identified several actions which, when implemented in pre-archive workflows</w:t>
      </w:r>
      <w:r w:rsidR="007048C1">
        <w:rPr>
          <w:rFonts w:eastAsia="Times New Roman"/>
          <w:lang w:eastAsia="de-DE"/>
        </w:rPr>
        <w:t>,</w:t>
      </w:r>
      <w:r w:rsidRPr="00A32158">
        <w:rPr>
          <w:rFonts w:eastAsia="Times New Roman"/>
          <w:lang w:eastAsia="de-DE"/>
        </w:rPr>
        <w:t xml:space="preserve"> may </w:t>
      </w:r>
      <w:r w:rsidR="00EC0937">
        <w:rPr>
          <w:rFonts w:eastAsia="Times New Roman"/>
          <w:lang w:eastAsia="de-DE"/>
        </w:rPr>
        <w:t xml:space="preserve">reduce </w:t>
      </w:r>
      <w:r w:rsidRPr="00A32158">
        <w:rPr>
          <w:rFonts w:eastAsia="Times New Roman"/>
          <w:lang w:eastAsia="de-DE"/>
        </w:rPr>
        <w:t>curation efforts presently or in the future. As ZB MED detects various exceptions during pre-ingest</w:t>
      </w:r>
      <w:r w:rsidR="007048C1">
        <w:rPr>
          <w:rFonts w:eastAsia="Times New Roman"/>
          <w:lang w:eastAsia="de-DE"/>
        </w:rPr>
        <w:t xml:space="preserve"> </w:t>
      </w:r>
      <w:r w:rsidR="007048C1" w:rsidRPr="00A32158">
        <w:rPr>
          <w:rFonts w:eastAsia="Times New Roman"/>
          <w:lang w:eastAsia="de-DE"/>
        </w:rPr>
        <w:t>with their present WF</w:t>
      </w:r>
      <w:r w:rsidR="007048C1">
        <w:rPr>
          <w:rFonts w:eastAsia="Times New Roman"/>
          <w:lang w:eastAsia="de-DE"/>
        </w:rPr>
        <w:t>,</w:t>
      </w:r>
      <w:r w:rsidRPr="00A32158">
        <w:rPr>
          <w:rFonts w:eastAsia="Times New Roman"/>
          <w:lang w:eastAsia="de-DE"/>
        </w:rPr>
        <w:t xml:space="preserve"> they expect better automation if data structure is documented early in a stringent way. As additional opportunities, ZB MED identified the use of open fonts for PDF publications, markup languages suited for preservation as well as documenting object versions in a standardized way. ZBW discovered corrupted data </w:t>
      </w:r>
      <w:r w:rsidR="00830413">
        <w:rPr>
          <w:rFonts w:eastAsia="Times New Roman"/>
          <w:lang w:eastAsia="de-DE"/>
        </w:rPr>
        <w:t>well</w:t>
      </w:r>
      <w:r w:rsidR="00830413" w:rsidRPr="00A32158">
        <w:rPr>
          <w:rFonts w:eastAsia="Times New Roman"/>
          <w:lang w:eastAsia="de-DE"/>
        </w:rPr>
        <w:t xml:space="preserve"> </w:t>
      </w:r>
      <w:r w:rsidRPr="00A32158">
        <w:rPr>
          <w:rFonts w:eastAsia="Times New Roman"/>
          <w:lang w:eastAsia="de-DE"/>
        </w:rPr>
        <w:t>after acquisition</w:t>
      </w:r>
      <w:r w:rsidR="007048C1">
        <w:rPr>
          <w:rFonts w:eastAsia="Times New Roman"/>
          <w:lang w:eastAsia="de-DE"/>
        </w:rPr>
        <w:t xml:space="preserve"> </w:t>
      </w:r>
      <w:r w:rsidR="007048C1" w:rsidRPr="00A32158">
        <w:rPr>
          <w:rFonts w:eastAsia="Times New Roman"/>
          <w:lang w:eastAsia="de-DE"/>
        </w:rPr>
        <w:t>with their old WF</w:t>
      </w:r>
      <w:r w:rsidRPr="00A32158">
        <w:rPr>
          <w:rFonts w:eastAsia="Times New Roman"/>
          <w:lang w:eastAsia="de-DE"/>
        </w:rPr>
        <w:t xml:space="preserve">. The new WF contains validation with ExifTool pre-archive, as part of acquisition. This allows early detection of invalid, password-protected and corrupted files and subsequent exchange of files when contact to the provider </w:t>
      </w:r>
      <w:r w:rsidR="007048C1">
        <w:rPr>
          <w:rFonts w:eastAsia="Times New Roman"/>
          <w:lang w:eastAsia="de-DE"/>
        </w:rPr>
        <w:t>is</w:t>
      </w:r>
      <w:r w:rsidR="007048C1" w:rsidRPr="00A32158">
        <w:rPr>
          <w:rFonts w:eastAsia="Times New Roman"/>
          <w:lang w:eastAsia="de-DE"/>
        </w:rPr>
        <w:t xml:space="preserve"> </w:t>
      </w:r>
      <w:r w:rsidRPr="00A32158">
        <w:rPr>
          <w:rFonts w:eastAsia="Times New Roman"/>
          <w:lang w:eastAsia="de-DE"/>
        </w:rPr>
        <w:t>still established. With these analyses</w:t>
      </w:r>
      <w:r w:rsidR="007048C1">
        <w:rPr>
          <w:rFonts w:eastAsia="Times New Roman"/>
          <w:lang w:eastAsia="de-DE"/>
        </w:rPr>
        <w:t>,</w:t>
      </w:r>
      <w:r w:rsidRPr="00A32158">
        <w:rPr>
          <w:rFonts w:eastAsia="Times New Roman"/>
          <w:lang w:eastAsia="de-DE"/>
        </w:rPr>
        <w:t xml:space="preserve"> the authors expand on the recommendation by Skinner and Schultz </w:t>
      </w:r>
      <w:r w:rsidRPr="00A32158">
        <w:rPr>
          <w:rFonts w:eastAsia="Times New Roman"/>
          <w:lang w:eastAsia="de-DE"/>
        </w:rPr>
        <w:fldChar w:fldCharType="begin"/>
      </w:r>
      <w:r w:rsidR="006E1CB1">
        <w:rPr>
          <w:rFonts w:eastAsia="Times New Roman"/>
          <w:lang w:eastAsia="de-DE"/>
        </w:rPr>
        <w:instrText xml:space="preserve"> ADDIN ZOTERO_ITEM CSL_CITATION {"citationID":"gGe0bJdl","properties":{"formattedCitation":"[13]","plainCitation":"[13]","noteIndex":0},"citationItems":[{"id":1056,"uris":["http://zotero.org/groups/4544678/items/P4ZJD4WA"],"uri":["http://zotero.org/groups/4544678/items/P4ZJD4WA"],"itemData":{"id":1056,"type":"book","abstract":"The Guidelines for Digital Newspaper Preservation Readiness address a specific set of preservation challenges faced by libraries, archives, historical societies, and other organizations that curate substantial collections of digital newspaper content. The Guidelines are intended to inform curators and collection managers at libraries, archives, historical societies, and other such memory organizations about various practical readiness activities that they can take. They provide links to technical resources that curators can either implement themselves or work with their technical staff to implement. The Guidelines (Version 1.0) only deal with digital newspapers at this point, not broadcast or other forms of digital news.","event-place":"Atlanta, GA","language":"English","publisher":"University of North Texas Libraries, UNT Digital Library, https://digital.library.unt.edu","publisher-place":"Atlanta, GA","title":"Guidelines for Digital Newspaper Preservation Readiness","URL":"https://digital.library.unt.edu/ark:/67531/metadc282586/","author":[{"family":"Skinner","given":"Katherine"},{"family":"Schultz","given":"Matt"}],"accessed":{"date-parts":[["2022",1,7]]},"issued":{"date-parts":[["2014",4,3]]}}}],"schema":"https://github.com/citation-style-language/schema/raw/master/csl-citation.json"} </w:instrText>
      </w:r>
      <w:r w:rsidRPr="00A32158">
        <w:rPr>
          <w:rFonts w:eastAsia="Times New Roman"/>
          <w:lang w:eastAsia="de-DE"/>
        </w:rPr>
        <w:fldChar w:fldCharType="separate"/>
      </w:r>
      <w:r w:rsidR="006E1CB1" w:rsidRPr="006E1CB1">
        <w:t>[13]</w:t>
      </w:r>
      <w:r w:rsidRPr="00A32158">
        <w:rPr>
          <w:rFonts w:eastAsia="Times New Roman"/>
          <w:lang w:eastAsia="de-DE"/>
        </w:rPr>
        <w:fldChar w:fldCharType="end"/>
      </w:r>
      <w:r w:rsidRPr="00A32158">
        <w:rPr>
          <w:rFonts w:eastAsia="Times New Roman"/>
          <w:lang w:eastAsia="de-DE"/>
        </w:rPr>
        <w:t xml:space="preserve"> with specific tools (ExifTool) and proposed implementations (e. g. open fonts for PDF publications) based on actual practice.</w:t>
      </w:r>
    </w:p>
    <w:p w14:paraId="674BED5F" w14:textId="084B53EA" w:rsidR="001850B6" w:rsidRPr="00A32158" w:rsidRDefault="001850B6" w:rsidP="00346394">
      <w:pPr>
        <w:pStyle w:val="Listenabsatz"/>
        <w:spacing w:before="100" w:beforeAutospacing="1" w:after="100" w:afterAutospacing="1"/>
        <w:ind w:left="0" w:firstLine="0"/>
        <w:rPr>
          <w:rFonts w:eastAsia="Times New Roman"/>
          <w:lang w:eastAsia="de-DE"/>
        </w:rPr>
      </w:pPr>
      <w:r w:rsidRPr="00A32158">
        <w:rPr>
          <w:rFonts w:eastAsia="Times New Roman"/>
          <w:lang w:eastAsia="de-DE"/>
        </w:rPr>
        <w:t>Both institutions come to the conclusion that early incorporation of these best practices, tools and actions seem</w:t>
      </w:r>
      <w:r w:rsidR="007048C1">
        <w:rPr>
          <w:rFonts w:eastAsia="Times New Roman"/>
          <w:lang w:eastAsia="de-DE"/>
        </w:rPr>
        <w:t>s</w:t>
      </w:r>
      <w:r w:rsidRPr="00A32158">
        <w:rPr>
          <w:rFonts w:eastAsia="Times New Roman"/>
          <w:lang w:eastAsia="de-DE"/>
        </w:rPr>
        <w:t xml:space="preserve"> to prevent significantly higher efforts later. </w:t>
      </w:r>
      <w:r w:rsidR="0079503C">
        <w:rPr>
          <w:rFonts w:eastAsia="Times New Roman"/>
          <w:lang w:eastAsia="de-DE"/>
        </w:rPr>
        <w:t>“</w:t>
      </w:r>
      <w:r w:rsidRPr="00A32158">
        <w:rPr>
          <w:rFonts w:eastAsia="Times New Roman"/>
          <w:lang w:eastAsia="de-DE"/>
        </w:rPr>
        <w:t>Later</w:t>
      </w:r>
      <w:r w:rsidR="0079503C">
        <w:rPr>
          <w:rFonts w:eastAsia="Times New Roman"/>
          <w:lang w:eastAsia="de-DE"/>
        </w:rPr>
        <w:t>”</w:t>
      </w:r>
      <w:r w:rsidRPr="00A32158">
        <w:rPr>
          <w:rFonts w:eastAsia="Times New Roman"/>
          <w:lang w:eastAsia="de-DE"/>
        </w:rPr>
        <w:t xml:space="preserve"> meaning</w:t>
      </w:r>
      <w:r w:rsidR="0079503C">
        <w:rPr>
          <w:rFonts w:eastAsia="Times New Roman"/>
          <w:lang w:eastAsia="de-DE"/>
        </w:rPr>
        <w:t xml:space="preserve"> here</w:t>
      </w:r>
      <w:r w:rsidRPr="00A32158">
        <w:rPr>
          <w:rFonts w:eastAsia="Times New Roman"/>
          <w:lang w:eastAsia="de-DE"/>
        </w:rPr>
        <w:t xml:space="preserve">, if archivability increasing actions </w:t>
      </w:r>
      <w:r w:rsidR="0079503C">
        <w:rPr>
          <w:rFonts w:eastAsia="Times New Roman"/>
          <w:lang w:eastAsia="de-DE"/>
        </w:rPr>
        <w:t xml:space="preserve">are conducted a </w:t>
      </w:r>
      <w:r w:rsidRPr="00A32158">
        <w:rPr>
          <w:rFonts w:eastAsia="Times New Roman"/>
          <w:lang w:eastAsia="de-DE"/>
        </w:rPr>
        <w:t>significant</w:t>
      </w:r>
      <w:r w:rsidR="0079503C">
        <w:rPr>
          <w:rFonts w:eastAsia="Times New Roman"/>
          <w:lang w:eastAsia="de-DE"/>
        </w:rPr>
        <w:t xml:space="preserve"> time</w:t>
      </w:r>
      <w:r w:rsidRPr="00A32158">
        <w:rPr>
          <w:rFonts w:eastAsia="Times New Roman"/>
          <w:lang w:eastAsia="de-DE"/>
        </w:rPr>
        <w:t xml:space="preserve"> after publication or acquisition. The reasons are twofold: first, when </w:t>
      </w:r>
      <w:r w:rsidR="0079503C">
        <w:rPr>
          <w:rFonts w:eastAsia="Times New Roman"/>
          <w:lang w:eastAsia="de-DE"/>
        </w:rPr>
        <w:t xml:space="preserve">the </w:t>
      </w:r>
      <w:r w:rsidRPr="00A32158">
        <w:rPr>
          <w:rFonts w:eastAsia="Times New Roman"/>
          <w:lang w:eastAsia="de-DE"/>
        </w:rPr>
        <w:t>institution is still in contact with an external data provider</w:t>
      </w:r>
      <w:r w:rsidR="0079503C">
        <w:rPr>
          <w:rFonts w:eastAsia="Times New Roman"/>
          <w:lang w:eastAsia="de-DE"/>
        </w:rPr>
        <w:t>,</w:t>
      </w:r>
      <w:r w:rsidRPr="00A32158">
        <w:rPr>
          <w:rFonts w:eastAsia="Times New Roman"/>
          <w:lang w:eastAsia="de-DE"/>
        </w:rPr>
        <w:t xml:space="preserve"> obtaining correct versions of files (corrupt, invalid) and clarifying rights (password protected) requires less effort than re-establishing contact months or years after data provision was concluded. Additionally, at this point in time the department sometimes can still obtain data that would be lost to the archive otherwise. Secondly, the departments involved in publishing already process objects </w:t>
      </w:r>
      <w:r w:rsidR="0079503C">
        <w:rPr>
          <w:rFonts w:eastAsia="Times New Roman"/>
          <w:lang w:eastAsia="de-DE"/>
        </w:rPr>
        <w:t>at</w:t>
      </w:r>
      <w:r w:rsidR="0079503C" w:rsidRPr="00A32158">
        <w:rPr>
          <w:rFonts w:eastAsia="Times New Roman"/>
          <w:lang w:eastAsia="de-DE"/>
        </w:rPr>
        <w:t xml:space="preserve"> </w:t>
      </w:r>
      <w:r w:rsidRPr="00A32158">
        <w:rPr>
          <w:rFonts w:eastAsia="Times New Roman"/>
          <w:lang w:eastAsia="de-DE"/>
        </w:rPr>
        <w:t>an individual level. Additional curation at that stage requires less effort than stopping automat</w:t>
      </w:r>
      <w:r w:rsidR="00CB65D5">
        <w:rPr>
          <w:rFonts w:eastAsia="Times New Roman"/>
          <w:lang w:eastAsia="de-DE"/>
        </w:rPr>
        <w:t>ed</w:t>
      </w:r>
      <w:r w:rsidRPr="00A32158">
        <w:rPr>
          <w:rFonts w:eastAsia="Times New Roman"/>
          <w:lang w:eastAsia="de-DE"/>
        </w:rPr>
        <w:t xml:space="preserve"> archiving processes later on. Nonetheless, not every curation action can or should be implemented in pre-archival WFs. Therefore</w:t>
      </w:r>
      <w:r w:rsidR="009B79B2">
        <w:rPr>
          <w:rFonts w:eastAsia="Times New Roman"/>
          <w:lang w:eastAsia="de-DE"/>
        </w:rPr>
        <w:t>,</w:t>
      </w:r>
      <w:r w:rsidRPr="00A32158">
        <w:rPr>
          <w:rFonts w:eastAsia="Times New Roman"/>
          <w:lang w:eastAsia="de-DE"/>
        </w:rPr>
        <w:t xml:space="preserve"> the archive departments selected the above</w:t>
      </w:r>
      <w:r w:rsidR="0079503C">
        <w:rPr>
          <w:rFonts w:eastAsia="Times New Roman"/>
          <w:lang w:eastAsia="de-DE"/>
        </w:rPr>
        <w:t>-</w:t>
      </w:r>
      <w:r w:rsidRPr="00A32158">
        <w:rPr>
          <w:rFonts w:eastAsia="Times New Roman"/>
          <w:lang w:eastAsia="de-DE"/>
        </w:rPr>
        <w:t>mentioned actions and best practices in exchange with editorial office</w:t>
      </w:r>
      <w:r w:rsidR="0020715D">
        <w:rPr>
          <w:rFonts w:eastAsia="Times New Roman"/>
          <w:lang w:eastAsia="de-DE"/>
        </w:rPr>
        <w:t>s</w:t>
      </w:r>
      <w:r w:rsidRPr="00A32158">
        <w:rPr>
          <w:rFonts w:eastAsia="Times New Roman"/>
          <w:lang w:eastAsia="de-DE"/>
        </w:rPr>
        <w:t xml:space="preserve"> and </w:t>
      </w:r>
      <w:r w:rsidR="0020715D">
        <w:rPr>
          <w:rFonts w:eastAsia="Times New Roman"/>
          <w:lang w:eastAsia="de-DE"/>
        </w:rPr>
        <w:t xml:space="preserve">the </w:t>
      </w:r>
      <w:r w:rsidRPr="00A32158">
        <w:rPr>
          <w:rFonts w:eastAsia="Times New Roman"/>
          <w:lang w:eastAsia="de-DE"/>
        </w:rPr>
        <w:t>acquisition department. They maintain contact with these pre-archive departments as well, re-evaluating workflows while also taking organizational and technical conditions into</w:t>
      </w:r>
      <w:bookmarkStart w:id="0" w:name="_GoBack"/>
      <w:bookmarkEnd w:id="0"/>
      <w:r w:rsidRPr="00A32158">
        <w:rPr>
          <w:rFonts w:eastAsia="Times New Roman"/>
          <w:lang w:eastAsia="de-DE"/>
        </w:rPr>
        <w:t xml:space="preserve"> account. Still, this evaluation of prospective and actual implementations </w:t>
      </w:r>
      <w:r w:rsidR="0079503C">
        <w:rPr>
          <w:rFonts w:eastAsia="Times New Roman"/>
          <w:lang w:eastAsia="de-DE"/>
        </w:rPr>
        <w:t xml:space="preserve">described here </w:t>
      </w:r>
      <w:r w:rsidRPr="00A32158">
        <w:rPr>
          <w:rFonts w:eastAsia="Times New Roman"/>
          <w:lang w:eastAsia="de-DE"/>
        </w:rPr>
        <w:t>might help with</w:t>
      </w:r>
      <w:r w:rsidR="0079503C">
        <w:rPr>
          <w:rFonts w:eastAsia="Times New Roman"/>
          <w:lang w:eastAsia="de-DE"/>
        </w:rPr>
        <w:t xml:space="preserve"> the</w:t>
      </w:r>
      <w:r w:rsidRPr="00A32158">
        <w:rPr>
          <w:rFonts w:eastAsia="Times New Roman"/>
          <w:lang w:eastAsia="de-DE"/>
        </w:rPr>
        <w:t xml:space="preserve"> scaling of archiving workflows,</w:t>
      </w:r>
      <w:r w:rsidR="00CB65D5">
        <w:rPr>
          <w:rFonts w:eastAsia="Times New Roman"/>
          <w:lang w:eastAsia="de-DE"/>
        </w:rPr>
        <w:t xml:space="preserve"> </w:t>
      </w:r>
      <w:r w:rsidR="00CB65D5" w:rsidRPr="00CB65D5">
        <w:rPr>
          <w:rFonts w:eastAsia="Times New Roman"/>
          <w:lang w:eastAsia="de-DE"/>
        </w:rPr>
        <w:t>not just for the institutions mentioned in this paper but for others as well, because all are faced with increasing amounts of all kinds of materials that need to be archived.</w:t>
      </w:r>
    </w:p>
    <w:p w14:paraId="2D5BC675" w14:textId="6289F78E" w:rsidR="00A32158" w:rsidRDefault="00A32158" w:rsidP="00A32158">
      <w:pPr>
        <w:pStyle w:val="berschrift1"/>
        <w:numPr>
          <w:ilvl w:val="0"/>
          <w:numId w:val="0"/>
        </w:numPr>
      </w:pPr>
      <w:r>
        <w:t>References</w:t>
      </w:r>
    </w:p>
    <w:p w14:paraId="51A83D31" w14:textId="3D1DCF66" w:rsidR="002C5539" w:rsidRPr="002C5539" w:rsidRDefault="00D468EC" w:rsidP="002C5539">
      <w:pPr>
        <w:pStyle w:val="Literaturverzeichnis"/>
        <w:rPr>
          <w:sz w:val="16"/>
        </w:rPr>
      </w:pPr>
      <w:r>
        <w:fldChar w:fldCharType="begin"/>
      </w:r>
      <w:r w:rsidR="002C5539">
        <w:instrText xml:space="preserve"> ADDIN ZOTERO_BIBL {"uncited":[],"omitted":[],"custom":[]} CSL_BIBLIOGRAPHY </w:instrText>
      </w:r>
      <w:r>
        <w:fldChar w:fldCharType="separate"/>
      </w:r>
      <w:r w:rsidR="002C5539" w:rsidRPr="002C5539">
        <w:rPr>
          <w:sz w:val="16"/>
        </w:rPr>
        <w:t>[1]</w:t>
      </w:r>
      <w:r w:rsidR="002C5539" w:rsidRPr="002C5539">
        <w:rPr>
          <w:sz w:val="16"/>
        </w:rPr>
        <w:tab/>
        <w:t>J. Mitcham and P. Wheatley, “Digital Preservation Coalition Rapid Assessment Model (DPC RAM) (Version 2.0).” [Online]. Available: http://doi.org/10.7207/dpcram21-02</w:t>
      </w:r>
      <w:r w:rsidR="002918AE">
        <w:rPr>
          <w:sz w:val="16"/>
        </w:rPr>
        <w:t xml:space="preserve"> (accessed Feb. 14, 2022)</w:t>
      </w:r>
    </w:p>
    <w:p w14:paraId="3E4069C7" w14:textId="2022D16F" w:rsidR="002C5539" w:rsidRPr="002C5539" w:rsidRDefault="002C5539" w:rsidP="002C5539">
      <w:pPr>
        <w:pStyle w:val="Literaturverzeichnis"/>
        <w:rPr>
          <w:sz w:val="16"/>
        </w:rPr>
      </w:pPr>
      <w:r w:rsidRPr="002C5539">
        <w:rPr>
          <w:sz w:val="16"/>
        </w:rPr>
        <w:t>[2]</w:t>
      </w:r>
      <w:r w:rsidRPr="002C5539">
        <w:rPr>
          <w:sz w:val="16"/>
        </w:rPr>
        <w:tab/>
        <w:t xml:space="preserve">A. Beking </w:t>
      </w:r>
      <w:r w:rsidRPr="002C5539">
        <w:rPr>
          <w:i/>
          <w:iCs/>
          <w:sz w:val="16"/>
        </w:rPr>
        <w:t>et al.</w:t>
      </w:r>
      <w:r w:rsidRPr="002C5539">
        <w:rPr>
          <w:sz w:val="16"/>
        </w:rPr>
        <w:t xml:space="preserve">, “Digital Curation Decision Guide,” </w:t>
      </w:r>
      <w:r w:rsidRPr="002C5539">
        <w:rPr>
          <w:i/>
          <w:iCs/>
          <w:sz w:val="16"/>
        </w:rPr>
        <w:t>NDSA Publ.</w:t>
      </w:r>
      <w:r w:rsidRPr="002C5539">
        <w:rPr>
          <w:sz w:val="16"/>
        </w:rPr>
        <w:t>, Dec. 2020, doi: 10.17605/OSF.IO/Q8C47.</w:t>
      </w:r>
      <w:r w:rsidR="002918AE">
        <w:rPr>
          <w:sz w:val="16"/>
        </w:rPr>
        <w:t xml:space="preserve"> (accessed Feb. 14, 2022)</w:t>
      </w:r>
    </w:p>
    <w:p w14:paraId="4826BD20" w14:textId="6D4871C0" w:rsidR="002C5539" w:rsidRPr="002C5539" w:rsidRDefault="002C5539" w:rsidP="002C5539">
      <w:pPr>
        <w:pStyle w:val="Literaturverzeichnis"/>
        <w:rPr>
          <w:sz w:val="16"/>
        </w:rPr>
      </w:pPr>
      <w:r w:rsidRPr="002C5539">
        <w:rPr>
          <w:sz w:val="16"/>
        </w:rPr>
        <w:t>[3]</w:t>
      </w:r>
      <w:r w:rsidRPr="002C5539">
        <w:rPr>
          <w:sz w:val="16"/>
        </w:rPr>
        <w:tab/>
        <w:t xml:space="preserve">E. Faulder </w:t>
      </w:r>
      <w:r w:rsidRPr="002C5539">
        <w:rPr>
          <w:i/>
          <w:iCs/>
          <w:sz w:val="16"/>
        </w:rPr>
        <w:t>et al.</w:t>
      </w:r>
      <w:r w:rsidRPr="002C5539">
        <w:rPr>
          <w:sz w:val="16"/>
        </w:rPr>
        <w:t>, “Digital Processing Framework,” report, Aug. 2018. Accessed: Jan. 18, 2022. [Online]. Available: https://ecommons.cornell.edu/handle/1813/57659</w:t>
      </w:r>
    </w:p>
    <w:p w14:paraId="1132598E" w14:textId="7ABC3759" w:rsidR="002C5539" w:rsidRPr="003A5B11" w:rsidRDefault="002C5539" w:rsidP="002C5539">
      <w:pPr>
        <w:pStyle w:val="Literaturverzeichnis"/>
        <w:rPr>
          <w:sz w:val="16"/>
          <w:lang w:val="de-DE"/>
        </w:rPr>
      </w:pPr>
      <w:r w:rsidRPr="002C5539">
        <w:rPr>
          <w:sz w:val="16"/>
        </w:rPr>
        <w:t>[4]</w:t>
      </w:r>
      <w:r w:rsidRPr="002C5539">
        <w:rPr>
          <w:sz w:val="16"/>
        </w:rPr>
        <w:tab/>
        <w:t>CoreTrustSeal Standards and Certification Board, “CoreTrustSeal Trustworthy Data Repositories Requirements 2020–2022,” Nov. 2019, doi: 10.5281/zenodo.3638211.</w:t>
      </w:r>
      <w:r w:rsidR="002918AE">
        <w:rPr>
          <w:sz w:val="16"/>
        </w:rPr>
        <w:t xml:space="preserve"> </w:t>
      </w:r>
      <w:r w:rsidR="002918AE" w:rsidRPr="003A5B11">
        <w:rPr>
          <w:sz w:val="16"/>
          <w:lang w:val="de-DE"/>
        </w:rPr>
        <w:t>(accessed Feb. 14, 2022)</w:t>
      </w:r>
    </w:p>
    <w:p w14:paraId="53A269C3" w14:textId="154D5A1B" w:rsidR="002C5539" w:rsidRPr="002C5539" w:rsidRDefault="002C5539" w:rsidP="002C5539">
      <w:pPr>
        <w:pStyle w:val="Literaturverzeichnis"/>
        <w:rPr>
          <w:sz w:val="16"/>
        </w:rPr>
      </w:pPr>
      <w:r w:rsidRPr="002C5539">
        <w:rPr>
          <w:sz w:val="16"/>
          <w:lang w:val="de-DE"/>
        </w:rPr>
        <w:t>[5]</w:t>
      </w:r>
      <w:r w:rsidRPr="002C5539">
        <w:rPr>
          <w:sz w:val="16"/>
          <w:lang w:val="de-DE"/>
        </w:rPr>
        <w:tab/>
        <w:t xml:space="preserve">Deutsche Nationalbibliothek, “Spezifikation der Dateiformat-Policy für die Sammlung von Netzpublikationen der Deutschen Nationalbibliothek. </w:t>
      </w:r>
      <w:r w:rsidRPr="002C5539">
        <w:rPr>
          <w:sz w:val="16"/>
        </w:rPr>
        <w:t>Version 1.0.” Oct. 24, 2012. [Online]. Available: http://nbn-resolving.de/urn:nbn:de:101-2012102408</w:t>
      </w:r>
      <w:r w:rsidR="002918AE">
        <w:rPr>
          <w:sz w:val="16"/>
        </w:rPr>
        <w:t xml:space="preserve"> (accessed Feb. 14, 2022)</w:t>
      </w:r>
    </w:p>
    <w:p w14:paraId="18C03B21" w14:textId="637CD890" w:rsidR="002C5539" w:rsidRPr="002C5539" w:rsidRDefault="002C5539" w:rsidP="002C5539">
      <w:pPr>
        <w:pStyle w:val="Literaturverzeichnis"/>
        <w:rPr>
          <w:sz w:val="16"/>
        </w:rPr>
      </w:pPr>
      <w:r w:rsidRPr="002C5539">
        <w:rPr>
          <w:sz w:val="16"/>
        </w:rPr>
        <w:t>[6]</w:t>
      </w:r>
      <w:r w:rsidRPr="002C5539">
        <w:rPr>
          <w:sz w:val="16"/>
        </w:rPr>
        <w:tab/>
        <w:t xml:space="preserve">S. Morrissey and A. Kirchhoff, “Managing Preservation Costs with managed Ingest: The Portico Straight-to-Ingest Project,” in </w:t>
      </w:r>
      <w:r w:rsidRPr="002C5539">
        <w:rPr>
          <w:i/>
          <w:iCs/>
          <w:sz w:val="16"/>
        </w:rPr>
        <w:t>Proceedings of 16th International Conference on Digital Preservation</w:t>
      </w:r>
      <w:r w:rsidRPr="002C5539">
        <w:rPr>
          <w:sz w:val="16"/>
        </w:rPr>
        <w:t>, Amsterdam, Sep. 2019, pp. 317–322. doi: 10.17605/OSF.IO/VW7RJ.</w:t>
      </w:r>
      <w:r w:rsidR="002918AE">
        <w:rPr>
          <w:sz w:val="16"/>
        </w:rPr>
        <w:t xml:space="preserve"> (accessed Feb. 14, 2022)</w:t>
      </w:r>
    </w:p>
    <w:p w14:paraId="21A919F0" w14:textId="77777777" w:rsidR="002C5539" w:rsidRPr="002C5539" w:rsidRDefault="002C5539" w:rsidP="002C5539">
      <w:pPr>
        <w:pStyle w:val="Literaturverzeichnis"/>
        <w:rPr>
          <w:sz w:val="16"/>
        </w:rPr>
      </w:pPr>
      <w:r w:rsidRPr="002C5539">
        <w:rPr>
          <w:sz w:val="16"/>
        </w:rPr>
        <w:t>[7]</w:t>
      </w:r>
      <w:r w:rsidRPr="002C5539">
        <w:rPr>
          <w:sz w:val="16"/>
        </w:rPr>
        <w:tab/>
        <w:t>Rosenthal, David, “Why Preserve E-Journals? To Preserve The Record,” Jun. 10, 2007. https://blog.dshr.org/2007/06/why-preserve-e-journals-to-preserve.html (accessed Dec. 26, 2021).</w:t>
      </w:r>
    </w:p>
    <w:p w14:paraId="6F54C175" w14:textId="24A7FD55" w:rsidR="002C5539" w:rsidRPr="002C5539" w:rsidRDefault="002C5539" w:rsidP="002C5539">
      <w:pPr>
        <w:pStyle w:val="Literaturverzeichnis"/>
        <w:rPr>
          <w:sz w:val="16"/>
        </w:rPr>
      </w:pPr>
      <w:r w:rsidRPr="002C5539">
        <w:rPr>
          <w:sz w:val="16"/>
        </w:rPr>
        <w:t>[8]</w:t>
      </w:r>
      <w:r w:rsidRPr="002C5539">
        <w:rPr>
          <w:sz w:val="16"/>
        </w:rPr>
        <w:tab/>
        <w:t xml:space="preserve">B. Sprout and M. Jordan, “Distributed digital preservation: preserving open journal systems content in the PKP PN,” </w:t>
      </w:r>
      <w:r w:rsidRPr="002C5539">
        <w:rPr>
          <w:i/>
          <w:iCs/>
          <w:sz w:val="16"/>
        </w:rPr>
        <w:t>Digit. Libr. Perspect.</w:t>
      </w:r>
      <w:r w:rsidRPr="002C5539">
        <w:rPr>
          <w:sz w:val="16"/>
        </w:rPr>
        <w:t>, vol. 34, no. 4, pp. 246–261, Jan. 2018, doi: 10.1108/DLP-11-2017-0043.</w:t>
      </w:r>
      <w:r w:rsidR="002918AE">
        <w:rPr>
          <w:sz w:val="16"/>
        </w:rPr>
        <w:t xml:space="preserve"> (accessed Feb. 14, 2022)</w:t>
      </w:r>
    </w:p>
    <w:p w14:paraId="218EAB54" w14:textId="18780C1F" w:rsidR="002C5539" w:rsidRPr="002C5539" w:rsidRDefault="002C5539" w:rsidP="002C5539">
      <w:pPr>
        <w:pStyle w:val="Literaturverzeichnis"/>
        <w:rPr>
          <w:sz w:val="16"/>
        </w:rPr>
      </w:pPr>
      <w:r w:rsidRPr="002C5539">
        <w:rPr>
          <w:sz w:val="16"/>
        </w:rPr>
        <w:t>[9]</w:t>
      </w:r>
      <w:r w:rsidRPr="002C5539">
        <w:rPr>
          <w:sz w:val="16"/>
        </w:rPr>
        <w:tab/>
        <w:t xml:space="preserve">R. Arora, M. Esteva, and J. Trelogan, “Leveraging High Performance Computing for Managing Large and Evolving Data Collections,” </w:t>
      </w:r>
      <w:r w:rsidRPr="002C5539">
        <w:rPr>
          <w:i/>
          <w:iCs/>
          <w:sz w:val="16"/>
        </w:rPr>
        <w:t>Int. J. Digit. Curation</w:t>
      </w:r>
      <w:r w:rsidR="003A5B11">
        <w:rPr>
          <w:sz w:val="16"/>
        </w:rPr>
        <w:t xml:space="preserve">, vol. 9, no. 2, Art. pp. </w:t>
      </w:r>
      <w:r w:rsidR="003A5B11" w:rsidRPr="003A5B11">
        <w:rPr>
          <w:sz w:val="16"/>
        </w:rPr>
        <w:t>17-27</w:t>
      </w:r>
      <w:r w:rsidRPr="002C5539">
        <w:rPr>
          <w:sz w:val="16"/>
        </w:rPr>
        <w:t>, Oct. 2014, doi: 10.2218/ijdc.v9i2.331.</w:t>
      </w:r>
      <w:r w:rsidR="002918AE">
        <w:rPr>
          <w:sz w:val="16"/>
        </w:rPr>
        <w:t xml:space="preserve"> (accessed Feb. 14, 2022)</w:t>
      </w:r>
    </w:p>
    <w:p w14:paraId="794F78DF" w14:textId="068A4BE0" w:rsidR="002C5539" w:rsidRPr="002C5539" w:rsidRDefault="002C5539" w:rsidP="002C5539">
      <w:pPr>
        <w:pStyle w:val="Literaturverzeichnis"/>
        <w:rPr>
          <w:sz w:val="16"/>
        </w:rPr>
      </w:pPr>
      <w:r w:rsidRPr="002C5539">
        <w:rPr>
          <w:sz w:val="16"/>
        </w:rPr>
        <w:t>[10]</w:t>
      </w:r>
      <w:r w:rsidRPr="002C5539">
        <w:rPr>
          <w:sz w:val="16"/>
        </w:rPr>
        <w:tab/>
        <w:t xml:space="preserve">B. Sprout and S. Romkey, “A Persistent Digital Collections Strategy for UBC Library,” in </w:t>
      </w:r>
      <w:r w:rsidRPr="002C5539">
        <w:rPr>
          <w:i/>
          <w:iCs/>
          <w:sz w:val="16"/>
        </w:rPr>
        <w:t xml:space="preserve">Proceedings of the Memory of the </w:t>
      </w:r>
      <w:r w:rsidRPr="002C5539">
        <w:rPr>
          <w:i/>
          <w:iCs/>
          <w:sz w:val="16"/>
        </w:rPr>
        <w:lastRenderedPageBreak/>
        <w:t>World in the Digital Age: Digitization and Preservation Conference</w:t>
      </w:r>
      <w:r w:rsidRPr="002C5539">
        <w:rPr>
          <w:sz w:val="16"/>
        </w:rPr>
        <w:t>, Vancouver, British Columbia, Canada, 2013, pp. 256–268. [Online]. Available: http://www.unesco.org/new/fileadmin/MULTIMEDIA/HQ/CI/CI/pdf/mow/VC_Sprout_Romkey_26_B_1540.pdf</w:t>
      </w:r>
      <w:r w:rsidR="002918AE">
        <w:rPr>
          <w:sz w:val="16"/>
        </w:rPr>
        <w:t xml:space="preserve"> (accessed Feb. 14, 2022)</w:t>
      </w:r>
    </w:p>
    <w:p w14:paraId="78DD0E86" w14:textId="143D12FC" w:rsidR="002C5539" w:rsidRPr="002C5539" w:rsidRDefault="002C5539" w:rsidP="002C5539">
      <w:pPr>
        <w:pStyle w:val="Literaturverzeichnis"/>
        <w:rPr>
          <w:sz w:val="16"/>
        </w:rPr>
      </w:pPr>
      <w:r w:rsidRPr="002C5539">
        <w:rPr>
          <w:sz w:val="16"/>
        </w:rPr>
        <w:t>[11]</w:t>
      </w:r>
      <w:r w:rsidRPr="002C5539">
        <w:rPr>
          <w:sz w:val="16"/>
        </w:rPr>
        <w:tab/>
        <w:t xml:space="preserve">V. Banos and Y. Manolopoulos, “A quantitative approach to evaluate Website Archivability using the CLEAR+ method,” </w:t>
      </w:r>
      <w:r w:rsidRPr="002C5539">
        <w:rPr>
          <w:i/>
          <w:iCs/>
          <w:sz w:val="16"/>
        </w:rPr>
        <w:t>Int. J. Digit. Libr.</w:t>
      </w:r>
      <w:r w:rsidRPr="002C5539">
        <w:rPr>
          <w:sz w:val="16"/>
        </w:rPr>
        <w:t>, vol. 17, no. 2, pp. 119–141, Jun. 2016, doi: 10.1007/s00799-015-0144-4.</w:t>
      </w:r>
      <w:r w:rsidR="002918AE">
        <w:rPr>
          <w:sz w:val="16"/>
        </w:rPr>
        <w:t xml:space="preserve"> (accessed Feb. 14, 2022)</w:t>
      </w:r>
    </w:p>
    <w:p w14:paraId="53833346" w14:textId="54C7B466" w:rsidR="002C5539" w:rsidRPr="002C5539" w:rsidRDefault="002C5539" w:rsidP="002C5539">
      <w:pPr>
        <w:pStyle w:val="Literaturverzeichnis"/>
        <w:rPr>
          <w:sz w:val="16"/>
        </w:rPr>
      </w:pPr>
      <w:r w:rsidRPr="002C5539">
        <w:rPr>
          <w:sz w:val="16"/>
        </w:rPr>
        <w:t>[12]</w:t>
      </w:r>
      <w:r w:rsidRPr="002C5539">
        <w:rPr>
          <w:sz w:val="16"/>
        </w:rPr>
        <w:tab/>
        <w:t xml:space="preserve">D. R. Bleakly, “Long-term spatial data preservation and archiving: What are the issues,” </w:t>
      </w:r>
      <w:r w:rsidRPr="002C5539">
        <w:rPr>
          <w:i/>
          <w:iCs/>
          <w:sz w:val="16"/>
        </w:rPr>
        <w:t>Sand Rep. SAND 2002</w:t>
      </w:r>
      <w:r w:rsidRPr="002C5539">
        <w:rPr>
          <w:sz w:val="16"/>
        </w:rPr>
        <w:t>, vol. 107, 2002, doi: 10.2172/793225.</w:t>
      </w:r>
      <w:r w:rsidR="002918AE">
        <w:rPr>
          <w:sz w:val="16"/>
        </w:rPr>
        <w:t xml:space="preserve"> (accessed Feb. 14, 2022)</w:t>
      </w:r>
    </w:p>
    <w:p w14:paraId="6B52E35D" w14:textId="113A1914" w:rsidR="002C5539" w:rsidRPr="002C5539" w:rsidRDefault="002C5539" w:rsidP="002C5539">
      <w:pPr>
        <w:pStyle w:val="Literaturverzeichnis"/>
        <w:rPr>
          <w:sz w:val="16"/>
        </w:rPr>
      </w:pPr>
      <w:r w:rsidRPr="002C5539">
        <w:rPr>
          <w:sz w:val="16"/>
        </w:rPr>
        <w:t>[13]</w:t>
      </w:r>
      <w:r w:rsidRPr="002C5539">
        <w:rPr>
          <w:sz w:val="16"/>
        </w:rPr>
        <w:tab/>
        <w:t xml:space="preserve">K. Skinner and M. Schultz, </w:t>
      </w:r>
      <w:r w:rsidRPr="002C5539">
        <w:rPr>
          <w:i/>
          <w:iCs/>
          <w:sz w:val="16"/>
        </w:rPr>
        <w:t>Guidelines for Digital Newspaper Preservation Readiness</w:t>
      </w:r>
      <w:r w:rsidRPr="002C5539">
        <w:rPr>
          <w:sz w:val="16"/>
        </w:rPr>
        <w:t>. Atlanta, GA: University of North Texas Libraries, UNT Digital Library, https://digital.library.unt.edu, 2014. Accessed: Jan. 07, 2022. [Online]. Available: https://digital.library.unt.edu/ark:/67531/metadc282586/</w:t>
      </w:r>
    </w:p>
    <w:p w14:paraId="65E945F1" w14:textId="63CC6AA6" w:rsidR="002C5539" w:rsidRPr="003A5B11" w:rsidRDefault="002C5539" w:rsidP="002C5539">
      <w:pPr>
        <w:pStyle w:val="Literaturverzeichnis"/>
        <w:rPr>
          <w:sz w:val="16"/>
          <w:lang w:val="de-DE"/>
        </w:rPr>
      </w:pPr>
      <w:r w:rsidRPr="002C5539">
        <w:rPr>
          <w:sz w:val="16"/>
        </w:rPr>
        <w:t>[14]</w:t>
      </w:r>
      <w:r w:rsidRPr="002C5539">
        <w:rPr>
          <w:sz w:val="16"/>
        </w:rPr>
        <w:tab/>
        <w:t xml:space="preserve">K. Dohe and R. Pike, “Integration of Project Management Techniques in Digital Projects,” in </w:t>
      </w:r>
      <w:r w:rsidRPr="002C5539">
        <w:rPr>
          <w:i/>
          <w:iCs/>
          <w:sz w:val="16"/>
        </w:rPr>
        <w:t>Project Management in the Library Workplace</w:t>
      </w:r>
      <w:r w:rsidRPr="002C5539">
        <w:rPr>
          <w:sz w:val="16"/>
        </w:rPr>
        <w:t>, vol. 38, Emerald Publishing Limited, 2018, pp. 151–166. doi: 10.1108/S0732-067120180000038013.</w:t>
      </w:r>
      <w:r w:rsidR="002918AE">
        <w:rPr>
          <w:sz w:val="16"/>
        </w:rPr>
        <w:t xml:space="preserve"> </w:t>
      </w:r>
      <w:r w:rsidR="002918AE" w:rsidRPr="003A5B11">
        <w:rPr>
          <w:sz w:val="16"/>
          <w:lang w:val="de-DE"/>
        </w:rPr>
        <w:t>(accessed Feb. 14, 2022)</w:t>
      </w:r>
    </w:p>
    <w:p w14:paraId="412D22C4" w14:textId="3C6D056B" w:rsidR="002C5539" w:rsidRPr="002C5539" w:rsidRDefault="002C5539" w:rsidP="002C5539">
      <w:pPr>
        <w:pStyle w:val="Literaturverzeichnis"/>
        <w:rPr>
          <w:sz w:val="16"/>
        </w:rPr>
      </w:pPr>
      <w:r w:rsidRPr="002C5539">
        <w:rPr>
          <w:sz w:val="16"/>
          <w:lang w:val="de-DE"/>
        </w:rPr>
        <w:t>[15]</w:t>
      </w:r>
      <w:r w:rsidRPr="002C5539">
        <w:rPr>
          <w:sz w:val="16"/>
          <w:lang w:val="de-DE"/>
        </w:rPr>
        <w:tab/>
        <w:t xml:space="preserve">Deutsche Forschungsgesellschaft, “12.151 DFG-Praxisregeln ‘Digitalisierung’ [12/16].” </w:t>
      </w:r>
      <w:r w:rsidRPr="003A5B11">
        <w:rPr>
          <w:sz w:val="16"/>
          <w:lang w:val="de-DE"/>
        </w:rPr>
        <w:t xml:space="preserve">Accessed: Feb. 10, 2022. [Online]. </w:t>
      </w:r>
      <w:r w:rsidRPr="002C5539">
        <w:rPr>
          <w:sz w:val="16"/>
        </w:rPr>
        <w:t>Available: http://www.dfg.de/formulare/12_151/12_151_de.pdf</w:t>
      </w:r>
      <w:r w:rsidR="002918AE">
        <w:rPr>
          <w:sz w:val="16"/>
        </w:rPr>
        <w:t xml:space="preserve"> (accessed Feb. 14, 2022)</w:t>
      </w:r>
    </w:p>
    <w:p w14:paraId="7B9B8879" w14:textId="77777777" w:rsidR="002C5539" w:rsidRPr="002C5539" w:rsidRDefault="002C5539" w:rsidP="002C5539">
      <w:pPr>
        <w:pStyle w:val="Literaturverzeichnis"/>
        <w:rPr>
          <w:sz w:val="16"/>
        </w:rPr>
      </w:pPr>
      <w:r w:rsidRPr="002C5539">
        <w:rPr>
          <w:sz w:val="16"/>
        </w:rPr>
        <w:t>[16]</w:t>
      </w:r>
      <w:r w:rsidRPr="002C5539">
        <w:rPr>
          <w:sz w:val="16"/>
        </w:rPr>
        <w:tab/>
        <w:t>“PUBLISSO Gold Open Access publication portal.” https://www.publisso.de/en/publishing/ (accessed Feb. 21, 2022).</w:t>
      </w:r>
    </w:p>
    <w:p w14:paraId="18CF90E8" w14:textId="77777777" w:rsidR="002C5539" w:rsidRPr="002C5539" w:rsidRDefault="002C5539" w:rsidP="002C5539">
      <w:pPr>
        <w:pStyle w:val="Literaturverzeichnis"/>
        <w:rPr>
          <w:sz w:val="16"/>
        </w:rPr>
      </w:pPr>
      <w:r w:rsidRPr="002C5539">
        <w:rPr>
          <w:sz w:val="16"/>
        </w:rPr>
        <w:t>[17]</w:t>
      </w:r>
      <w:r w:rsidRPr="002C5539">
        <w:rPr>
          <w:sz w:val="16"/>
        </w:rPr>
        <w:tab/>
        <w:t>“German Medical Science publication portal.” https://www.egms.de/dynamic/en/index.htm (accessed Feb. 21, 2022).</w:t>
      </w:r>
    </w:p>
    <w:p w14:paraId="6DF6CD00" w14:textId="77777777" w:rsidR="002C5539" w:rsidRPr="002C5539" w:rsidRDefault="002C5539" w:rsidP="002C5539">
      <w:pPr>
        <w:pStyle w:val="Literaturverzeichnis"/>
        <w:rPr>
          <w:sz w:val="16"/>
        </w:rPr>
      </w:pPr>
      <w:r w:rsidRPr="002C5539">
        <w:rPr>
          <w:sz w:val="16"/>
        </w:rPr>
        <w:t>[18]</w:t>
      </w:r>
      <w:r w:rsidRPr="002C5539">
        <w:rPr>
          <w:sz w:val="16"/>
        </w:rPr>
        <w:tab/>
        <w:t xml:space="preserve">C. Arms and C. Fleischhauer, “Digital Formats: Factors for Sustainability, Functionality, and Quality,” </w:t>
      </w:r>
      <w:r w:rsidRPr="002C5539">
        <w:rPr>
          <w:i/>
          <w:iCs/>
          <w:sz w:val="16"/>
        </w:rPr>
        <w:t>Arch. Conf.</w:t>
      </w:r>
      <w:r w:rsidRPr="002C5539">
        <w:rPr>
          <w:sz w:val="16"/>
        </w:rPr>
        <w:t>, vol. 2005, no. 1, pp. 222–227, Jan. 2005.</w:t>
      </w:r>
    </w:p>
    <w:p w14:paraId="30236619" w14:textId="77777777" w:rsidR="002C5539" w:rsidRPr="002C5539" w:rsidRDefault="002C5539" w:rsidP="002C5539">
      <w:pPr>
        <w:pStyle w:val="Literaturverzeichnis"/>
        <w:rPr>
          <w:sz w:val="16"/>
        </w:rPr>
      </w:pPr>
      <w:r w:rsidRPr="002C5539">
        <w:rPr>
          <w:sz w:val="16"/>
        </w:rPr>
        <w:t>[19]</w:t>
      </w:r>
      <w:r w:rsidRPr="002C5539">
        <w:rPr>
          <w:sz w:val="16"/>
        </w:rPr>
        <w:tab/>
        <w:t>A. J. Gray, C. A. Goble, and R. Jimenez, “Bioschemas: from potato salad to protein annotation,” presented at the International Semantic Web Conference (Posters, Demos &amp; Industry Tracks), 2017.</w:t>
      </w:r>
    </w:p>
    <w:p w14:paraId="5910928A" w14:textId="77777777" w:rsidR="002C5539" w:rsidRPr="002C5539" w:rsidRDefault="002C5539" w:rsidP="002C5539">
      <w:pPr>
        <w:pStyle w:val="Literaturverzeichnis"/>
        <w:rPr>
          <w:sz w:val="16"/>
        </w:rPr>
      </w:pPr>
      <w:r w:rsidRPr="002C5539">
        <w:rPr>
          <w:sz w:val="16"/>
        </w:rPr>
        <w:t>[20]</w:t>
      </w:r>
      <w:r w:rsidRPr="002C5539">
        <w:rPr>
          <w:sz w:val="16"/>
        </w:rPr>
        <w:tab/>
        <w:t xml:space="preserve">R. Miner, “The importance of MathML to mathematics communication,” </w:t>
      </w:r>
      <w:r w:rsidRPr="002C5539">
        <w:rPr>
          <w:i/>
          <w:iCs/>
          <w:sz w:val="16"/>
        </w:rPr>
        <w:t>Not. AMS</w:t>
      </w:r>
      <w:r w:rsidRPr="002C5539">
        <w:rPr>
          <w:sz w:val="16"/>
        </w:rPr>
        <w:t>, vol. 52, no. 5, pp. 532–538, 2005.</w:t>
      </w:r>
    </w:p>
    <w:p w14:paraId="6BD2A095" w14:textId="0880FB05" w:rsidR="002C5539" w:rsidRPr="002C5539" w:rsidRDefault="002C5539" w:rsidP="002C5539">
      <w:pPr>
        <w:pStyle w:val="Literaturverzeichnis"/>
        <w:rPr>
          <w:sz w:val="16"/>
        </w:rPr>
      </w:pPr>
      <w:r w:rsidRPr="002C5539">
        <w:rPr>
          <w:sz w:val="16"/>
        </w:rPr>
        <w:t>[21]</w:t>
      </w:r>
      <w:r w:rsidRPr="002C5539">
        <w:rPr>
          <w:sz w:val="16"/>
        </w:rPr>
        <w:tab/>
        <w:t xml:space="preserve">S.-A. Sansone </w:t>
      </w:r>
      <w:r w:rsidRPr="002C5539">
        <w:rPr>
          <w:i/>
          <w:iCs/>
          <w:sz w:val="16"/>
        </w:rPr>
        <w:t>et al.</w:t>
      </w:r>
      <w:r w:rsidRPr="002C5539">
        <w:rPr>
          <w:sz w:val="16"/>
        </w:rPr>
        <w:t xml:space="preserve">, “FAIRsharing as a community approach to standards, repositories and policies,” </w:t>
      </w:r>
      <w:r w:rsidRPr="002C5539">
        <w:rPr>
          <w:i/>
          <w:iCs/>
          <w:sz w:val="16"/>
        </w:rPr>
        <w:t>Nat. Biotechnol.</w:t>
      </w:r>
      <w:r w:rsidRPr="002C5539">
        <w:rPr>
          <w:sz w:val="16"/>
        </w:rPr>
        <w:t>, vol. 37, no. 4, Art.</w:t>
      </w:r>
      <w:r w:rsidR="003A5B11">
        <w:rPr>
          <w:sz w:val="16"/>
        </w:rPr>
        <w:t xml:space="preserve"> pp. </w:t>
      </w:r>
      <w:r w:rsidR="003A5B11" w:rsidRPr="003A5B11">
        <w:rPr>
          <w:sz w:val="16"/>
        </w:rPr>
        <w:t>358-367</w:t>
      </w:r>
      <w:r w:rsidRPr="002C5539">
        <w:rPr>
          <w:sz w:val="16"/>
        </w:rPr>
        <w:t>, Apr. 2019, doi: 10.1038/s41587-019-0080-8.</w:t>
      </w:r>
      <w:r w:rsidR="002918AE">
        <w:rPr>
          <w:sz w:val="16"/>
        </w:rPr>
        <w:t xml:space="preserve"> (accessed Feb. 14, 2022)</w:t>
      </w:r>
    </w:p>
    <w:p w14:paraId="0A6755EA" w14:textId="2575CE3B" w:rsidR="002C5539" w:rsidRPr="002C5539" w:rsidRDefault="002C5539" w:rsidP="002C5539">
      <w:pPr>
        <w:pStyle w:val="Literaturverzeichnis"/>
        <w:rPr>
          <w:sz w:val="16"/>
        </w:rPr>
      </w:pPr>
      <w:r w:rsidRPr="002C5539">
        <w:rPr>
          <w:sz w:val="16"/>
        </w:rPr>
        <w:t>[22]</w:t>
      </w:r>
      <w:r w:rsidRPr="002C5539">
        <w:rPr>
          <w:sz w:val="16"/>
        </w:rPr>
        <w:tab/>
        <w:t>“Simplified Molecular Input Line Entry Specification Format (SMILES).” https://doi.org/10.25504/FAIRsharing.qv4b3c</w:t>
      </w:r>
      <w:r w:rsidR="002918AE">
        <w:rPr>
          <w:sz w:val="16"/>
        </w:rPr>
        <w:t xml:space="preserve"> (accessed Feb. 14, 2022)</w:t>
      </w:r>
    </w:p>
    <w:p w14:paraId="3957A722" w14:textId="77777777" w:rsidR="002C5539" w:rsidRPr="002C5539" w:rsidRDefault="002C5539" w:rsidP="002C5539">
      <w:pPr>
        <w:pStyle w:val="Literaturverzeichnis"/>
        <w:rPr>
          <w:sz w:val="16"/>
        </w:rPr>
      </w:pPr>
      <w:r w:rsidRPr="002C5539">
        <w:rPr>
          <w:sz w:val="16"/>
        </w:rPr>
        <w:t>[23]</w:t>
      </w:r>
      <w:r w:rsidRPr="002C5539">
        <w:rPr>
          <w:sz w:val="16"/>
        </w:rPr>
        <w:tab/>
        <w:t>ZBW, “EconStor.” https://www.econstor.eu/ (accessed Feb. 14, 2022).</w:t>
      </w:r>
    </w:p>
    <w:p w14:paraId="72B394DF" w14:textId="77777777" w:rsidR="002C5539" w:rsidRPr="002C5539" w:rsidRDefault="002C5539" w:rsidP="002C5539">
      <w:pPr>
        <w:pStyle w:val="Literaturverzeichnis"/>
        <w:rPr>
          <w:sz w:val="16"/>
        </w:rPr>
      </w:pPr>
      <w:r w:rsidRPr="002C5539">
        <w:rPr>
          <w:sz w:val="16"/>
        </w:rPr>
        <w:t>[24]</w:t>
      </w:r>
      <w:r w:rsidRPr="002C5539">
        <w:rPr>
          <w:sz w:val="16"/>
        </w:rPr>
        <w:tab/>
        <w:t>ZBW, “EconBiz.” https://www.econbiz.de/ (accessed Feb. 14, 2022).</w:t>
      </w:r>
    </w:p>
    <w:p w14:paraId="6E6320D3" w14:textId="77777777" w:rsidR="002C5539" w:rsidRPr="002C5539" w:rsidRDefault="002C5539" w:rsidP="002C5539">
      <w:pPr>
        <w:pStyle w:val="Literaturverzeichnis"/>
        <w:rPr>
          <w:sz w:val="16"/>
        </w:rPr>
      </w:pPr>
      <w:r w:rsidRPr="002C5539">
        <w:rPr>
          <w:sz w:val="16"/>
        </w:rPr>
        <w:t>[25]</w:t>
      </w:r>
      <w:r w:rsidRPr="002C5539">
        <w:rPr>
          <w:sz w:val="16"/>
        </w:rPr>
        <w:tab/>
        <w:t>Ex Libris, “Rosetta.” https://exlibrisgroup.com/products/rosetta-digital-asset-management-and-preservation/ (accessed Feb. 14, 2022).</w:t>
      </w:r>
    </w:p>
    <w:p w14:paraId="6BEF3B8E" w14:textId="77777777" w:rsidR="002C5539" w:rsidRPr="002C5539" w:rsidRDefault="002C5539" w:rsidP="002C5539">
      <w:pPr>
        <w:pStyle w:val="Literaturverzeichnis"/>
        <w:rPr>
          <w:sz w:val="16"/>
        </w:rPr>
      </w:pPr>
      <w:r w:rsidRPr="002C5539">
        <w:rPr>
          <w:sz w:val="16"/>
        </w:rPr>
        <w:t>[26]</w:t>
      </w:r>
      <w:r w:rsidRPr="002C5539">
        <w:rPr>
          <w:sz w:val="16"/>
        </w:rPr>
        <w:tab/>
        <w:t>dSPACE, “DSpace.” https://www.dspace.com/en/pub/home.cfm (accessed Feb. 14, 2022).</w:t>
      </w:r>
    </w:p>
    <w:p w14:paraId="53CCAEFF" w14:textId="77777777" w:rsidR="002C5539" w:rsidRPr="002C5539" w:rsidRDefault="002C5539" w:rsidP="002C5539">
      <w:pPr>
        <w:pStyle w:val="Literaturverzeichnis"/>
        <w:rPr>
          <w:sz w:val="16"/>
        </w:rPr>
      </w:pPr>
      <w:r w:rsidRPr="002C5539">
        <w:rPr>
          <w:sz w:val="16"/>
        </w:rPr>
        <w:t>[27]</w:t>
      </w:r>
      <w:r w:rsidRPr="002C5539">
        <w:rPr>
          <w:sz w:val="16"/>
        </w:rPr>
        <w:tab/>
        <w:t>Harvey, Phil, “ExifTool.” https://exiftool.org/ (accessed Feb. 14, 2022).</w:t>
      </w:r>
    </w:p>
    <w:p w14:paraId="6E624294" w14:textId="77777777" w:rsidR="002C5539" w:rsidRPr="002C5539" w:rsidRDefault="002C5539" w:rsidP="002C5539">
      <w:pPr>
        <w:pStyle w:val="Literaturverzeichnis"/>
        <w:rPr>
          <w:sz w:val="16"/>
        </w:rPr>
      </w:pPr>
      <w:r w:rsidRPr="002C5539">
        <w:rPr>
          <w:sz w:val="16"/>
        </w:rPr>
        <w:t>[28]</w:t>
      </w:r>
      <w:r w:rsidRPr="002C5539">
        <w:rPr>
          <w:sz w:val="16"/>
        </w:rPr>
        <w:tab/>
        <w:t xml:space="preserve">Tunnat, Yvonne, “Validation with ExifTool: Quick and not so dirty,” </w:t>
      </w:r>
      <w:r w:rsidRPr="002C5539">
        <w:rPr>
          <w:i/>
          <w:iCs/>
          <w:sz w:val="16"/>
        </w:rPr>
        <w:t>Open Preservation Foundation Blogs</w:t>
      </w:r>
      <w:r w:rsidRPr="002C5539">
        <w:rPr>
          <w:sz w:val="16"/>
        </w:rPr>
        <w:t>, Feb. 04, 2011. https://openpreservation.org/blogs/pdf-validation-with-exiftool-quick-and-not-so-dirty/?q=1 (accessed Feb. 14, 2022).</w:t>
      </w:r>
    </w:p>
    <w:p w14:paraId="4AA10EB7" w14:textId="77777777" w:rsidR="002C5539" w:rsidRPr="002C5539" w:rsidRDefault="002C5539" w:rsidP="002C5539">
      <w:pPr>
        <w:pStyle w:val="Literaturverzeichnis"/>
        <w:rPr>
          <w:sz w:val="16"/>
        </w:rPr>
      </w:pPr>
      <w:r w:rsidRPr="002C5539">
        <w:rPr>
          <w:sz w:val="16"/>
        </w:rPr>
        <w:t>[29]</w:t>
      </w:r>
      <w:r w:rsidRPr="002C5539">
        <w:rPr>
          <w:sz w:val="16"/>
        </w:rPr>
        <w:tab/>
        <w:t xml:space="preserve">Tunnat, Yvonne, “TIFF format validation: easy-peasy?,” </w:t>
      </w:r>
      <w:r w:rsidRPr="002C5539">
        <w:rPr>
          <w:i/>
          <w:iCs/>
          <w:sz w:val="16"/>
        </w:rPr>
        <w:t>Open Preservation Foundation Blogs</w:t>
      </w:r>
      <w:r w:rsidRPr="002C5539">
        <w:rPr>
          <w:sz w:val="16"/>
        </w:rPr>
        <w:t>, Jan. 17, 2017. https://openpreservation.org/blogs/tiff-format-validation-easy-peasy/ (accessed Feb. 14, 2022).</w:t>
      </w:r>
    </w:p>
    <w:p w14:paraId="1FBE7280" w14:textId="77777777" w:rsidR="002C5539" w:rsidRPr="002C5539" w:rsidRDefault="002C5539" w:rsidP="002C5539">
      <w:pPr>
        <w:pStyle w:val="Literaturverzeichnis"/>
        <w:rPr>
          <w:sz w:val="16"/>
        </w:rPr>
      </w:pPr>
      <w:r w:rsidRPr="002C5539">
        <w:rPr>
          <w:sz w:val="16"/>
        </w:rPr>
        <w:t>[30]</w:t>
      </w:r>
      <w:r w:rsidRPr="002C5539">
        <w:rPr>
          <w:sz w:val="16"/>
        </w:rPr>
        <w:tab/>
        <w:t xml:space="preserve">Tunnat, Yvonne, “Error detection of JPEG files with JHOVE and Bad Peggy – so who’s the real Sherlock Holmes here?,” </w:t>
      </w:r>
      <w:r w:rsidRPr="002C5539">
        <w:rPr>
          <w:i/>
          <w:iCs/>
          <w:sz w:val="16"/>
        </w:rPr>
        <w:t>Open Preservation Foundation Blogs</w:t>
      </w:r>
      <w:r w:rsidRPr="002C5539">
        <w:rPr>
          <w:sz w:val="16"/>
        </w:rPr>
        <w:t xml:space="preserve">, Nov. 29, 2016. </w:t>
      </w:r>
      <w:r w:rsidRPr="002C5539">
        <w:rPr>
          <w:sz w:val="16"/>
        </w:rPr>
        <w:t>https://openpreservation.org/blogs/jpegvalidation/ (accessed Feb. 14, 2022).</w:t>
      </w:r>
    </w:p>
    <w:p w14:paraId="683B612E" w14:textId="77777777" w:rsidR="002C5539" w:rsidRPr="002C5539" w:rsidRDefault="002C5539" w:rsidP="002C5539">
      <w:pPr>
        <w:pStyle w:val="Literaturverzeichnis"/>
        <w:rPr>
          <w:sz w:val="16"/>
        </w:rPr>
      </w:pPr>
      <w:r w:rsidRPr="002C5539">
        <w:rPr>
          <w:sz w:val="16"/>
        </w:rPr>
        <w:t>[31]</w:t>
      </w:r>
      <w:r w:rsidRPr="002C5539">
        <w:rPr>
          <w:sz w:val="16"/>
        </w:rPr>
        <w:tab/>
        <w:t xml:space="preserve">Tunnat, Yvonne, “Good GIF hunting: JHOVE’s GIF validation skills,” </w:t>
      </w:r>
      <w:r w:rsidRPr="002C5539">
        <w:rPr>
          <w:i/>
          <w:iCs/>
          <w:sz w:val="16"/>
        </w:rPr>
        <w:t>Open Preservation Blogs</w:t>
      </w:r>
      <w:r w:rsidRPr="002C5539">
        <w:rPr>
          <w:sz w:val="16"/>
        </w:rPr>
        <w:t>, Dec. 05, 2017. https://openpreservation.org/blogs/good-gif-hunting/ (accessed Feb. 14, 2022).</w:t>
      </w:r>
    </w:p>
    <w:p w14:paraId="490C02E5" w14:textId="77777777" w:rsidR="002C5539" w:rsidRPr="002C5539" w:rsidRDefault="002C5539" w:rsidP="002C5539">
      <w:pPr>
        <w:pStyle w:val="Literaturverzeichnis"/>
        <w:rPr>
          <w:sz w:val="16"/>
        </w:rPr>
      </w:pPr>
      <w:r w:rsidRPr="002C5539">
        <w:rPr>
          <w:sz w:val="16"/>
        </w:rPr>
        <w:t>[32]</w:t>
      </w:r>
      <w:r w:rsidRPr="002C5539">
        <w:rPr>
          <w:sz w:val="16"/>
        </w:rPr>
        <w:tab/>
        <w:t xml:space="preserve">Tunnat, Yvonne, “JHOVE – the one and only PDF validator,” </w:t>
      </w:r>
      <w:r w:rsidRPr="002C5539">
        <w:rPr>
          <w:i/>
          <w:iCs/>
          <w:sz w:val="16"/>
        </w:rPr>
        <w:t>Open Preservation Foundation Blogs</w:t>
      </w:r>
      <w:r w:rsidRPr="002C5539">
        <w:rPr>
          <w:sz w:val="16"/>
        </w:rPr>
        <w:t>, Dec. 19, 2017. https://openpreservation.org/blogs/jhove-the-one-and-only-pdf-validator/ (accessed Feb. 14, 2022).</w:t>
      </w:r>
    </w:p>
    <w:p w14:paraId="6CD7D538" w14:textId="77777777" w:rsidR="002C5539" w:rsidRPr="002C5539" w:rsidRDefault="002C5539" w:rsidP="002C5539">
      <w:pPr>
        <w:pStyle w:val="Literaturverzeichnis"/>
        <w:rPr>
          <w:sz w:val="16"/>
        </w:rPr>
      </w:pPr>
      <w:r w:rsidRPr="002C5539">
        <w:rPr>
          <w:sz w:val="16"/>
        </w:rPr>
        <w:t>[33]</w:t>
      </w:r>
      <w:r w:rsidRPr="002C5539">
        <w:rPr>
          <w:sz w:val="16"/>
        </w:rPr>
        <w:tab/>
        <w:t xml:space="preserve">M. Lindlar, C. Wilson, and Tunnat, Yvonne, “A PDF Test-Set for Well-Formedness Validation in JHOVE - The Good, the Bad and the Ugly,” in </w:t>
      </w:r>
      <w:r w:rsidRPr="002C5539">
        <w:rPr>
          <w:i/>
          <w:iCs/>
          <w:sz w:val="16"/>
        </w:rPr>
        <w:t>iPRES Japan</w:t>
      </w:r>
      <w:r w:rsidRPr="002C5539">
        <w:rPr>
          <w:sz w:val="16"/>
        </w:rPr>
        <w:t>, Japan, Kyoto, Sep. 2017, p. 11. Accessed: Feb. 21, 2022. [Online]. Available: https://files.dnb.de/nestor/weitere/ipres2017.pdf</w:t>
      </w:r>
    </w:p>
    <w:p w14:paraId="61EAEDCE" w14:textId="2F1BB0DE" w:rsidR="0099157C" w:rsidRPr="0099157C" w:rsidRDefault="00D468EC" w:rsidP="00D468EC">
      <w:pPr>
        <w:pStyle w:val="iPRESReferenceentry"/>
      </w:pPr>
      <w:r>
        <w:fldChar w:fldCharType="end"/>
      </w:r>
    </w:p>
    <w:sectPr w:rsidR="0099157C" w:rsidRPr="0099157C" w:rsidSect="00D468EC">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13F2D" w14:textId="77777777" w:rsidR="00D13231" w:rsidRDefault="00D13231">
      <w:r>
        <w:separator/>
      </w:r>
    </w:p>
  </w:endnote>
  <w:endnote w:type="continuationSeparator" w:id="0">
    <w:p w14:paraId="4BDE282B" w14:textId="77777777" w:rsidR="00D13231" w:rsidRDefault="00D1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altName w:val="Tahoma"/>
    <w:charset w:val="00"/>
    <w:family w:val="swiss"/>
    <w:pitch w:val="variable"/>
    <w:sig w:usb0="00000001" w:usb1="4000205B" w:usb2="00000028" w:usb3="00000000" w:csb0="0000019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ucida Sans">
    <w:panose1 w:val="020B06020405020202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erriweather Sans">
    <w:altName w:val="Times New Roman"/>
    <w:charset w:val="00"/>
    <w:family w:val="auto"/>
    <w:pitch w:val="variable"/>
    <w:sig w:usb0="00000001"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B" w14:textId="77777777" w:rsidR="009C0F38" w:rsidRDefault="00D142B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end"/>
    </w:r>
  </w:p>
  <w:p w14:paraId="0000008C"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D"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E" w14:textId="77777777" w:rsidR="009C0F38" w:rsidRDefault="009C0F38">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1" w14:textId="77777777" w:rsidR="009C0F38" w:rsidRPr="005F30BD" w:rsidRDefault="00D142B4">
    <w:pPr>
      <w:pBdr>
        <w:top w:val="nil"/>
        <w:left w:val="nil"/>
        <w:bottom w:val="nil"/>
        <w:right w:val="nil"/>
        <w:between w:val="nil"/>
      </w:pBdr>
      <w:tabs>
        <w:tab w:val="center" w:pos="4680"/>
        <w:tab w:val="right" w:pos="9360"/>
      </w:tabs>
      <w:ind w:right="360" w:firstLine="0"/>
      <w:jc w:val="left"/>
      <w:rPr>
        <w:rFonts w:eastAsia="Merriweather Sans"/>
        <w:color w:val="000000"/>
        <w:sz w:val="16"/>
        <w:szCs w:val="16"/>
      </w:rPr>
    </w:pPr>
    <w:r w:rsidRPr="00D73CF9">
      <w:rPr>
        <w:rFonts w:ascii="Merriweather Sans" w:eastAsia="Merriweather Sans" w:hAnsi="Merriweather Sans" w:cs="Merriweather Sans"/>
        <w:b/>
        <w:bCs/>
        <w:color w:val="000000"/>
        <w:sz w:val="16"/>
        <w:szCs w:val="16"/>
      </w:rPr>
      <w:t>i</w:t>
    </w:r>
    <w:r w:rsidRPr="00D73CF9">
      <w:rPr>
        <w:rFonts w:eastAsia="Merriweather Sans"/>
        <w:b/>
        <w:bCs/>
        <w:color w:val="000000"/>
        <w:sz w:val="16"/>
        <w:szCs w:val="16"/>
      </w:rPr>
      <w:t>Pres 2022:</w:t>
    </w:r>
    <w:r w:rsidRPr="005F30BD">
      <w:rPr>
        <w:rFonts w:eastAsia="Merriweather Sans"/>
        <w:color w:val="000000"/>
        <w:sz w:val="16"/>
        <w:szCs w:val="16"/>
      </w:rPr>
      <w:t xml:space="preserve"> The 18th International Conference on Digital Preservation</w:t>
    </w:r>
    <w:r w:rsidRPr="005F30BD">
      <w:rPr>
        <w:rFonts w:eastAsia="Open Sans"/>
        <w:color w:val="000000"/>
        <w:sz w:val="16"/>
        <w:szCs w:val="16"/>
      </w:rPr>
      <w:tab/>
    </w:r>
  </w:p>
  <w:p w14:paraId="00000092" w14:textId="77777777" w:rsidR="009C0F38" w:rsidRPr="00D73CF9" w:rsidRDefault="00D142B4">
    <w:pPr>
      <w:pBdr>
        <w:top w:val="nil"/>
        <w:left w:val="nil"/>
        <w:bottom w:val="nil"/>
        <w:right w:val="nil"/>
        <w:between w:val="nil"/>
      </w:pBdr>
      <w:tabs>
        <w:tab w:val="center" w:pos="4680"/>
        <w:tab w:val="right" w:pos="9360"/>
      </w:tabs>
      <w:ind w:right="360" w:firstLine="0"/>
      <w:jc w:val="left"/>
      <w:rPr>
        <w:rFonts w:eastAsia="Merriweather Sans"/>
        <w:b/>
        <w:bCs/>
        <w:color w:val="000000"/>
        <w:sz w:val="16"/>
        <w:szCs w:val="16"/>
      </w:rPr>
    </w:pPr>
    <w:r w:rsidRPr="00D73CF9">
      <w:rPr>
        <w:rFonts w:eastAsia="Merriweather Sans"/>
        <w:b/>
        <w:bCs/>
        <w:color w:val="000000"/>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F"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r>
      <w:rPr>
        <w:rFonts w:eastAsia="Open Sans"/>
        <w:color w:val="000000"/>
        <w:sz w:val="16"/>
        <w:szCs w:val="16"/>
      </w:rPr>
      <w:t xml:space="preserve">iPres 2022: The 18th International Conference on Digital Preservation, Glasgow, Scotland. </w:t>
    </w:r>
    <w:r>
      <w:rPr>
        <w:noProof/>
        <w:lang w:val="de-DE" w:eastAsia="de-DE"/>
      </w:rPr>
      <w:drawing>
        <wp:anchor distT="0" distB="0" distL="114300" distR="114300" simplePos="0" relativeHeight="251658240" behindDoc="0" locked="0" layoutInCell="1" hidden="0" allowOverlap="1" wp14:anchorId="7975F413" wp14:editId="3D217CA8">
          <wp:simplePos x="0" y="0"/>
          <wp:positionH relativeFrom="column">
            <wp:posOffset>5182235</wp:posOffset>
          </wp:positionH>
          <wp:positionV relativeFrom="paragraph">
            <wp:posOffset>10795</wp:posOffset>
          </wp:positionV>
          <wp:extent cx="1398270" cy="830467"/>
          <wp:effectExtent l="0" t="0" r="0" b="0"/>
          <wp:wrapNone/>
          <wp:docPr id="7" name="image3.jp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with low confidence"/>
                  <pic:cNvPicPr preferRelativeResize="0"/>
                </pic:nvPicPr>
                <pic:blipFill>
                  <a:blip r:embed="rId1"/>
                  <a:srcRect/>
                  <a:stretch>
                    <a:fillRect/>
                  </a:stretch>
                </pic:blipFill>
                <pic:spPr>
                  <a:xfrm>
                    <a:off x="0" y="0"/>
                    <a:ext cx="1398270" cy="830467"/>
                  </a:xfrm>
                  <a:prstGeom prst="rect">
                    <a:avLst/>
                  </a:prstGeom>
                  <a:ln/>
                </pic:spPr>
              </pic:pic>
            </a:graphicData>
          </a:graphic>
        </wp:anchor>
      </w:drawing>
    </w:r>
  </w:p>
  <w:p w14:paraId="00000090"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r>
      <w:rPr>
        <w:rFonts w:eastAsia="Open Sans"/>
        <w:color w:val="000000"/>
        <w:sz w:val="16"/>
        <w:szCs w:val="16"/>
      </w:rPr>
      <w:t xml:space="preserve">Copyright held by the author(s). The text of this paper is published </w:t>
    </w:r>
    <w:r>
      <w:rPr>
        <w:rFonts w:eastAsia="Open Sans"/>
        <w:color w:val="000000"/>
        <w:sz w:val="16"/>
        <w:szCs w:val="16"/>
      </w:rPr>
      <w:br/>
      <w:t>under a CC BY-SA license (https://creativecommons.org/licenses/by/4.0/).</w:t>
    </w:r>
    <w:r>
      <w:rPr>
        <w:rFonts w:eastAsia="Open Sans"/>
        <w:color w:val="000000"/>
        <w:sz w:val="16"/>
        <w:szCs w:val="16"/>
      </w:rPr>
      <w:br/>
      <w:t xml:space="preserve">DOI: 10.1145/nnnnnnn.nnnnnnn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89EE7" w14:textId="77777777" w:rsidR="00D13231" w:rsidRDefault="00D13231">
      <w:r>
        <w:separator/>
      </w:r>
    </w:p>
  </w:footnote>
  <w:footnote w:type="continuationSeparator" w:id="0">
    <w:p w14:paraId="245AEDED" w14:textId="77777777" w:rsidR="00D13231" w:rsidRDefault="00D13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AE718" w14:textId="77777777" w:rsidR="0064416F" w:rsidRDefault="006441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A" w14:textId="14635668" w:rsidR="009C0F38" w:rsidRDefault="00D142B4">
    <w:pPr>
      <w:pBdr>
        <w:top w:val="nil"/>
        <w:left w:val="nil"/>
        <w:bottom w:val="nil"/>
        <w:right w:val="nil"/>
        <w:between w:val="nil"/>
      </w:pBdr>
      <w:tabs>
        <w:tab w:val="center" w:pos="4680"/>
        <w:tab w:val="right" w:pos="9360"/>
      </w:tabs>
      <w:ind w:right="-110"/>
      <w:jc w:val="right"/>
      <w:rPr>
        <w:rFonts w:eastAsia="Open Sans"/>
        <w:color w:val="000000"/>
      </w:rPr>
    </w:pPr>
    <w:r>
      <w:fldChar w:fldCharType="begin"/>
    </w:r>
    <w:r>
      <w:instrText>PAGE</w:instrText>
    </w:r>
    <w:r>
      <w:fldChar w:fldCharType="separate"/>
    </w:r>
    <w:r w:rsidR="00115AA1">
      <w:rPr>
        <w:noProof/>
      </w:rPr>
      <w:t>6</w:t>
    </w:r>
    <w:r>
      <w:fldChar w:fldCharType="end"/>
    </w:r>
    <w:r>
      <w:t xml:space="preserve"> of </w:t>
    </w:r>
    <w:r w:rsidR="0064416F">
      <w:t>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3" w14:textId="798CB53D" w:rsidR="009C0F38" w:rsidRDefault="00D142B4">
    <w:pPr>
      <w:jc w:val="right"/>
    </w:pPr>
    <w:r>
      <w:fldChar w:fldCharType="begin"/>
    </w:r>
    <w:r>
      <w:instrText>PAGE</w:instrText>
    </w:r>
    <w:r>
      <w:fldChar w:fldCharType="separate"/>
    </w:r>
    <w:r w:rsidR="00115AA1">
      <w:rPr>
        <w:noProof/>
      </w:rPr>
      <w:t>1</w:t>
    </w:r>
    <w:r>
      <w:fldChar w:fldCharType="end"/>
    </w:r>
    <w:r w:rsidR="0064416F">
      <w:t>of 6</w:t>
    </w:r>
    <w:r>
      <w:t xml:space="preserve"> </w:t>
    </w:r>
  </w:p>
  <w:p w14:paraId="00000094" w14:textId="77777777" w:rsidR="009C0F38" w:rsidRDefault="009C0F3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6A20"/>
    <w:multiLevelType w:val="hybridMultilevel"/>
    <w:tmpl w:val="1D186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C00041"/>
    <w:multiLevelType w:val="hybridMultilevel"/>
    <w:tmpl w:val="34343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E73D2A"/>
    <w:multiLevelType w:val="hybridMultilevel"/>
    <w:tmpl w:val="60785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CA196C"/>
    <w:multiLevelType w:val="hybridMultilevel"/>
    <w:tmpl w:val="FEC80B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CAC0821"/>
    <w:multiLevelType w:val="multilevel"/>
    <w:tmpl w:val="2B5259C0"/>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5" w15:restartNumberingAfterBreak="0">
    <w:nsid w:val="33254CE6"/>
    <w:multiLevelType w:val="hybridMultilevel"/>
    <w:tmpl w:val="9B5CA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AD12A2"/>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4EF315C1"/>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53344B50"/>
    <w:multiLevelType w:val="multilevel"/>
    <w:tmpl w:val="F45E721C"/>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9" w15:restartNumberingAfterBreak="0">
    <w:nsid w:val="53BE54D7"/>
    <w:multiLevelType w:val="hybridMultilevel"/>
    <w:tmpl w:val="0F00ED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E0D3C73"/>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6FE85D33"/>
    <w:multiLevelType w:val="hybridMultilevel"/>
    <w:tmpl w:val="7A989F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70524EF1"/>
    <w:multiLevelType w:val="multilevel"/>
    <w:tmpl w:val="6E5072C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80E017E"/>
    <w:multiLevelType w:val="hybridMultilevel"/>
    <w:tmpl w:val="BF98E49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7F3C7822"/>
    <w:multiLevelType w:val="hybridMultilevel"/>
    <w:tmpl w:val="08447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14"/>
  </w:num>
  <w:num w:numId="10">
    <w:abstractNumId w:val="9"/>
  </w:num>
  <w:num w:numId="11">
    <w:abstractNumId w:val="13"/>
  </w:num>
  <w:num w:numId="12">
    <w:abstractNumId w:val="3"/>
  </w:num>
  <w:num w:numId="13">
    <w:abstractNumId w:val="11"/>
  </w:num>
  <w:num w:numId="14">
    <w:abstractNumId w:val="1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38"/>
    <w:rsid w:val="00035F72"/>
    <w:rsid w:val="00082385"/>
    <w:rsid w:val="000D5D29"/>
    <w:rsid w:val="000E3456"/>
    <w:rsid w:val="00102DC0"/>
    <w:rsid w:val="00111A41"/>
    <w:rsid w:val="00115AA1"/>
    <w:rsid w:val="00183ACE"/>
    <w:rsid w:val="001850B6"/>
    <w:rsid w:val="001C5D69"/>
    <w:rsid w:val="0020715D"/>
    <w:rsid w:val="002918AE"/>
    <w:rsid w:val="002C5539"/>
    <w:rsid w:val="002C55DD"/>
    <w:rsid w:val="002E2270"/>
    <w:rsid w:val="00314425"/>
    <w:rsid w:val="00346394"/>
    <w:rsid w:val="003A5B11"/>
    <w:rsid w:val="003E4174"/>
    <w:rsid w:val="003F2722"/>
    <w:rsid w:val="0041479E"/>
    <w:rsid w:val="004245C3"/>
    <w:rsid w:val="0045510C"/>
    <w:rsid w:val="00456531"/>
    <w:rsid w:val="004656D6"/>
    <w:rsid w:val="00472ABF"/>
    <w:rsid w:val="00482C2B"/>
    <w:rsid w:val="004C76DA"/>
    <w:rsid w:val="004D4475"/>
    <w:rsid w:val="004E3F35"/>
    <w:rsid w:val="00546F35"/>
    <w:rsid w:val="005F30BD"/>
    <w:rsid w:val="005F4F7B"/>
    <w:rsid w:val="0061351E"/>
    <w:rsid w:val="00643229"/>
    <w:rsid w:val="0064416F"/>
    <w:rsid w:val="006E1CB1"/>
    <w:rsid w:val="007048C1"/>
    <w:rsid w:val="00742BB8"/>
    <w:rsid w:val="00744C41"/>
    <w:rsid w:val="00752205"/>
    <w:rsid w:val="00776F18"/>
    <w:rsid w:val="0079503C"/>
    <w:rsid w:val="007B5981"/>
    <w:rsid w:val="007D5713"/>
    <w:rsid w:val="007E0B9A"/>
    <w:rsid w:val="007F2D4F"/>
    <w:rsid w:val="00830413"/>
    <w:rsid w:val="008823CB"/>
    <w:rsid w:val="008D65F8"/>
    <w:rsid w:val="008E64EF"/>
    <w:rsid w:val="00971BA8"/>
    <w:rsid w:val="00975356"/>
    <w:rsid w:val="0099157C"/>
    <w:rsid w:val="00994C2D"/>
    <w:rsid w:val="009B79B2"/>
    <w:rsid w:val="009C0F38"/>
    <w:rsid w:val="009C726D"/>
    <w:rsid w:val="00A020A8"/>
    <w:rsid w:val="00A32158"/>
    <w:rsid w:val="00A34E6B"/>
    <w:rsid w:val="00A55509"/>
    <w:rsid w:val="00A67896"/>
    <w:rsid w:val="00A74E74"/>
    <w:rsid w:val="00A75F13"/>
    <w:rsid w:val="00AF775F"/>
    <w:rsid w:val="00B41B71"/>
    <w:rsid w:val="00BE5FF0"/>
    <w:rsid w:val="00BF6EE3"/>
    <w:rsid w:val="00C25D02"/>
    <w:rsid w:val="00C83FC8"/>
    <w:rsid w:val="00CB65D5"/>
    <w:rsid w:val="00D13231"/>
    <w:rsid w:val="00D142B4"/>
    <w:rsid w:val="00D4564C"/>
    <w:rsid w:val="00D468EC"/>
    <w:rsid w:val="00D54644"/>
    <w:rsid w:val="00D62E3D"/>
    <w:rsid w:val="00D73CF9"/>
    <w:rsid w:val="00E02EEE"/>
    <w:rsid w:val="00E10397"/>
    <w:rsid w:val="00E846CA"/>
    <w:rsid w:val="00E84B21"/>
    <w:rsid w:val="00EC0937"/>
    <w:rsid w:val="00EE3E8F"/>
    <w:rsid w:val="00F0274F"/>
    <w:rsid w:val="00F25CCB"/>
    <w:rsid w:val="00F46B45"/>
    <w:rsid w:val="00F66CD3"/>
    <w:rsid w:val="00F82F5E"/>
    <w:rsid w:val="00FC2462"/>
    <w:rsid w:val="00FC3EB2"/>
    <w:rsid w:val="00FC4DD8"/>
    <w:rsid w:val="00FD2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CB60"/>
  <w15:docId w15:val="{1FECB4BB-B07F-4D3E-9AA3-FB0CD6C1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PRES Normal"/>
    <w:qFormat/>
    <w:rsid w:val="003D4A2D"/>
    <w:rPr>
      <w:rFonts w:eastAsiaTheme="minorEastAsia"/>
      <w:lang w:eastAsia="zh-TW"/>
    </w:rPr>
  </w:style>
  <w:style w:type="paragraph" w:styleId="berschrift1">
    <w:name w:val="heading 1"/>
    <w:basedOn w:val="Standard"/>
    <w:next w:val="iPRESparagraphs"/>
    <w:link w:val="berschrift1Zchn"/>
    <w:uiPriority w:val="9"/>
    <w:qFormat/>
    <w:rsid w:val="00DA047B"/>
    <w:pPr>
      <w:numPr>
        <w:numId w:val="4"/>
      </w:numPr>
      <w:spacing w:before="240" w:after="120"/>
      <w:jc w:val="center"/>
      <w:outlineLvl w:val="0"/>
    </w:pPr>
    <w:rPr>
      <w:rFonts w:cs="Times New Roman (Body CS)"/>
      <w:smallCaps/>
    </w:rPr>
  </w:style>
  <w:style w:type="paragraph" w:styleId="berschrift2">
    <w:name w:val="heading 2"/>
    <w:basedOn w:val="berschrift1"/>
    <w:next w:val="iPRESparagraphs"/>
    <w:link w:val="berschrift2Zchn"/>
    <w:uiPriority w:val="9"/>
    <w:unhideWhenUsed/>
    <w:qFormat/>
    <w:rsid w:val="00BC62AC"/>
    <w:pPr>
      <w:numPr>
        <w:ilvl w:val="1"/>
      </w:numPr>
      <w:spacing w:before="120"/>
      <w:ind w:left="0"/>
      <w:jc w:val="both"/>
      <w:outlineLvl w:val="1"/>
    </w:pPr>
    <w:rPr>
      <w:i/>
      <w:smallCaps w:val="0"/>
    </w:rPr>
  </w:style>
  <w:style w:type="paragraph" w:styleId="berschrift3">
    <w:name w:val="heading 3"/>
    <w:basedOn w:val="Standard"/>
    <w:next w:val="Standard"/>
    <w:link w:val="berschrift3Zchn"/>
    <w:uiPriority w:val="9"/>
    <w:unhideWhenUsed/>
    <w:qFormat/>
    <w:rsid w:val="00DA047B"/>
    <w:pPr>
      <w:keepNext/>
      <w:keepLines/>
      <w:numPr>
        <w:ilvl w:val="2"/>
        <w:numId w:val="4"/>
      </w:numPr>
      <w:spacing w:before="40"/>
      <w:ind w:left="142"/>
      <w:outlineLvl w:val="2"/>
    </w:pPr>
    <w:rPr>
      <w:rFonts w:eastAsiaTheme="majorEastAsia" w:cstheme="majorBidi"/>
      <w:i/>
    </w:rPr>
  </w:style>
  <w:style w:type="paragraph" w:styleId="berschrift4">
    <w:name w:val="heading 4"/>
    <w:basedOn w:val="berschrift1"/>
    <w:next w:val="Standard"/>
    <w:link w:val="berschrift4Zchn"/>
    <w:uiPriority w:val="9"/>
    <w:unhideWhenUsed/>
    <w:qFormat/>
    <w:rsid w:val="00722114"/>
    <w:pPr>
      <w:numPr>
        <w:numId w:val="0"/>
      </w:numPr>
      <w:outlineLvl w:val="3"/>
    </w:pPr>
  </w:style>
  <w:style w:type="paragraph" w:styleId="berschrift5">
    <w:name w:val="heading 5"/>
    <w:basedOn w:val="Standard"/>
    <w:next w:val="Standard"/>
    <w:link w:val="berschrift5Zchn"/>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iPRES Title"/>
    <w:basedOn w:val="berschrift1"/>
    <w:next w:val="Standard"/>
    <w:link w:val="TitelZchn"/>
    <w:uiPriority w:val="10"/>
    <w:qFormat/>
    <w:rsid w:val="001F74F3"/>
    <w:pPr>
      <w:numPr>
        <w:numId w:val="0"/>
      </w:numPr>
      <w:ind w:left="360" w:hanging="360"/>
    </w:pPr>
    <w:rPr>
      <w:sz w:val="48"/>
      <w:szCs w:val="48"/>
    </w:rPr>
  </w:style>
  <w:style w:type="paragraph" w:styleId="Untertitel">
    <w:name w:val="Subtitle"/>
    <w:basedOn w:val="Standard"/>
    <w:next w:val="Standard"/>
    <w:link w:val="UntertitelZchn"/>
    <w:uiPriority w:val="11"/>
    <w:qFormat/>
    <w:pPr>
      <w:spacing w:before="120" w:after="180"/>
      <w:jc w:val="center"/>
    </w:pPr>
    <w:rPr>
      <w:i/>
      <w:color w:val="595959"/>
      <w:sz w:val="40"/>
      <w:szCs w:val="40"/>
    </w:rPr>
  </w:style>
  <w:style w:type="character" w:customStyle="1" w:styleId="UntertitelZchn">
    <w:name w:val="Untertitel Zchn"/>
    <w:basedOn w:val="Absatz-Standardschriftart"/>
    <w:link w:val="Untertitel"/>
    <w:uiPriority w:val="11"/>
    <w:rsid w:val="00DA238B"/>
    <w:rPr>
      <w:rFonts w:ascii="Lucida Grande" w:eastAsiaTheme="majorEastAsia" w:hAnsi="Lucida Grande" w:cstheme="majorBidi"/>
      <w:i/>
      <w:color w:val="595959" w:themeColor="text1" w:themeTint="A6"/>
      <w:sz w:val="40"/>
      <w:lang w:eastAsia="zh-TW"/>
    </w:rPr>
  </w:style>
  <w:style w:type="paragraph" w:styleId="Fuzeile">
    <w:name w:val="footer"/>
    <w:aliases w:val="iPRES Footer"/>
    <w:basedOn w:val="Standard"/>
    <w:link w:val="FuzeileZchn"/>
    <w:uiPriority w:val="99"/>
    <w:unhideWhenUsed/>
    <w:qFormat/>
    <w:rsid w:val="00AE5B2F"/>
    <w:pPr>
      <w:tabs>
        <w:tab w:val="center" w:pos="4680"/>
        <w:tab w:val="right" w:pos="9360"/>
      </w:tabs>
      <w:ind w:right="360" w:firstLine="0"/>
      <w:jc w:val="left"/>
    </w:pPr>
    <w:rPr>
      <w:noProof/>
      <w:sz w:val="16"/>
      <w:szCs w:val="16"/>
    </w:rPr>
  </w:style>
  <w:style w:type="character" w:customStyle="1" w:styleId="FuzeileZchn">
    <w:name w:val="Fußzeile Zchn"/>
    <w:aliases w:val="iPRES Footer Zchn"/>
    <w:basedOn w:val="Absatz-Standardschriftart"/>
    <w:link w:val="Fuzeile"/>
    <w:uiPriority w:val="99"/>
    <w:rsid w:val="00AE5B2F"/>
    <w:rPr>
      <w:rFonts w:ascii="Lucida Grande" w:eastAsiaTheme="minorEastAsia" w:hAnsi="Lucida Grande"/>
      <w:noProof/>
      <w:sz w:val="16"/>
      <w:szCs w:val="16"/>
      <w:lang w:eastAsia="zh-TW"/>
    </w:rPr>
  </w:style>
  <w:style w:type="character" w:styleId="Seitenzahl">
    <w:name w:val="page number"/>
    <w:basedOn w:val="Absatz-Standardschriftart"/>
    <w:uiPriority w:val="99"/>
    <w:semiHidden/>
    <w:unhideWhenUsed/>
    <w:rsid w:val="00062D28"/>
    <w:rPr>
      <w:rFonts w:ascii="Lucida Grande" w:hAnsi="Lucida Grande"/>
    </w:rPr>
  </w:style>
  <w:style w:type="paragraph" w:styleId="Kopfzeile">
    <w:name w:val="header"/>
    <w:basedOn w:val="Standard"/>
    <w:link w:val="KopfzeileZchn"/>
    <w:uiPriority w:val="99"/>
    <w:unhideWhenUsed/>
    <w:rsid w:val="00062D28"/>
    <w:pPr>
      <w:tabs>
        <w:tab w:val="center" w:pos="4680"/>
        <w:tab w:val="right" w:pos="9360"/>
      </w:tabs>
    </w:pPr>
  </w:style>
  <w:style w:type="character" w:customStyle="1" w:styleId="KopfzeileZchn">
    <w:name w:val="Kopfzeile Zchn"/>
    <w:basedOn w:val="Absatz-Standardschriftart"/>
    <w:link w:val="Kopfzeile"/>
    <w:uiPriority w:val="99"/>
    <w:rsid w:val="00062D28"/>
    <w:rPr>
      <w:rFonts w:ascii="Lucida Grande" w:eastAsiaTheme="minorEastAsia" w:hAnsi="Lucida Grande"/>
    </w:rPr>
  </w:style>
  <w:style w:type="character" w:customStyle="1" w:styleId="berschrift1Zchn">
    <w:name w:val="Überschrift 1 Zchn"/>
    <w:basedOn w:val="Absatz-Standardschriftart"/>
    <w:link w:val="berschrift1"/>
    <w:uiPriority w:val="9"/>
    <w:rsid w:val="00DA047B"/>
    <w:rPr>
      <w:rFonts w:ascii="Open Sans" w:eastAsiaTheme="minorEastAsia" w:hAnsi="Open Sans" w:cs="Times New Roman (Body CS)"/>
      <w:smallCaps/>
      <w:sz w:val="20"/>
      <w:szCs w:val="20"/>
      <w:lang w:val="en-US" w:eastAsia="zh-TW"/>
    </w:rPr>
  </w:style>
  <w:style w:type="character" w:customStyle="1" w:styleId="TitelZchn">
    <w:name w:val="Titel Zchn"/>
    <w:aliases w:val="iPRES Title Zchn"/>
    <w:basedOn w:val="Absatz-Standardschriftart"/>
    <w:link w:val="Titel"/>
    <w:uiPriority w:val="10"/>
    <w:rsid w:val="001F74F3"/>
    <w:rPr>
      <w:rFonts w:ascii="Lucida Grande" w:eastAsiaTheme="minorEastAsia" w:hAnsi="Lucida Grande"/>
      <w:b/>
      <w:sz w:val="48"/>
      <w:szCs w:val="48"/>
      <w:lang w:eastAsia="zh-TW"/>
    </w:rPr>
  </w:style>
  <w:style w:type="table" w:styleId="Tabellenraster">
    <w:name w:val="Table Grid"/>
    <w:basedOn w:val="NormaleTabelle"/>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B4441"/>
    <w:rPr>
      <w:rFonts w:ascii="Lucida Grande" w:hAnsi="Lucida Grande"/>
      <w:color w:val="auto"/>
      <w:u w:val="single"/>
    </w:rPr>
  </w:style>
  <w:style w:type="character" w:customStyle="1" w:styleId="UnresolvedMention1">
    <w:name w:val="Unresolved Mention1"/>
    <w:basedOn w:val="Absatz-Standardschriftart"/>
    <w:uiPriority w:val="99"/>
    <w:rsid w:val="00DA238B"/>
    <w:rPr>
      <w:rFonts w:ascii="Lucida Grande" w:hAnsi="Lucida Grande"/>
      <w:color w:val="605E5C"/>
      <w:shd w:val="clear" w:color="auto" w:fill="E1DFDD"/>
    </w:rPr>
  </w:style>
  <w:style w:type="paragraph" w:customStyle="1" w:styleId="iPRESAuthorInfo">
    <w:name w:val="iPRES Author Info"/>
    <w:basedOn w:val="Standard"/>
    <w:qFormat/>
    <w:rsid w:val="00FD073C"/>
    <w:pPr>
      <w:jc w:val="center"/>
    </w:pPr>
    <w:rPr>
      <w:i/>
    </w:rPr>
  </w:style>
  <w:style w:type="paragraph" w:customStyle="1" w:styleId="iPRESAuthorName">
    <w:name w:val="iPRES Author Name"/>
    <w:basedOn w:val="Standard"/>
    <w:qFormat/>
    <w:rsid w:val="00FD073C"/>
    <w:pPr>
      <w:spacing w:line="276" w:lineRule="auto"/>
      <w:jc w:val="center"/>
    </w:pPr>
    <w:rPr>
      <w:b/>
      <w:sz w:val="24"/>
      <w:szCs w:val="24"/>
    </w:rPr>
  </w:style>
  <w:style w:type="character" w:customStyle="1" w:styleId="berschrift2Zchn">
    <w:name w:val="Überschrift 2 Zchn"/>
    <w:basedOn w:val="Absatz-Standardschriftart"/>
    <w:link w:val="berschrift2"/>
    <w:uiPriority w:val="9"/>
    <w:rsid w:val="00BC62AC"/>
    <w:rPr>
      <w:rFonts w:ascii="Lucida Sans" w:eastAsiaTheme="minorEastAsia" w:hAnsi="Lucida Sans" w:cs="Times New Roman (Body CS)"/>
      <w:i/>
      <w:sz w:val="20"/>
      <w:szCs w:val="20"/>
      <w:lang w:val="en-US" w:eastAsia="zh-TW"/>
    </w:rPr>
  </w:style>
  <w:style w:type="character" w:customStyle="1" w:styleId="berschrift3Zchn">
    <w:name w:val="Überschrift 3 Zchn"/>
    <w:basedOn w:val="Absatz-Standardschriftart"/>
    <w:link w:val="berschrift3"/>
    <w:uiPriority w:val="9"/>
    <w:rsid w:val="00DA047B"/>
    <w:rPr>
      <w:rFonts w:ascii="Open Sans" w:eastAsiaTheme="majorEastAsia" w:hAnsi="Open Sans" w:cstheme="majorBidi"/>
      <w:i/>
      <w:sz w:val="20"/>
      <w:szCs w:val="20"/>
      <w:lang w:val="en-US" w:eastAsia="zh-TW"/>
    </w:rPr>
  </w:style>
  <w:style w:type="character" w:customStyle="1" w:styleId="berschrift4Zchn">
    <w:name w:val="Überschrift 4 Zchn"/>
    <w:basedOn w:val="Absatz-Standardschriftart"/>
    <w:link w:val="berschrift4"/>
    <w:uiPriority w:val="9"/>
    <w:rsid w:val="00722114"/>
    <w:rPr>
      <w:rFonts w:ascii="Open Sans" w:eastAsiaTheme="minorEastAsia" w:hAnsi="Open Sans" w:cs="Times New Roman (Body CS)"/>
      <w:smallCaps/>
      <w:sz w:val="20"/>
      <w:szCs w:val="20"/>
      <w:lang w:val="en-US" w:eastAsia="zh-TW"/>
    </w:rPr>
  </w:style>
  <w:style w:type="character" w:customStyle="1" w:styleId="berschrift5Zchn">
    <w:name w:val="Überschrift 5 Zchn"/>
    <w:basedOn w:val="Absatz-Standardschriftart"/>
    <w:link w:val="berschrift5"/>
    <w:uiPriority w:val="9"/>
    <w:semiHidden/>
    <w:rsid w:val="00A1344F"/>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A1344F"/>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A1344F"/>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Standard"/>
    <w:next w:val="iPRESparagraphs"/>
    <w:qFormat/>
    <w:rsid w:val="00A62BDB"/>
    <w:rPr>
      <w:b/>
      <w:sz w:val="18"/>
      <w:szCs w:val="18"/>
    </w:rPr>
  </w:style>
  <w:style w:type="paragraph" w:customStyle="1" w:styleId="iPRESTableCaption">
    <w:name w:val="iPRES Table Caption"/>
    <w:basedOn w:val="Standard"/>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Standard"/>
    <w:qFormat/>
    <w:rsid w:val="00B43E66"/>
    <w:pPr>
      <w:spacing w:after="120"/>
    </w:pPr>
  </w:style>
  <w:style w:type="paragraph" w:customStyle="1" w:styleId="FigureCaption">
    <w:name w:val="Figure Caption"/>
    <w:basedOn w:val="Standard"/>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Standard"/>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enabsatz">
    <w:name w:val="List Paragraph"/>
    <w:basedOn w:val="Standard"/>
    <w:uiPriority w:val="34"/>
    <w:qFormat/>
    <w:rsid w:val="002B5370"/>
    <w:pPr>
      <w:ind w:left="720"/>
      <w:contextualSpacing/>
    </w:pPr>
  </w:style>
  <w:style w:type="character" w:styleId="BesuchterLink">
    <w:name w:val="FollowedHyperlink"/>
    <w:basedOn w:val="Absatz-Standardschriftart"/>
    <w:uiPriority w:val="99"/>
    <w:semiHidden/>
    <w:unhideWhenUsed/>
    <w:rsid w:val="00014290"/>
    <w:rPr>
      <w:rFonts w:ascii="Open Sans" w:hAnsi="Open Sans"/>
      <w:color w:val="954F72" w:themeColor="followedHyperlink"/>
      <w:u w:val="single"/>
    </w:rPr>
  </w:style>
  <w:style w:type="paragraph" w:styleId="Beschriftung">
    <w:name w:val="caption"/>
    <w:aliases w:val="iPRES Caption"/>
    <w:basedOn w:val="Standard"/>
    <w:next w:val="Standard"/>
    <w:uiPriority w:val="35"/>
    <w:unhideWhenUsed/>
    <w:qFormat/>
    <w:rsid w:val="008E69BB"/>
    <w:pPr>
      <w:spacing w:after="200"/>
      <w:ind w:firstLine="0"/>
      <w:jc w:val="center"/>
    </w:pPr>
    <w:rPr>
      <w:iCs/>
      <w:sz w:val="16"/>
      <w:szCs w:val="16"/>
    </w:rPr>
  </w:style>
  <w:style w:type="paragraph" w:styleId="berarbeitung">
    <w:name w:val="Revision"/>
    <w:hidden/>
    <w:uiPriority w:val="99"/>
    <w:semiHidden/>
    <w:rsid w:val="00B01AFF"/>
    <w:rPr>
      <w:rFonts w:eastAsiaTheme="minorEastAsia"/>
      <w:lang w:eastAsia="zh-TW"/>
    </w:rPr>
  </w:style>
  <w:style w:type="character" w:styleId="Funotenzeichen">
    <w:name w:val="footnote reference"/>
    <w:basedOn w:val="Absatz-Standardschriftart"/>
    <w:uiPriority w:val="99"/>
    <w:unhideWhenUsed/>
    <w:rsid w:val="00B01AFF"/>
    <w:rPr>
      <w:rFonts w:ascii="Open Sans" w:hAnsi="Open Sans"/>
      <w:vertAlign w:val="superscript"/>
    </w:rPr>
  </w:style>
  <w:style w:type="paragraph" w:styleId="Funotentext">
    <w:name w:val="footnote text"/>
    <w:basedOn w:val="Standard"/>
    <w:link w:val="FunotentextZchn"/>
    <w:uiPriority w:val="99"/>
    <w:semiHidden/>
    <w:unhideWhenUsed/>
    <w:qFormat/>
    <w:rsid w:val="00B01AFF"/>
  </w:style>
  <w:style w:type="character" w:customStyle="1" w:styleId="FunotentextZchn">
    <w:name w:val="Fußnotentext Zchn"/>
    <w:basedOn w:val="Absatz-Standardschriftart"/>
    <w:link w:val="Funotentext"/>
    <w:uiPriority w:val="99"/>
    <w:semiHidden/>
    <w:rsid w:val="00B01AFF"/>
    <w:rPr>
      <w:rFonts w:ascii="Open Sans" w:eastAsiaTheme="minorEastAsia" w:hAnsi="Open Sans"/>
      <w:sz w:val="20"/>
      <w:szCs w:val="20"/>
      <w:lang w:eastAsia="zh-TW"/>
    </w:rPr>
  </w:style>
  <w:style w:type="character" w:styleId="Kommentarzeichen">
    <w:name w:val="annotation reference"/>
    <w:basedOn w:val="Absatz-Standardschriftart"/>
    <w:uiPriority w:val="99"/>
    <w:semiHidden/>
    <w:unhideWhenUsed/>
    <w:rsid w:val="0061423F"/>
    <w:rPr>
      <w:sz w:val="16"/>
      <w:szCs w:val="16"/>
    </w:rPr>
  </w:style>
  <w:style w:type="paragraph" w:styleId="Kommentartext">
    <w:name w:val="annotation text"/>
    <w:basedOn w:val="Standard"/>
    <w:link w:val="KommentartextZchn"/>
    <w:uiPriority w:val="99"/>
    <w:unhideWhenUsed/>
    <w:rsid w:val="0061423F"/>
  </w:style>
  <w:style w:type="character" w:customStyle="1" w:styleId="KommentartextZchn">
    <w:name w:val="Kommentartext Zchn"/>
    <w:basedOn w:val="Absatz-Standardschriftart"/>
    <w:link w:val="Kommentartext"/>
    <w:uiPriority w:val="99"/>
    <w:rsid w:val="0061423F"/>
    <w:rPr>
      <w:rFonts w:ascii="Open Sans" w:eastAsiaTheme="minorEastAsia" w:hAnsi="Open Sans"/>
      <w:sz w:val="20"/>
      <w:szCs w:val="20"/>
      <w:lang w:eastAsia="zh-TW"/>
    </w:rPr>
  </w:style>
  <w:style w:type="paragraph" w:styleId="Kommentarthema">
    <w:name w:val="annotation subject"/>
    <w:basedOn w:val="Kommentartext"/>
    <w:next w:val="Kommentartext"/>
    <w:link w:val="KommentarthemaZchn"/>
    <w:uiPriority w:val="99"/>
    <w:semiHidden/>
    <w:unhideWhenUsed/>
    <w:rsid w:val="0061423F"/>
    <w:rPr>
      <w:b/>
      <w:bCs/>
    </w:rPr>
  </w:style>
  <w:style w:type="character" w:customStyle="1" w:styleId="KommentarthemaZchn">
    <w:name w:val="Kommentarthema Zchn"/>
    <w:basedOn w:val="KommentartextZchn"/>
    <w:link w:val="Kommentarthema"/>
    <w:uiPriority w:val="99"/>
    <w:semiHidden/>
    <w:rsid w:val="0061423F"/>
    <w:rPr>
      <w:rFonts w:ascii="Open Sans" w:eastAsiaTheme="minorEastAsia" w:hAnsi="Open Sans"/>
      <w:b/>
      <w:bCs/>
      <w:sz w:val="20"/>
      <w:szCs w:val="20"/>
      <w:lang w:eastAsia="zh-TW"/>
    </w:rPr>
  </w:style>
  <w:style w:type="table" w:customStyle="1" w:styleId="a">
    <w:basedOn w:val="NormaleTabelle"/>
    <w:tblPr>
      <w:tblStyleRowBandSize w:val="1"/>
      <w:tblStyleColBandSize w:val="1"/>
    </w:tblPr>
  </w:style>
  <w:style w:type="table" w:customStyle="1" w:styleId="a0">
    <w:basedOn w:val="NormaleTabelle"/>
    <w:tblPr>
      <w:tblStyleRowBandSize w:val="1"/>
      <w:tblStyleColBandSize w:val="1"/>
      <w:tblCellMar>
        <w:left w:w="115" w:type="dxa"/>
        <w:right w:w="115" w:type="dxa"/>
      </w:tblCellMar>
    </w:tblPr>
  </w:style>
  <w:style w:type="character" w:customStyle="1" w:styleId="UnresolvedMention">
    <w:name w:val="Unresolved Mention"/>
    <w:basedOn w:val="Absatz-Standardschriftart"/>
    <w:uiPriority w:val="99"/>
    <w:semiHidden/>
    <w:unhideWhenUsed/>
    <w:rsid w:val="004D4475"/>
    <w:rPr>
      <w:color w:val="605E5C"/>
      <w:shd w:val="clear" w:color="auto" w:fill="E1DFDD"/>
    </w:rPr>
  </w:style>
  <w:style w:type="paragraph" w:styleId="Literaturverzeichnis">
    <w:name w:val="Bibliography"/>
    <w:basedOn w:val="Standard"/>
    <w:next w:val="Standard"/>
    <w:uiPriority w:val="37"/>
    <w:unhideWhenUsed/>
    <w:rsid w:val="0099157C"/>
    <w:pPr>
      <w:tabs>
        <w:tab w:val="left" w:pos="504"/>
      </w:tabs>
      <w:ind w:left="504" w:hanging="504"/>
    </w:pPr>
  </w:style>
  <w:style w:type="paragraph" w:styleId="Sprechblasentext">
    <w:name w:val="Balloon Text"/>
    <w:basedOn w:val="Standard"/>
    <w:link w:val="SprechblasentextZchn"/>
    <w:uiPriority w:val="99"/>
    <w:semiHidden/>
    <w:unhideWhenUsed/>
    <w:rsid w:val="00BF6EE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6EE3"/>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rwJMkfP/ogVMUnzcmx+3908xQ==">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444BEB-3261-46EF-AE62-DB2A4A10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10500</Words>
  <Characters>66157</Characters>
  <Application>Microsoft Office Word</Application>
  <DocSecurity>0</DocSecurity>
  <Lines>551</Lines>
  <Paragraphs>153</Paragraphs>
  <ScaleCrop>false</ScaleCrop>
  <HeadingPairs>
    <vt:vector size="2" baseType="variant">
      <vt:variant>
        <vt:lpstr>Titel</vt:lpstr>
      </vt:variant>
      <vt:variant>
        <vt:i4>1</vt:i4>
      </vt:variant>
    </vt:vector>
  </HeadingPairs>
  <TitlesOfParts>
    <vt:vector size="1" baseType="lpstr">
      <vt:lpstr>Act now, late or never: Make Digital Objects (more) archivable early in their life cycle?</vt:lpstr>
    </vt:vector>
  </TitlesOfParts>
  <Company/>
  <LinksUpToDate>false</LinksUpToDate>
  <CharactersWithSpaces>76504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now, late or never: Make Digital Objects (more) archivable early in their life cycle?</dc:title>
  <dc:creator>Katharina Markus, Yvonne Tunnat</dc:creator>
  <cp:lastModifiedBy>Tunnat Yvonne</cp:lastModifiedBy>
  <cp:revision>2</cp:revision>
  <dcterms:created xsi:type="dcterms:W3CDTF">2022-05-27T10:22:00Z</dcterms:created>
  <dcterms:modified xsi:type="dcterms:W3CDTF">2022-05-27T10:22:00Z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id="s5aVCZW8"/&gt;&lt;style id="http://www.zotero.org/styles/ieee" locale="en-US" hasBibliography="1" bibliographyStyleHasBeenSet="1"/&gt;&lt;prefs&gt;&lt;pref name="fieldType" value="Field"/&gt;&lt;pref name="automaticJo</vt:lpwstr>
  </property>
  <property fmtid="{D5CDD505-2E9C-101B-9397-08002B2CF9AE}" pid="3" name="ZOTERO_PREF_2">
    <vt:lpwstr>urnalAbbreviations" value="true"/&gt;&lt;/prefs&gt;&lt;/data&gt;</vt:lpwstr>
  </property>
</Properties>
</file>