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C592B" w14:textId="77777777" w:rsidR="00246B34" w:rsidRDefault="009439D5">
      <w:pPr>
        <w:pStyle w:val="Title"/>
        <w:ind w:firstLine="0"/>
      </w:pPr>
      <w:r>
        <w:t>The CO</w:t>
      </w:r>
      <w:r>
        <w:rPr>
          <w:vertAlign w:val="subscript"/>
        </w:rPr>
        <w:t>2</w:t>
      </w:r>
      <w:r>
        <w:t xml:space="preserve"> Emissions of Storage and Use of Digital Objects and Data</w:t>
      </w:r>
    </w:p>
    <w:p w14:paraId="4A959CB7" w14:textId="77777777" w:rsidR="00246B34" w:rsidRDefault="00246B34"/>
    <w:p w14:paraId="68A9E701" w14:textId="77777777" w:rsidR="00246B34" w:rsidRDefault="009439D5">
      <w:pPr>
        <w:pStyle w:val="Subtitle"/>
      </w:pPr>
      <w:r>
        <w:t>Exploring climate actions</w:t>
      </w:r>
    </w:p>
    <w:p w14:paraId="590FF8FD" w14:textId="77777777" w:rsidR="00246B34" w:rsidRDefault="00246B34"/>
    <w:tbl>
      <w:tblPr>
        <w:tblStyle w:val="a0"/>
        <w:tblW w:w="93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64"/>
        <w:gridCol w:w="4664"/>
      </w:tblGrid>
      <w:tr w:rsidR="00246B34" w14:paraId="2DF318ED" w14:textId="77777777">
        <w:trPr>
          <w:trHeight w:val="361"/>
        </w:trPr>
        <w:tc>
          <w:tcPr>
            <w:tcW w:w="4664" w:type="dxa"/>
          </w:tcPr>
          <w:p w14:paraId="54CFE3C4" w14:textId="77777777" w:rsidR="00246B34" w:rsidRDefault="009439D5">
            <w:pPr>
              <w:pBdr>
                <w:top w:val="nil"/>
                <w:left w:val="nil"/>
                <w:bottom w:val="nil"/>
                <w:right w:val="nil"/>
                <w:between w:val="nil"/>
              </w:pBdr>
              <w:spacing w:line="276" w:lineRule="auto"/>
              <w:jc w:val="center"/>
              <w:rPr>
                <w:b/>
                <w:color w:val="000000"/>
                <w:sz w:val="24"/>
                <w:szCs w:val="24"/>
              </w:rPr>
            </w:pPr>
            <w:r>
              <w:rPr>
                <w:b/>
                <w:color w:val="000000"/>
                <w:sz w:val="24"/>
                <w:szCs w:val="24"/>
              </w:rPr>
              <w:t xml:space="preserve">Lotte </w:t>
            </w:r>
            <w:proofErr w:type="spellStart"/>
            <w:r>
              <w:rPr>
                <w:b/>
                <w:color w:val="000000"/>
                <w:sz w:val="24"/>
                <w:szCs w:val="24"/>
              </w:rPr>
              <w:t>Wijsman</w:t>
            </w:r>
            <w:proofErr w:type="spellEnd"/>
          </w:p>
        </w:tc>
        <w:tc>
          <w:tcPr>
            <w:tcW w:w="4664" w:type="dxa"/>
          </w:tcPr>
          <w:p w14:paraId="4661B895" w14:textId="77777777" w:rsidR="00246B34" w:rsidRDefault="009439D5">
            <w:pPr>
              <w:pBdr>
                <w:top w:val="nil"/>
                <w:left w:val="nil"/>
                <w:bottom w:val="nil"/>
                <w:right w:val="nil"/>
                <w:between w:val="nil"/>
              </w:pBdr>
              <w:spacing w:line="276" w:lineRule="auto"/>
              <w:jc w:val="center"/>
              <w:rPr>
                <w:b/>
                <w:color w:val="000000"/>
                <w:sz w:val="24"/>
                <w:szCs w:val="24"/>
              </w:rPr>
            </w:pPr>
            <w:r>
              <w:rPr>
                <w:b/>
                <w:color w:val="000000"/>
                <w:sz w:val="24"/>
                <w:szCs w:val="24"/>
              </w:rPr>
              <w:t>Arie Groen</w:t>
            </w:r>
          </w:p>
        </w:tc>
      </w:tr>
      <w:tr w:rsidR="00246B34" w14:paraId="3ECA2D04" w14:textId="77777777">
        <w:trPr>
          <w:trHeight w:val="564"/>
        </w:trPr>
        <w:tc>
          <w:tcPr>
            <w:tcW w:w="4664" w:type="dxa"/>
          </w:tcPr>
          <w:p w14:paraId="62100C0B" w14:textId="77777777" w:rsidR="00246B34" w:rsidRDefault="009439D5">
            <w:pPr>
              <w:pBdr>
                <w:top w:val="nil"/>
                <w:left w:val="nil"/>
                <w:bottom w:val="nil"/>
                <w:right w:val="nil"/>
                <w:between w:val="nil"/>
              </w:pBdr>
              <w:jc w:val="center"/>
              <w:rPr>
                <w:i/>
                <w:color w:val="000000"/>
              </w:rPr>
            </w:pPr>
            <w:r>
              <w:rPr>
                <w:i/>
                <w:color w:val="000000"/>
              </w:rPr>
              <w:t>National Archives of the</w:t>
            </w:r>
          </w:p>
          <w:p w14:paraId="1CAAFAEF" w14:textId="77777777" w:rsidR="00246B34" w:rsidRDefault="009439D5">
            <w:pPr>
              <w:pBdr>
                <w:top w:val="nil"/>
                <w:left w:val="nil"/>
                <w:bottom w:val="nil"/>
                <w:right w:val="nil"/>
                <w:between w:val="nil"/>
              </w:pBdr>
              <w:jc w:val="center"/>
              <w:rPr>
                <w:i/>
                <w:color w:val="000000"/>
              </w:rPr>
            </w:pPr>
            <w:r>
              <w:rPr>
                <w:i/>
                <w:color w:val="000000"/>
              </w:rPr>
              <w:t>Netherlands,</w:t>
            </w:r>
          </w:p>
          <w:p w14:paraId="66695CBE" w14:textId="77777777" w:rsidR="00246B34" w:rsidRDefault="009439D5">
            <w:pPr>
              <w:pBdr>
                <w:top w:val="nil"/>
                <w:left w:val="nil"/>
                <w:bottom w:val="nil"/>
                <w:right w:val="nil"/>
                <w:between w:val="nil"/>
              </w:pBdr>
              <w:jc w:val="center"/>
              <w:rPr>
                <w:i/>
                <w:color w:val="000000"/>
              </w:rPr>
            </w:pPr>
            <w:r>
              <w:rPr>
                <w:i/>
                <w:color w:val="000000"/>
              </w:rPr>
              <w:t>The Netherlands</w:t>
            </w:r>
          </w:p>
          <w:p w14:paraId="7317CE85" w14:textId="77777777" w:rsidR="00246B34" w:rsidRDefault="009439D5">
            <w:pPr>
              <w:pBdr>
                <w:top w:val="nil"/>
                <w:left w:val="nil"/>
                <w:bottom w:val="nil"/>
                <w:right w:val="nil"/>
                <w:between w:val="nil"/>
              </w:pBdr>
              <w:jc w:val="center"/>
              <w:rPr>
                <w:i/>
                <w:color w:val="000000"/>
              </w:rPr>
            </w:pPr>
            <w:r>
              <w:rPr>
                <w:i/>
                <w:color w:val="000000"/>
              </w:rPr>
              <w:t>lotte.wijsman@nationaalarchief.nl</w:t>
            </w:r>
          </w:p>
        </w:tc>
        <w:tc>
          <w:tcPr>
            <w:tcW w:w="4664" w:type="dxa"/>
          </w:tcPr>
          <w:p w14:paraId="735ABAED" w14:textId="77777777" w:rsidR="00246B34" w:rsidRDefault="009439D5">
            <w:pPr>
              <w:pBdr>
                <w:top w:val="nil"/>
                <w:left w:val="nil"/>
                <w:bottom w:val="nil"/>
                <w:right w:val="nil"/>
                <w:between w:val="nil"/>
              </w:pBdr>
              <w:jc w:val="center"/>
              <w:rPr>
                <w:i/>
                <w:color w:val="000000"/>
              </w:rPr>
            </w:pPr>
            <w:r>
              <w:rPr>
                <w:i/>
                <w:color w:val="000000"/>
              </w:rPr>
              <w:t>National Library of the Netherlands,</w:t>
            </w:r>
          </w:p>
          <w:p w14:paraId="7AC2049D" w14:textId="77777777" w:rsidR="00246B34" w:rsidRDefault="009439D5">
            <w:pPr>
              <w:pBdr>
                <w:top w:val="nil"/>
                <w:left w:val="nil"/>
                <w:bottom w:val="nil"/>
                <w:right w:val="nil"/>
                <w:between w:val="nil"/>
              </w:pBdr>
              <w:jc w:val="center"/>
              <w:rPr>
                <w:i/>
                <w:color w:val="000000"/>
              </w:rPr>
            </w:pPr>
            <w:r>
              <w:rPr>
                <w:i/>
                <w:color w:val="000000"/>
              </w:rPr>
              <w:t>The Netherlands</w:t>
            </w:r>
          </w:p>
          <w:p w14:paraId="0037F83F" w14:textId="77777777" w:rsidR="00246B34" w:rsidRDefault="009439D5">
            <w:pPr>
              <w:pBdr>
                <w:top w:val="nil"/>
                <w:left w:val="nil"/>
                <w:bottom w:val="nil"/>
                <w:right w:val="nil"/>
                <w:between w:val="nil"/>
              </w:pBdr>
              <w:jc w:val="center"/>
              <w:rPr>
                <w:i/>
                <w:color w:val="000000"/>
              </w:rPr>
            </w:pPr>
            <w:r>
              <w:rPr>
                <w:i/>
                <w:color w:val="000000"/>
              </w:rPr>
              <w:t>arie.groen@kb.nl</w:t>
            </w:r>
          </w:p>
          <w:p w14:paraId="7E3B2A14" w14:textId="77777777" w:rsidR="00246B34" w:rsidRDefault="00246B34">
            <w:pPr>
              <w:pBdr>
                <w:top w:val="nil"/>
                <w:left w:val="nil"/>
                <w:bottom w:val="nil"/>
                <w:right w:val="nil"/>
                <w:between w:val="nil"/>
              </w:pBdr>
              <w:jc w:val="center"/>
              <w:rPr>
                <w:i/>
                <w:color w:val="000000"/>
              </w:rPr>
            </w:pPr>
          </w:p>
        </w:tc>
      </w:tr>
      <w:tr w:rsidR="00246B34" w14:paraId="599C2698" w14:textId="77777777">
        <w:trPr>
          <w:trHeight w:val="389"/>
        </w:trPr>
        <w:tc>
          <w:tcPr>
            <w:tcW w:w="4664" w:type="dxa"/>
          </w:tcPr>
          <w:p w14:paraId="6D2DBBF5" w14:textId="77777777" w:rsidR="00246B34" w:rsidRDefault="00246B34">
            <w:pPr>
              <w:pBdr>
                <w:top w:val="nil"/>
                <w:left w:val="nil"/>
                <w:bottom w:val="nil"/>
                <w:right w:val="nil"/>
                <w:between w:val="nil"/>
              </w:pBdr>
              <w:jc w:val="center"/>
              <w:rPr>
                <w:i/>
                <w:color w:val="000000"/>
              </w:rPr>
            </w:pPr>
          </w:p>
        </w:tc>
        <w:tc>
          <w:tcPr>
            <w:tcW w:w="4664" w:type="dxa"/>
          </w:tcPr>
          <w:p w14:paraId="0E90871D" w14:textId="77777777" w:rsidR="00246B34" w:rsidRDefault="00246B34">
            <w:pPr>
              <w:pBdr>
                <w:top w:val="nil"/>
                <w:left w:val="nil"/>
                <w:bottom w:val="nil"/>
                <w:right w:val="nil"/>
                <w:between w:val="nil"/>
              </w:pBdr>
              <w:jc w:val="center"/>
              <w:rPr>
                <w:i/>
                <w:color w:val="000000"/>
              </w:rPr>
            </w:pPr>
          </w:p>
        </w:tc>
      </w:tr>
    </w:tbl>
    <w:p w14:paraId="568184DC" w14:textId="77777777" w:rsidR="00246B34" w:rsidRDefault="00246B34">
      <w:pPr>
        <w:widowControl w:val="0"/>
        <w:pBdr>
          <w:top w:val="nil"/>
          <w:left w:val="nil"/>
          <w:bottom w:val="nil"/>
          <w:right w:val="nil"/>
          <w:between w:val="nil"/>
        </w:pBdr>
        <w:spacing w:line="276" w:lineRule="auto"/>
        <w:ind w:firstLine="0"/>
        <w:jc w:val="left"/>
        <w:rPr>
          <w:i/>
          <w:color w:val="000000"/>
        </w:rPr>
      </w:pPr>
    </w:p>
    <w:tbl>
      <w:tblPr>
        <w:tblStyle w:val="a1"/>
        <w:tblW w:w="9372" w:type="dxa"/>
        <w:tblInd w:w="0" w:type="dxa"/>
        <w:tblBorders>
          <w:insideH w:val="nil"/>
          <w:insideV w:val="nil"/>
        </w:tblBorders>
        <w:tblLayout w:type="fixed"/>
        <w:tblLook w:val="0400" w:firstRow="0" w:lastRow="0" w:firstColumn="0" w:lastColumn="0" w:noHBand="0" w:noVBand="1"/>
      </w:tblPr>
      <w:tblGrid>
        <w:gridCol w:w="4685"/>
        <w:gridCol w:w="4687"/>
      </w:tblGrid>
      <w:tr w:rsidR="00246B34" w14:paraId="229449E6" w14:textId="77777777">
        <w:trPr>
          <w:trHeight w:val="315"/>
        </w:trPr>
        <w:tc>
          <w:tcPr>
            <w:tcW w:w="4685" w:type="dxa"/>
            <w:tcBorders>
              <w:top w:val="nil"/>
              <w:left w:val="nil"/>
              <w:bottom w:val="nil"/>
              <w:right w:val="nil"/>
            </w:tcBorders>
          </w:tcPr>
          <w:p w14:paraId="41D2DE7D" w14:textId="77777777" w:rsidR="00246B34" w:rsidRDefault="009439D5">
            <w:pPr>
              <w:spacing w:line="276" w:lineRule="auto"/>
              <w:jc w:val="center"/>
              <w:rPr>
                <w:b/>
                <w:color w:val="000000"/>
                <w:sz w:val="24"/>
                <w:szCs w:val="24"/>
              </w:rPr>
            </w:pPr>
            <w:r>
              <w:rPr>
                <w:b/>
                <w:color w:val="000000"/>
                <w:sz w:val="24"/>
                <w:szCs w:val="24"/>
              </w:rPr>
              <w:t>Tamara van Zwol</w:t>
            </w:r>
          </w:p>
        </w:tc>
        <w:tc>
          <w:tcPr>
            <w:tcW w:w="4687" w:type="dxa"/>
            <w:tcBorders>
              <w:top w:val="nil"/>
              <w:left w:val="nil"/>
              <w:bottom w:val="nil"/>
              <w:right w:val="nil"/>
            </w:tcBorders>
          </w:tcPr>
          <w:p w14:paraId="51AE30D5" w14:textId="77777777" w:rsidR="00246B34" w:rsidRDefault="009439D5">
            <w:pPr>
              <w:spacing w:line="276" w:lineRule="auto"/>
              <w:jc w:val="center"/>
              <w:rPr>
                <w:b/>
                <w:color w:val="000000"/>
                <w:sz w:val="24"/>
                <w:szCs w:val="24"/>
              </w:rPr>
            </w:pPr>
            <w:r>
              <w:rPr>
                <w:b/>
                <w:color w:val="000000"/>
                <w:sz w:val="24"/>
                <w:szCs w:val="24"/>
              </w:rPr>
              <w:t xml:space="preserve">Robert </w:t>
            </w:r>
            <w:proofErr w:type="spellStart"/>
            <w:r>
              <w:rPr>
                <w:b/>
                <w:color w:val="000000"/>
                <w:sz w:val="24"/>
                <w:szCs w:val="24"/>
              </w:rPr>
              <w:t>Gillisse</w:t>
            </w:r>
            <w:proofErr w:type="spellEnd"/>
          </w:p>
        </w:tc>
      </w:tr>
      <w:tr w:rsidR="00246B34" w14:paraId="46C73CD8" w14:textId="77777777">
        <w:trPr>
          <w:trHeight w:val="492"/>
        </w:trPr>
        <w:tc>
          <w:tcPr>
            <w:tcW w:w="4685" w:type="dxa"/>
            <w:tcBorders>
              <w:top w:val="nil"/>
              <w:left w:val="nil"/>
              <w:bottom w:val="nil"/>
              <w:right w:val="nil"/>
            </w:tcBorders>
          </w:tcPr>
          <w:p w14:paraId="2DE3D353" w14:textId="77777777" w:rsidR="00246B34" w:rsidRDefault="009439D5">
            <w:pPr>
              <w:jc w:val="center"/>
              <w:rPr>
                <w:i/>
                <w:color w:val="000000"/>
              </w:rPr>
            </w:pPr>
            <w:r>
              <w:rPr>
                <w:i/>
                <w:color w:val="000000"/>
              </w:rPr>
              <w:t>Dutch Digital Heritage Network,</w:t>
            </w:r>
          </w:p>
          <w:p w14:paraId="182ED7AB" w14:textId="77777777" w:rsidR="00246B34" w:rsidRDefault="009439D5">
            <w:pPr>
              <w:jc w:val="center"/>
              <w:rPr>
                <w:i/>
                <w:color w:val="000000"/>
              </w:rPr>
            </w:pPr>
            <w:r>
              <w:rPr>
                <w:i/>
                <w:color w:val="000000"/>
              </w:rPr>
              <w:t>The Netherlands</w:t>
            </w:r>
          </w:p>
          <w:p w14:paraId="58147DA8" w14:textId="77777777" w:rsidR="00246B34" w:rsidRDefault="009439D5">
            <w:pPr>
              <w:jc w:val="center"/>
              <w:rPr>
                <w:i/>
                <w:color w:val="000000"/>
              </w:rPr>
            </w:pPr>
            <w:r>
              <w:rPr>
                <w:i/>
                <w:color w:val="000000"/>
              </w:rPr>
              <w:t>tvzwol@beeldengeluid.nl</w:t>
            </w:r>
          </w:p>
        </w:tc>
        <w:tc>
          <w:tcPr>
            <w:tcW w:w="4687" w:type="dxa"/>
            <w:tcBorders>
              <w:top w:val="nil"/>
              <w:left w:val="nil"/>
              <w:bottom w:val="nil"/>
              <w:right w:val="nil"/>
            </w:tcBorders>
          </w:tcPr>
          <w:p w14:paraId="25257B43" w14:textId="77777777" w:rsidR="00246B34" w:rsidRDefault="009439D5">
            <w:pPr>
              <w:jc w:val="center"/>
              <w:rPr>
                <w:i/>
                <w:color w:val="000000"/>
              </w:rPr>
            </w:pPr>
            <w:r>
              <w:rPr>
                <w:i/>
                <w:color w:val="000000"/>
              </w:rPr>
              <w:t>International Institute of Social History,</w:t>
            </w:r>
          </w:p>
          <w:p w14:paraId="29F67C07" w14:textId="77777777" w:rsidR="00246B34" w:rsidRDefault="009439D5">
            <w:pPr>
              <w:jc w:val="center"/>
              <w:rPr>
                <w:i/>
                <w:color w:val="000000"/>
              </w:rPr>
            </w:pPr>
            <w:r>
              <w:rPr>
                <w:i/>
                <w:color w:val="000000"/>
              </w:rPr>
              <w:t>The Netherlands</w:t>
            </w:r>
          </w:p>
          <w:p w14:paraId="7000E558" w14:textId="77777777" w:rsidR="00246B34" w:rsidRDefault="009439D5">
            <w:pPr>
              <w:jc w:val="center"/>
              <w:rPr>
                <w:i/>
                <w:color w:val="000000"/>
              </w:rPr>
            </w:pPr>
            <w:r>
              <w:rPr>
                <w:i/>
                <w:color w:val="000000"/>
              </w:rPr>
              <w:t>robert.gillisse@iisg.nl</w:t>
            </w:r>
          </w:p>
          <w:p w14:paraId="6D6B41C6" w14:textId="77777777" w:rsidR="00246B34" w:rsidRDefault="00246B34">
            <w:pPr>
              <w:jc w:val="center"/>
              <w:rPr>
                <w:i/>
                <w:color w:val="000000"/>
              </w:rPr>
            </w:pPr>
          </w:p>
        </w:tc>
      </w:tr>
    </w:tbl>
    <w:p w14:paraId="6476044E" w14:textId="77777777" w:rsidR="00246B34" w:rsidRDefault="00246B34">
      <w:pPr>
        <w:sectPr w:rsidR="00246B34">
          <w:headerReference w:type="default" r:id="rId8"/>
          <w:footerReference w:type="even" r:id="rId9"/>
          <w:footerReference w:type="default" r:id="rId10"/>
          <w:headerReference w:type="first" r:id="rId11"/>
          <w:footerReference w:type="first" r:id="rId12"/>
          <w:pgSz w:w="11900" w:h="16820"/>
          <w:pgMar w:top="1440" w:right="1440" w:bottom="1440" w:left="1440" w:header="567" w:footer="737" w:gutter="0"/>
          <w:pgNumType w:start="1"/>
          <w:cols w:space="708"/>
          <w:titlePg/>
        </w:sectPr>
      </w:pPr>
    </w:p>
    <w:p w14:paraId="1E901C60" w14:textId="77777777" w:rsidR="00246B34" w:rsidRDefault="009439D5">
      <w:pPr>
        <w:pBdr>
          <w:top w:val="nil"/>
          <w:left w:val="nil"/>
          <w:bottom w:val="nil"/>
          <w:right w:val="nil"/>
          <w:between w:val="nil"/>
        </w:pBdr>
        <w:rPr>
          <w:rFonts w:eastAsia="Open Sans"/>
          <w:b/>
          <w:color w:val="000000"/>
          <w:sz w:val="18"/>
          <w:szCs w:val="18"/>
        </w:rPr>
      </w:pPr>
      <w:r>
        <w:rPr>
          <w:rFonts w:eastAsia="Open Sans"/>
          <w:b/>
          <w:color w:val="000000"/>
          <w:sz w:val="18"/>
          <w:szCs w:val="18"/>
        </w:rPr>
        <w:t>Abstract – The storage and use of digital heritage objects produce carbon dioxide (CO</w:t>
      </w:r>
      <w:r>
        <w:rPr>
          <w:rFonts w:eastAsia="Open Sans"/>
          <w:b/>
          <w:color w:val="000000"/>
          <w:sz w:val="18"/>
          <w:szCs w:val="18"/>
          <w:vertAlign w:val="subscript"/>
        </w:rPr>
        <w:t>2</w:t>
      </w:r>
      <w:r>
        <w:rPr>
          <w:rFonts w:eastAsia="Open Sans"/>
          <w:b/>
          <w:color w:val="000000"/>
          <w:sz w:val="18"/>
          <w:szCs w:val="18"/>
        </w:rPr>
        <w:t xml:space="preserve">) emissions. Cultural heritage organizations can take several measures into consideration </w:t>
      </w:r>
      <w:proofErr w:type="gramStart"/>
      <w:r>
        <w:rPr>
          <w:rFonts w:eastAsia="Open Sans"/>
          <w:b/>
          <w:color w:val="000000"/>
          <w:sz w:val="18"/>
          <w:szCs w:val="18"/>
        </w:rPr>
        <w:t>in order to</w:t>
      </w:r>
      <w:proofErr w:type="gramEnd"/>
      <w:r>
        <w:rPr>
          <w:rFonts w:eastAsia="Open Sans"/>
          <w:b/>
          <w:color w:val="000000"/>
          <w:sz w:val="18"/>
          <w:szCs w:val="18"/>
        </w:rPr>
        <w:t xml:space="preserve"> diminish these CO</w:t>
      </w:r>
      <w:r>
        <w:rPr>
          <w:rFonts w:eastAsia="Open Sans"/>
          <w:b/>
          <w:color w:val="000000"/>
          <w:sz w:val="18"/>
          <w:szCs w:val="18"/>
          <w:vertAlign w:val="subscript"/>
        </w:rPr>
        <w:t>2</w:t>
      </w:r>
      <w:r>
        <w:rPr>
          <w:rFonts w:eastAsia="Open Sans"/>
          <w:b/>
          <w:color w:val="000000"/>
          <w:sz w:val="18"/>
          <w:szCs w:val="18"/>
        </w:rPr>
        <w:t xml:space="preserve"> emissions. However, how much CO</w:t>
      </w:r>
      <w:r>
        <w:rPr>
          <w:rFonts w:eastAsia="Open Sans"/>
          <w:b/>
          <w:color w:val="000000"/>
          <w:sz w:val="18"/>
          <w:szCs w:val="18"/>
          <w:vertAlign w:val="subscript"/>
        </w:rPr>
        <w:t>2</w:t>
      </w:r>
      <w:r>
        <w:rPr>
          <w:rFonts w:eastAsia="Open Sans"/>
          <w:b/>
          <w:color w:val="000000"/>
          <w:sz w:val="18"/>
          <w:szCs w:val="18"/>
        </w:rPr>
        <w:t xml:space="preserve"> do storage and use produce and what measures could have (the most) effect? We examined the CO</w:t>
      </w:r>
      <w:r>
        <w:rPr>
          <w:rFonts w:eastAsia="Open Sans"/>
          <w:b/>
          <w:color w:val="000000"/>
          <w:sz w:val="18"/>
          <w:szCs w:val="18"/>
          <w:vertAlign w:val="subscript"/>
        </w:rPr>
        <w:t>2</w:t>
      </w:r>
      <w:r>
        <w:rPr>
          <w:rFonts w:eastAsia="Open Sans"/>
          <w:b/>
          <w:color w:val="000000"/>
          <w:sz w:val="18"/>
          <w:szCs w:val="18"/>
        </w:rPr>
        <w:t xml:space="preserve"> impact and possible measures </w:t>
      </w:r>
      <w:proofErr w:type="gramStart"/>
      <w:r>
        <w:rPr>
          <w:rFonts w:eastAsia="Open Sans"/>
          <w:b/>
          <w:color w:val="000000"/>
          <w:sz w:val="18"/>
          <w:szCs w:val="18"/>
        </w:rPr>
        <w:t>on the basis of</w:t>
      </w:r>
      <w:proofErr w:type="gramEnd"/>
      <w:r>
        <w:rPr>
          <w:rFonts w:eastAsia="Open Sans"/>
          <w:b/>
          <w:color w:val="000000"/>
          <w:sz w:val="18"/>
          <w:szCs w:val="18"/>
        </w:rPr>
        <w:t xml:space="preserve"> a case study. We have focused our investigation on the impact of servers, infrastructure, cloud storage and use. But the story does not end there. We look ahead, beyond the case study and beyond boundaries, introducing a research agenda within the Dutch Digital Heritage Network (DDHN).</w:t>
      </w:r>
    </w:p>
    <w:p w14:paraId="199D41E7" w14:textId="77777777" w:rsidR="00246B34" w:rsidRDefault="009439D5">
      <w:pPr>
        <w:pBdr>
          <w:top w:val="nil"/>
          <w:left w:val="nil"/>
          <w:bottom w:val="nil"/>
          <w:right w:val="nil"/>
          <w:between w:val="nil"/>
        </w:pBdr>
        <w:rPr>
          <w:rFonts w:eastAsia="Open Sans"/>
          <w:b/>
          <w:color w:val="000000"/>
          <w:sz w:val="18"/>
          <w:szCs w:val="18"/>
        </w:rPr>
      </w:pPr>
      <w:r>
        <w:rPr>
          <w:rFonts w:eastAsia="Open Sans"/>
          <w:b/>
          <w:color w:val="000000"/>
          <w:sz w:val="18"/>
          <w:szCs w:val="18"/>
        </w:rPr>
        <w:t>Keywords – carbon footprint, sustainability, storage, users, carbon dioxide emissions</w:t>
      </w:r>
    </w:p>
    <w:p w14:paraId="40F60925" w14:textId="77777777" w:rsidR="00246B34" w:rsidRDefault="009439D5">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Conference Topics – Environment </w:t>
      </w:r>
    </w:p>
    <w:p w14:paraId="39C99C32" w14:textId="77777777" w:rsidR="00246B34" w:rsidRDefault="009439D5">
      <w:pPr>
        <w:pStyle w:val="Heading1"/>
        <w:numPr>
          <w:ilvl w:val="0"/>
          <w:numId w:val="1"/>
        </w:numPr>
      </w:pPr>
      <w:r>
        <w:t>Introduction</w:t>
      </w:r>
    </w:p>
    <w:p w14:paraId="0679F625" w14:textId="77777777" w:rsidR="00246B34" w:rsidRDefault="009439D5">
      <w:pPr>
        <w:pBdr>
          <w:top w:val="nil"/>
          <w:left w:val="nil"/>
          <w:bottom w:val="nil"/>
          <w:right w:val="nil"/>
          <w:between w:val="nil"/>
        </w:pBdr>
      </w:pPr>
      <w:bookmarkStart w:id="0" w:name="_heading=h.30j0zll" w:colFirst="0" w:colLast="0"/>
      <w:bookmarkEnd w:id="0"/>
      <w:r>
        <w:t>Preserving digital objects for the public contributes, like many human activities, to carbon dioxide (CO</w:t>
      </w:r>
      <w:r>
        <w:rPr>
          <w:vertAlign w:val="subscript"/>
        </w:rPr>
        <w:t>2</w:t>
      </w:r>
      <w:r>
        <w:t xml:space="preserve">) emissions and consequently has an impact on the environment. The Dutch digital heritage community is (becoming) conscious of the </w:t>
      </w:r>
      <w:r>
        <w:t>subject and wishes to examine the facts. What is the environmental impact of the storage and use of collections? What measures can be taken to lessen the CO</w:t>
      </w:r>
      <w:r>
        <w:rPr>
          <w:vertAlign w:val="subscript"/>
        </w:rPr>
        <w:t>2</w:t>
      </w:r>
      <w:r>
        <w:t xml:space="preserve"> impact? And what other issues are still untouched and are waiting for further investigation?</w:t>
      </w:r>
    </w:p>
    <w:p w14:paraId="0FE4A3F7" w14:textId="77777777" w:rsidR="00246B34" w:rsidRDefault="009439D5">
      <w:pPr>
        <w:pBdr>
          <w:top w:val="nil"/>
          <w:left w:val="nil"/>
          <w:bottom w:val="nil"/>
          <w:right w:val="nil"/>
          <w:between w:val="nil"/>
        </w:pBdr>
      </w:pPr>
      <w:r>
        <w:t>This paper provides insight into certain measures that can be taken when it comes to storage and use, based on a CO</w:t>
      </w:r>
      <w:r>
        <w:rPr>
          <w:vertAlign w:val="subscript"/>
        </w:rPr>
        <w:t>2</w:t>
      </w:r>
      <w:r>
        <w:t xml:space="preserve"> impact case study of the </w:t>
      </w:r>
      <w:proofErr w:type="spellStart"/>
      <w:r>
        <w:t>Delpher</w:t>
      </w:r>
      <w:proofErr w:type="spellEnd"/>
      <w:r>
        <w:t xml:space="preserve"> platform [1]. The published results and recommendations based on the case study [2] proved only to be the start of exploring climate actions for heritage organizations. To gain more insights, we asked the community to help us expand the research agenda to their specific needs and wishes. But first we will discuss the findings and recommendations based on the </w:t>
      </w:r>
      <w:proofErr w:type="spellStart"/>
      <w:r>
        <w:t>Delpher</w:t>
      </w:r>
      <w:proofErr w:type="spellEnd"/>
      <w:r>
        <w:t xml:space="preserve"> case study.</w:t>
      </w:r>
    </w:p>
    <w:p w14:paraId="5172E8E3" w14:textId="77777777" w:rsidR="00246B34" w:rsidRDefault="009439D5">
      <w:pPr>
        <w:pBdr>
          <w:top w:val="nil"/>
          <w:left w:val="nil"/>
          <w:bottom w:val="nil"/>
          <w:right w:val="nil"/>
          <w:between w:val="nil"/>
        </w:pBdr>
      </w:pPr>
      <w:r>
        <w:t xml:space="preserve">The </w:t>
      </w:r>
      <w:proofErr w:type="spellStart"/>
      <w:r>
        <w:t>Delpher</w:t>
      </w:r>
      <w:proofErr w:type="spellEnd"/>
      <w:r>
        <w:t xml:space="preserve"> case study was executed by the company PHI Factory and the Green IT expert group within the Dutch Digital Heritage Network.  In </w:t>
      </w:r>
      <w:proofErr w:type="spellStart"/>
      <w:r>
        <w:t>Delpher</w:t>
      </w:r>
      <w:proofErr w:type="spellEnd"/>
      <w:r>
        <w:t xml:space="preserve"> you can search and find millions of digitized texts from Dutch newspapers, books, and other published works. These documents come from the collections of various Dutch scientific institutions, </w:t>
      </w:r>
      <w:r>
        <w:lastRenderedPageBreak/>
        <w:t xml:space="preserve">libraries, and heritage institutions. </w:t>
      </w:r>
      <w:proofErr w:type="spellStart"/>
      <w:r>
        <w:t>Delpher</w:t>
      </w:r>
      <w:proofErr w:type="spellEnd"/>
      <w:r>
        <w:t xml:space="preserve"> is developed and managed by the National Library of The Netherlands (KB). We have examined storage and data use in this case study, focusing on the CO</w:t>
      </w:r>
      <w:r>
        <w:rPr>
          <w:vertAlign w:val="subscript"/>
        </w:rPr>
        <w:t>2</w:t>
      </w:r>
      <w:r>
        <w:t xml:space="preserve"> impact of servers, the server environment/infrastructure, cloud storage, and the end use: searching through </w:t>
      </w:r>
      <w:proofErr w:type="gramStart"/>
      <w:r>
        <w:t>the  files</w:t>
      </w:r>
      <w:proofErr w:type="gramEnd"/>
      <w:r>
        <w:t xml:space="preserve"> on the platform and downloading files. The study was based on the </w:t>
      </w:r>
      <w:proofErr w:type="spellStart"/>
      <w:r>
        <w:t>GreenHouse</w:t>
      </w:r>
      <w:proofErr w:type="spellEnd"/>
      <w:r>
        <w:t xml:space="preserve"> Gas Protocol [3]. PHI Factory used the guidelines from 'The </w:t>
      </w:r>
      <w:proofErr w:type="spellStart"/>
      <w:r>
        <w:t>GreenHouse</w:t>
      </w:r>
      <w:proofErr w:type="spellEnd"/>
      <w:r>
        <w:t xml:space="preserve"> Gas Protocol' to measure the CO2 footprint.</w:t>
      </w:r>
    </w:p>
    <w:p w14:paraId="405D221C" w14:textId="77777777" w:rsidR="00246B34" w:rsidRDefault="009439D5">
      <w:pPr>
        <w:pBdr>
          <w:top w:val="nil"/>
          <w:left w:val="nil"/>
          <w:bottom w:val="nil"/>
          <w:right w:val="nil"/>
          <w:between w:val="nil"/>
        </w:pBdr>
      </w:pPr>
      <w:r>
        <w:t xml:space="preserve"> This paper presents our findings in those four areas. </w:t>
      </w:r>
    </w:p>
    <w:p w14:paraId="4FF25740" w14:textId="77777777" w:rsidR="00246B34" w:rsidRDefault="009439D5">
      <w:pPr>
        <w:pStyle w:val="Heading1"/>
        <w:numPr>
          <w:ilvl w:val="0"/>
          <w:numId w:val="1"/>
        </w:numPr>
      </w:pPr>
      <w:r>
        <w:t>Servers</w:t>
      </w:r>
    </w:p>
    <w:p w14:paraId="1F0A0C3E" w14:textId="77777777" w:rsidR="00246B34" w:rsidRDefault="009439D5">
      <w:pPr>
        <w:pBdr>
          <w:top w:val="nil"/>
          <w:left w:val="nil"/>
          <w:bottom w:val="nil"/>
          <w:right w:val="nil"/>
          <w:between w:val="nil"/>
        </w:pBdr>
        <w:spacing w:after="120"/>
        <w:rPr>
          <w:rFonts w:eastAsia="Open Sans"/>
          <w:color w:val="000000"/>
        </w:rPr>
      </w:pPr>
      <w:r>
        <w:rPr>
          <w:rFonts w:eastAsia="Open Sans"/>
          <w:color w:val="000000"/>
        </w:rPr>
        <w:t>Servers provide the computing power and storage required to store and make digital collections available for users. These servers are the main cause of CO</w:t>
      </w:r>
      <w:r>
        <w:rPr>
          <w:rFonts w:eastAsia="Open Sans"/>
          <w:color w:val="000000"/>
          <w:vertAlign w:val="subscript"/>
        </w:rPr>
        <w:t>2</w:t>
      </w:r>
      <w:r>
        <w:rPr>
          <w:rFonts w:eastAsia="Open Sans"/>
          <w:color w:val="000000"/>
        </w:rPr>
        <w:t xml:space="preserve"> emissions. This is due to both the electricity consumption and the indirect CO</w:t>
      </w:r>
      <w:r>
        <w:rPr>
          <w:rFonts w:eastAsia="Open Sans"/>
          <w:color w:val="000000"/>
          <w:vertAlign w:val="subscript"/>
        </w:rPr>
        <w:t>2</w:t>
      </w:r>
      <w:r>
        <w:rPr>
          <w:rFonts w:eastAsia="Open Sans"/>
          <w:color w:val="000000"/>
        </w:rPr>
        <w:t xml:space="preserve"> emissions from the production of the servers. </w:t>
      </w:r>
    </w:p>
    <w:p w14:paraId="5F845FC4" w14:textId="77777777" w:rsidR="00246B34" w:rsidRDefault="009439D5">
      <w:pPr>
        <w:pBdr>
          <w:top w:val="nil"/>
          <w:left w:val="nil"/>
          <w:bottom w:val="nil"/>
          <w:right w:val="nil"/>
          <w:between w:val="nil"/>
        </w:pBdr>
        <w:spacing w:after="120"/>
        <w:rPr>
          <w:rFonts w:eastAsia="Open Sans"/>
          <w:color w:val="000000"/>
        </w:rPr>
      </w:pPr>
      <w:r>
        <w:rPr>
          <w:rFonts w:eastAsia="Open Sans"/>
          <w:color w:val="000000"/>
        </w:rPr>
        <w:t xml:space="preserve">Creating digital compartments in the servers, like the KB has done for the data on </w:t>
      </w:r>
      <w:proofErr w:type="spellStart"/>
      <w:r>
        <w:rPr>
          <w:rFonts w:eastAsia="Open Sans"/>
          <w:color w:val="000000"/>
        </w:rPr>
        <w:t>Delpher</w:t>
      </w:r>
      <w:proofErr w:type="spellEnd"/>
      <w:r>
        <w:rPr>
          <w:rFonts w:eastAsia="Open Sans"/>
          <w:color w:val="000000"/>
        </w:rPr>
        <w:t>, ensures that the capacity of these servers can be used more efficiently. This can be done by means of virtual machines or containers. The KB's servers consume now 242 MWh (or: 242,000 kWh) annually, which is equivalent to the electricity consumption of 98 average Dutch households in a year.</w:t>
      </w:r>
    </w:p>
    <w:p w14:paraId="745AD9B6" w14:textId="77777777" w:rsidR="00246B34" w:rsidRDefault="009439D5">
      <w:pPr>
        <w:pStyle w:val="Heading1"/>
        <w:numPr>
          <w:ilvl w:val="0"/>
          <w:numId w:val="1"/>
        </w:numPr>
      </w:pPr>
      <w:bookmarkStart w:id="1" w:name="_heading=h.1fob9te" w:colFirst="0" w:colLast="0"/>
      <w:bookmarkEnd w:id="1"/>
      <w:r>
        <w:t>Server environment</w:t>
      </w:r>
    </w:p>
    <w:p w14:paraId="5C5F1074" w14:textId="77777777" w:rsidR="00246B34" w:rsidRDefault="009439D5">
      <w:pPr>
        <w:pBdr>
          <w:top w:val="nil"/>
          <w:left w:val="nil"/>
          <w:bottom w:val="nil"/>
          <w:right w:val="nil"/>
          <w:between w:val="nil"/>
        </w:pBdr>
        <w:spacing w:after="120"/>
        <w:rPr>
          <w:rFonts w:eastAsia="Open Sans"/>
          <w:color w:val="000000"/>
        </w:rPr>
      </w:pPr>
      <w:bookmarkStart w:id="2" w:name="_heading=h.3znysh7" w:colFirst="0" w:colLast="0"/>
      <w:bookmarkEnd w:id="2"/>
      <w:r>
        <w:rPr>
          <w:rFonts w:eastAsia="Open Sans"/>
          <w:color w:val="000000"/>
        </w:rPr>
        <w:t>The location/environment of the servers has a major influence on the total of CO</w:t>
      </w:r>
      <w:r>
        <w:rPr>
          <w:rFonts w:eastAsia="Open Sans"/>
          <w:color w:val="000000"/>
          <w:vertAlign w:val="subscript"/>
        </w:rPr>
        <w:t>2</w:t>
      </w:r>
      <w:r>
        <w:rPr>
          <w:rFonts w:eastAsia="Open Sans"/>
          <w:color w:val="000000"/>
        </w:rPr>
        <w:t xml:space="preserve"> emissions. If data is stored locally, on the level of one institution, there is a good chance that actions facilitating the servers, such as cooling them, consumes as much or even more energy than the servers themselves. To reduce the CO</w:t>
      </w:r>
      <w:r>
        <w:rPr>
          <w:rFonts w:eastAsia="Open Sans"/>
          <w:color w:val="000000"/>
          <w:vertAlign w:val="subscript"/>
        </w:rPr>
        <w:t>2</w:t>
      </w:r>
      <w:r>
        <w:rPr>
          <w:rFonts w:eastAsia="Open Sans"/>
          <w:color w:val="000000"/>
        </w:rPr>
        <w:t xml:space="preserve"> impact of the infrastructure around the servers you can think about sharing servers with multiple organizations to use them most effectively. By moving the servers from the KB local location to a more efficient, external colocation data center, as in the case of </w:t>
      </w:r>
      <w:proofErr w:type="spellStart"/>
      <w:r>
        <w:t>Delpher</w:t>
      </w:r>
      <w:proofErr w:type="spellEnd"/>
      <w:r>
        <w:t>, considerable</w:t>
      </w:r>
      <w:r>
        <w:rPr>
          <w:rFonts w:eastAsia="Open Sans"/>
          <w:color w:val="000000"/>
        </w:rPr>
        <w:t xml:space="preserve"> savings can be made on electricity costs: saving annually the amount of 151 MWh. Because many servers are located here, facility systems such as cooling can do their job much more effectively. Therefore, this method is not only more sustainable, but also more economic.</w:t>
      </w:r>
    </w:p>
    <w:p w14:paraId="46071D5D" w14:textId="77777777" w:rsidR="00246B34" w:rsidRDefault="009439D5">
      <w:pPr>
        <w:pBdr>
          <w:top w:val="nil"/>
          <w:left w:val="nil"/>
          <w:bottom w:val="nil"/>
          <w:right w:val="nil"/>
          <w:between w:val="nil"/>
        </w:pBdr>
        <w:spacing w:after="120"/>
        <w:rPr>
          <w:rFonts w:eastAsia="Open Sans"/>
          <w:color w:val="000000"/>
        </w:rPr>
      </w:pPr>
      <w:bookmarkStart w:id="3" w:name="_heading=h.2et92p0" w:colFirst="0" w:colLast="0"/>
      <w:bookmarkEnd w:id="3"/>
      <w:r>
        <w:rPr>
          <w:rFonts w:eastAsia="Open Sans"/>
          <w:color w:val="000000"/>
        </w:rPr>
        <w:t xml:space="preserve">You can also opt for more green energy, like the KB has done. Green energy is any energy type that is generated from natural resources, such as sunlight, </w:t>
      </w:r>
      <w:proofErr w:type="gramStart"/>
      <w:r>
        <w:rPr>
          <w:rFonts w:eastAsia="Open Sans"/>
          <w:color w:val="000000"/>
        </w:rPr>
        <w:t>wind</w:t>
      </w:r>
      <w:proofErr w:type="gramEnd"/>
      <w:r>
        <w:rPr>
          <w:rFonts w:eastAsia="Open Sans"/>
          <w:color w:val="000000"/>
        </w:rPr>
        <w:t xml:space="preserve"> or water. Because green energy is generated from a renewable </w:t>
      </w:r>
      <w:proofErr w:type="gramStart"/>
      <w:r>
        <w:rPr>
          <w:rFonts w:eastAsia="Open Sans"/>
          <w:color w:val="000000"/>
        </w:rPr>
        <w:t>source,  the</w:t>
      </w:r>
      <w:proofErr w:type="gramEnd"/>
      <w:r>
        <w:rPr>
          <w:rFonts w:eastAsia="Open Sans"/>
          <w:color w:val="000000"/>
        </w:rPr>
        <w:t xml:space="preserve">  CO</w:t>
      </w:r>
      <w:r>
        <w:rPr>
          <w:rFonts w:eastAsia="Open Sans"/>
          <w:color w:val="000000"/>
          <w:vertAlign w:val="subscript"/>
        </w:rPr>
        <w:t xml:space="preserve">2 </w:t>
      </w:r>
      <w:r>
        <w:rPr>
          <w:rFonts w:eastAsia="Open Sans"/>
          <w:color w:val="000000"/>
        </w:rPr>
        <w:t xml:space="preserve">emissions are a whole lot lower than in the case of energy from fossil sources. The annual carbon footprint of </w:t>
      </w:r>
      <w:proofErr w:type="spellStart"/>
      <w:r>
        <w:rPr>
          <w:rFonts w:eastAsia="Open Sans"/>
          <w:color w:val="000000"/>
        </w:rPr>
        <w:t>Delpher's</w:t>
      </w:r>
      <w:proofErr w:type="spellEnd"/>
      <w:r>
        <w:rPr>
          <w:rFonts w:eastAsia="Open Sans"/>
          <w:color w:val="000000"/>
        </w:rPr>
        <w:t xml:space="preserve"> servers is less than 4 tons of CO</w:t>
      </w:r>
      <w:r>
        <w:rPr>
          <w:rFonts w:eastAsia="Open Sans"/>
          <w:color w:val="000000"/>
          <w:vertAlign w:val="subscript"/>
        </w:rPr>
        <w:t>2</w:t>
      </w:r>
      <w:r>
        <w:rPr>
          <w:rFonts w:eastAsia="Open Sans"/>
          <w:color w:val="000000"/>
        </w:rPr>
        <w:t xml:space="preserve"> equivalents per year, which equals 4 hot air balloons of 200 m2 (the size of a soccer field) filled with CO</w:t>
      </w:r>
      <w:r>
        <w:rPr>
          <w:rFonts w:eastAsia="Open Sans"/>
          <w:color w:val="000000"/>
          <w:vertAlign w:val="subscript"/>
        </w:rPr>
        <w:t>2.</w:t>
      </w:r>
    </w:p>
    <w:p w14:paraId="19FE4FDB" w14:textId="77777777" w:rsidR="00246B34" w:rsidRDefault="009439D5">
      <w:pPr>
        <w:pStyle w:val="Heading1"/>
        <w:numPr>
          <w:ilvl w:val="0"/>
          <w:numId w:val="1"/>
        </w:numPr>
      </w:pPr>
      <w:r>
        <w:t>Cloud storage</w:t>
      </w:r>
    </w:p>
    <w:p w14:paraId="4C4A3A95" w14:textId="77777777" w:rsidR="00246B34" w:rsidRDefault="009439D5">
      <w:pPr>
        <w:pBdr>
          <w:top w:val="nil"/>
          <w:left w:val="nil"/>
          <w:bottom w:val="nil"/>
          <w:right w:val="nil"/>
          <w:between w:val="nil"/>
        </w:pBdr>
        <w:spacing w:after="120"/>
        <w:rPr>
          <w:rFonts w:eastAsia="Open Sans"/>
          <w:color w:val="000000"/>
        </w:rPr>
      </w:pPr>
      <w:r>
        <w:rPr>
          <w:rFonts w:eastAsia="Open Sans"/>
          <w:color w:val="000000"/>
        </w:rPr>
        <w:t xml:space="preserve">With cloud storage, the data and computing power of many companies is divided over servers. This makes for very efficient use of (the capacity of) the </w:t>
      </w:r>
      <w:proofErr w:type="gramStart"/>
      <w:r>
        <w:rPr>
          <w:rFonts w:eastAsia="Open Sans"/>
          <w:color w:val="000000"/>
        </w:rPr>
        <w:t>servers</w:t>
      </w:r>
      <w:proofErr w:type="gramEnd"/>
      <w:r>
        <w:rPr>
          <w:rFonts w:eastAsia="Open Sans"/>
          <w:color w:val="000000"/>
        </w:rPr>
        <w:t xml:space="preserve"> since every available space is being occupied. The advantage of storage in a cloud environment is that the type of providers behind it (</w:t>
      </w:r>
      <w:proofErr w:type="gramStart"/>
      <w:r>
        <w:rPr>
          <w:rFonts w:eastAsia="Open Sans"/>
          <w:color w:val="000000"/>
        </w:rPr>
        <w:t>e.g.</w:t>
      </w:r>
      <w:proofErr w:type="gramEnd"/>
      <w:r>
        <w:rPr>
          <w:rFonts w:eastAsia="Open Sans"/>
          <w:color w:val="000000"/>
        </w:rPr>
        <w:t xml:space="preserve"> Microsoft and Amazon) are at the forefront of the development of facility systems and the use of containers to make the capacity of their servers as </w:t>
      </w:r>
      <w:r>
        <w:t>efficient</w:t>
      </w:r>
      <w:r>
        <w:rPr>
          <w:rFonts w:eastAsia="Open Sans"/>
          <w:color w:val="000000"/>
        </w:rPr>
        <w:t xml:space="preserve"> as possible. Naturally, cultural heritage organizations </w:t>
      </w:r>
      <w:proofErr w:type="gramStart"/>
      <w:r>
        <w:rPr>
          <w:rFonts w:eastAsia="Open Sans"/>
          <w:color w:val="000000"/>
        </w:rPr>
        <w:t>have to</w:t>
      </w:r>
      <w:proofErr w:type="gramEnd"/>
      <w:r>
        <w:rPr>
          <w:rFonts w:eastAsia="Open Sans"/>
          <w:color w:val="000000"/>
        </w:rPr>
        <w:t xml:space="preserve"> consider if they are willing to store their data in a large datacenter under the control of such a provider in perhaps a different country, under different rules and regulations. Because </w:t>
      </w:r>
      <w:proofErr w:type="spellStart"/>
      <w:r>
        <w:rPr>
          <w:rFonts w:eastAsia="Open Sans"/>
          <w:color w:val="000000"/>
        </w:rPr>
        <w:t>Delpher</w:t>
      </w:r>
      <w:proofErr w:type="spellEnd"/>
      <w:r>
        <w:rPr>
          <w:rFonts w:eastAsia="Open Sans"/>
          <w:color w:val="000000"/>
        </w:rPr>
        <w:t xml:space="preserve"> concerns itself with national Dutch cultural heritage, it has been decided to store the data at a Dutch colocation and not via an international cloud provider.</w:t>
      </w:r>
    </w:p>
    <w:p w14:paraId="56B63E8B" w14:textId="77777777" w:rsidR="00246B34" w:rsidRDefault="009439D5">
      <w:pPr>
        <w:pStyle w:val="Heading1"/>
        <w:numPr>
          <w:ilvl w:val="0"/>
          <w:numId w:val="1"/>
        </w:numPr>
      </w:pPr>
      <w:r>
        <w:t>Data use</w:t>
      </w:r>
    </w:p>
    <w:p w14:paraId="288A4139" w14:textId="77777777" w:rsidR="00246B34" w:rsidRDefault="009439D5">
      <w:pPr>
        <w:pBdr>
          <w:top w:val="nil"/>
          <w:left w:val="nil"/>
          <w:bottom w:val="nil"/>
          <w:right w:val="nil"/>
          <w:between w:val="nil"/>
        </w:pBdr>
        <w:spacing w:after="120"/>
        <w:rPr>
          <w:rFonts w:eastAsia="Open Sans"/>
          <w:color w:val="000000"/>
        </w:rPr>
      </w:pPr>
      <w:r>
        <w:rPr>
          <w:rFonts w:eastAsia="Open Sans"/>
          <w:color w:val="000000"/>
        </w:rPr>
        <w:t xml:space="preserve">Retrieving files from a digital collection, loading </w:t>
      </w:r>
      <w:proofErr w:type="gramStart"/>
      <w:r>
        <w:rPr>
          <w:rFonts w:eastAsia="Open Sans"/>
          <w:color w:val="000000"/>
        </w:rPr>
        <w:t>webpages</w:t>
      </w:r>
      <w:proofErr w:type="gramEnd"/>
      <w:r>
        <w:rPr>
          <w:rFonts w:eastAsia="Open Sans"/>
          <w:color w:val="000000"/>
        </w:rPr>
        <w:t xml:space="preserve"> and using the search index causes CO</w:t>
      </w:r>
      <w:r>
        <w:rPr>
          <w:rFonts w:eastAsia="Open Sans"/>
          <w:color w:val="000000"/>
          <w:vertAlign w:val="subscript"/>
        </w:rPr>
        <w:t>2</w:t>
      </w:r>
      <w:r>
        <w:rPr>
          <w:rFonts w:eastAsia="Open Sans"/>
          <w:color w:val="000000"/>
        </w:rPr>
        <w:t xml:space="preserve"> emissions. In the case of </w:t>
      </w:r>
      <w:proofErr w:type="spellStart"/>
      <w:r>
        <w:rPr>
          <w:rFonts w:eastAsia="Open Sans"/>
          <w:color w:val="000000"/>
        </w:rPr>
        <w:t>Delpher</w:t>
      </w:r>
      <w:proofErr w:type="spellEnd"/>
      <w:r>
        <w:rPr>
          <w:rFonts w:eastAsia="Open Sans"/>
          <w:color w:val="000000"/>
        </w:rPr>
        <w:t xml:space="preserve"> a large part of the digital collection will not be downloaded by a user, but searched, which has only a limited impact. Still, there are ways to even diminish this impact. This could be done by </w:t>
      </w:r>
      <w:proofErr w:type="gramStart"/>
      <w:r>
        <w:rPr>
          <w:rFonts w:eastAsia="Open Sans"/>
          <w:color w:val="000000"/>
        </w:rPr>
        <w:t>e.g.</w:t>
      </w:r>
      <w:proofErr w:type="gramEnd"/>
      <w:r>
        <w:rPr>
          <w:rFonts w:eastAsia="Open Sans"/>
          <w:color w:val="000000"/>
        </w:rPr>
        <w:t xml:space="preserve"> offering lower resolution versions of the digital object files. In addition, to make it even more effective, you can also limit the user features on the website so that fewer files </w:t>
      </w:r>
      <w:proofErr w:type="gramStart"/>
      <w:r>
        <w:rPr>
          <w:rFonts w:eastAsia="Open Sans"/>
          <w:color w:val="000000"/>
        </w:rPr>
        <w:t>have to</w:t>
      </w:r>
      <w:proofErr w:type="gramEnd"/>
      <w:r>
        <w:rPr>
          <w:rFonts w:eastAsia="Open Sans"/>
          <w:color w:val="000000"/>
        </w:rPr>
        <w:t xml:space="preserve"> be searched in the data store. For </w:t>
      </w:r>
      <w:proofErr w:type="gramStart"/>
      <w:r>
        <w:rPr>
          <w:rFonts w:eastAsia="Open Sans"/>
          <w:color w:val="000000"/>
        </w:rPr>
        <w:t>example</w:t>
      </w:r>
      <w:proofErr w:type="gramEnd"/>
      <w:r>
        <w:rPr>
          <w:rFonts w:eastAsia="Open Sans"/>
          <w:color w:val="000000"/>
        </w:rPr>
        <w:t xml:space="preserve"> if you do not offer 'search all' as a standard option, but let users indicate which specific material (newspapers, books or magazines) should be searched. </w:t>
      </w:r>
    </w:p>
    <w:p w14:paraId="5AF502AB" w14:textId="77777777" w:rsidR="00246B34" w:rsidRDefault="00246B34">
      <w:pPr>
        <w:pBdr>
          <w:top w:val="nil"/>
          <w:left w:val="nil"/>
          <w:bottom w:val="nil"/>
          <w:right w:val="nil"/>
          <w:between w:val="nil"/>
        </w:pBdr>
        <w:spacing w:after="120"/>
      </w:pPr>
    </w:p>
    <w:p w14:paraId="04744798" w14:textId="77777777" w:rsidR="00246B34" w:rsidRDefault="00246B34">
      <w:pPr>
        <w:pBdr>
          <w:top w:val="nil"/>
          <w:left w:val="nil"/>
          <w:bottom w:val="nil"/>
          <w:right w:val="nil"/>
          <w:between w:val="nil"/>
        </w:pBdr>
        <w:spacing w:after="120"/>
      </w:pPr>
    </w:p>
    <w:p w14:paraId="7BEB5427" w14:textId="77777777" w:rsidR="00316F9C" w:rsidRDefault="00316F9C">
      <w:pPr>
        <w:rPr>
          <w:rFonts w:cs="Times New Roman (Body CS)"/>
          <w:smallCaps/>
        </w:rPr>
      </w:pPr>
      <w:r>
        <w:br w:type="page"/>
      </w:r>
    </w:p>
    <w:p w14:paraId="0E085661" w14:textId="77777777" w:rsidR="00246B34" w:rsidRDefault="009439D5">
      <w:pPr>
        <w:pStyle w:val="Heading1"/>
        <w:numPr>
          <w:ilvl w:val="0"/>
          <w:numId w:val="1"/>
        </w:numPr>
      </w:pPr>
      <w:r>
        <w:lastRenderedPageBreak/>
        <w:t>Discussion</w:t>
      </w:r>
    </w:p>
    <w:p w14:paraId="70E6849A" w14:textId="77777777" w:rsidR="00246B34" w:rsidRDefault="00246B34">
      <w:pPr>
        <w:pBdr>
          <w:top w:val="nil"/>
          <w:left w:val="nil"/>
          <w:bottom w:val="nil"/>
          <w:right w:val="nil"/>
          <w:between w:val="nil"/>
        </w:pBdr>
        <w:spacing w:after="120"/>
        <w:ind w:firstLine="0"/>
        <w:rPr>
          <w:rFonts w:eastAsia="Open Sans"/>
          <w:color w:val="000000"/>
        </w:rPr>
      </w:pPr>
    </w:p>
    <w:p w14:paraId="5679FF15" w14:textId="77777777" w:rsidR="00246B34" w:rsidRDefault="009439D5">
      <w:pPr>
        <w:numPr>
          <w:ilvl w:val="0"/>
          <w:numId w:val="2"/>
        </w:numPr>
        <w:pBdr>
          <w:top w:val="nil"/>
          <w:left w:val="nil"/>
          <w:bottom w:val="nil"/>
          <w:right w:val="nil"/>
          <w:between w:val="nil"/>
        </w:pBdr>
        <w:spacing w:after="120"/>
        <w:rPr>
          <w:rFonts w:eastAsia="Open Sans"/>
          <w:i/>
          <w:color w:val="000000"/>
        </w:rPr>
      </w:pPr>
      <w:r>
        <w:rPr>
          <w:rFonts w:eastAsia="Open Sans"/>
          <w:i/>
          <w:color w:val="000000"/>
        </w:rPr>
        <w:t>Case study as a starting point</w:t>
      </w:r>
    </w:p>
    <w:p w14:paraId="213B9B47" w14:textId="77777777" w:rsidR="00246B34" w:rsidRDefault="009439D5">
      <w:pPr>
        <w:pBdr>
          <w:top w:val="nil"/>
          <w:left w:val="nil"/>
          <w:bottom w:val="nil"/>
          <w:right w:val="nil"/>
          <w:between w:val="nil"/>
        </w:pBdr>
        <w:spacing w:after="120"/>
        <w:ind w:firstLine="0"/>
        <w:rPr>
          <w:rFonts w:eastAsia="Open Sans"/>
          <w:color w:val="000000"/>
        </w:rPr>
      </w:pPr>
      <w:r>
        <w:rPr>
          <w:rFonts w:eastAsia="Open Sans"/>
          <w:color w:val="000000"/>
        </w:rPr>
        <w:t>The case study provided calculated information on storage and use issues and recommendations for organizations to consider. But of course, one case study alone means there are limitations to what you can investigate</w:t>
      </w:r>
      <w:r>
        <w:t>. S</w:t>
      </w:r>
      <w:r>
        <w:rPr>
          <w:rFonts w:eastAsia="Open Sans"/>
          <w:color w:val="000000"/>
        </w:rPr>
        <w:t xml:space="preserve">ome research topics are still left on the shelf. </w:t>
      </w:r>
    </w:p>
    <w:p w14:paraId="06C0B3AF" w14:textId="77777777" w:rsidR="00246B34" w:rsidRDefault="009439D5">
      <w:pPr>
        <w:pBdr>
          <w:top w:val="nil"/>
          <w:left w:val="nil"/>
          <w:bottom w:val="nil"/>
          <w:right w:val="nil"/>
          <w:between w:val="nil"/>
        </w:pBdr>
        <w:spacing w:after="120"/>
        <w:ind w:firstLine="0"/>
        <w:rPr>
          <w:rFonts w:eastAsia="Open Sans"/>
          <w:color w:val="000000"/>
        </w:rPr>
      </w:pPr>
      <w:r>
        <w:rPr>
          <w:rFonts w:eastAsia="Open Sans"/>
          <w:color w:val="000000"/>
        </w:rPr>
        <w:t xml:space="preserve">For </w:t>
      </w:r>
      <w:proofErr w:type="gramStart"/>
      <w:r>
        <w:rPr>
          <w:rFonts w:eastAsia="Open Sans"/>
          <w:color w:val="000000"/>
        </w:rPr>
        <w:t>example</w:t>
      </w:r>
      <w:proofErr w:type="gramEnd"/>
      <w:r>
        <w:rPr>
          <w:rFonts w:eastAsia="Open Sans"/>
          <w:color w:val="000000"/>
        </w:rPr>
        <w:t xml:space="preserve"> we have not calculated the CO2 emissions of digital preservation workflows like pre-ingest. We have not considered the carbon costs of the data </w:t>
      </w:r>
      <w:r>
        <w:t>center</w:t>
      </w:r>
      <w:r>
        <w:rPr>
          <w:rFonts w:eastAsia="Open Sans"/>
          <w:color w:val="000000"/>
        </w:rPr>
        <w:t xml:space="preserve"> building (materials) or the specific carbon costs of multiple information objects storage.</w:t>
      </w:r>
    </w:p>
    <w:p w14:paraId="29B9FF97" w14:textId="77777777" w:rsidR="00246B34" w:rsidRDefault="009439D5">
      <w:pPr>
        <w:pBdr>
          <w:top w:val="nil"/>
          <w:left w:val="nil"/>
          <w:bottom w:val="nil"/>
          <w:right w:val="nil"/>
          <w:between w:val="nil"/>
        </w:pBdr>
        <w:spacing w:after="120"/>
        <w:ind w:firstLine="0"/>
        <w:rPr>
          <w:rFonts w:eastAsia="Open Sans"/>
          <w:color w:val="000000"/>
        </w:rPr>
      </w:pPr>
      <w:proofErr w:type="gramStart"/>
      <w:r>
        <w:rPr>
          <w:rFonts w:eastAsia="Open Sans"/>
          <w:color w:val="000000"/>
        </w:rPr>
        <w:t>However</w:t>
      </w:r>
      <w:proofErr w:type="gramEnd"/>
      <w:r>
        <w:rPr>
          <w:rFonts w:eastAsia="Open Sans"/>
          <w:color w:val="000000"/>
        </w:rPr>
        <w:t xml:space="preserve"> the case study proved to be a starting point for further research and raising awareness.</w:t>
      </w:r>
    </w:p>
    <w:p w14:paraId="5F8F147A" w14:textId="77777777" w:rsidR="00246B34" w:rsidRDefault="00246B34">
      <w:pPr>
        <w:pBdr>
          <w:top w:val="nil"/>
          <w:left w:val="nil"/>
          <w:bottom w:val="nil"/>
          <w:right w:val="nil"/>
          <w:between w:val="nil"/>
        </w:pBdr>
        <w:spacing w:after="120"/>
        <w:ind w:firstLine="0"/>
      </w:pPr>
    </w:p>
    <w:p w14:paraId="0F11773F" w14:textId="77777777" w:rsidR="00246B34" w:rsidRDefault="009439D5">
      <w:pPr>
        <w:numPr>
          <w:ilvl w:val="0"/>
          <w:numId w:val="2"/>
        </w:numPr>
        <w:pBdr>
          <w:top w:val="nil"/>
          <w:left w:val="nil"/>
          <w:bottom w:val="nil"/>
          <w:right w:val="nil"/>
          <w:between w:val="nil"/>
        </w:pBdr>
        <w:spacing w:after="120"/>
        <w:rPr>
          <w:rFonts w:eastAsia="Open Sans"/>
          <w:i/>
          <w:color w:val="000000"/>
        </w:rPr>
      </w:pPr>
      <w:r>
        <w:rPr>
          <w:rFonts w:eastAsia="Open Sans"/>
          <w:i/>
          <w:color w:val="000000"/>
        </w:rPr>
        <w:t>Further research</w:t>
      </w:r>
    </w:p>
    <w:p w14:paraId="2C186715" w14:textId="77777777" w:rsidR="00246B34" w:rsidRDefault="009439D5">
      <w:pPr>
        <w:pBdr>
          <w:top w:val="nil"/>
          <w:left w:val="nil"/>
          <w:bottom w:val="nil"/>
          <w:right w:val="nil"/>
          <w:between w:val="nil"/>
        </w:pBdr>
        <w:spacing w:after="120"/>
        <w:ind w:firstLine="0"/>
        <w:rPr>
          <w:rFonts w:eastAsia="Open Sans"/>
          <w:color w:val="000000"/>
        </w:rPr>
      </w:pPr>
      <w:proofErr w:type="gramStart"/>
      <w:r>
        <w:rPr>
          <w:rFonts w:eastAsia="Open Sans"/>
          <w:color w:val="000000"/>
        </w:rPr>
        <w:t>In order to</w:t>
      </w:r>
      <w:proofErr w:type="gramEnd"/>
      <w:r>
        <w:rPr>
          <w:rFonts w:eastAsia="Open Sans"/>
          <w:color w:val="000000"/>
        </w:rPr>
        <w:t xml:space="preserve"> determine the topics for further investigation we involved the heritage community. During two sessions in November 2021 and June 2022 on the theme of Green IT, heritage professionals from the network were asked about their experiences and wishes for further research.</w:t>
      </w:r>
    </w:p>
    <w:p w14:paraId="3F375723" w14:textId="77777777" w:rsidR="00246B34" w:rsidRDefault="009439D5">
      <w:pPr>
        <w:pBdr>
          <w:top w:val="nil"/>
          <w:left w:val="nil"/>
          <w:bottom w:val="nil"/>
          <w:right w:val="nil"/>
          <w:between w:val="nil"/>
        </w:pBdr>
        <w:spacing w:after="120"/>
        <w:ind w:firstLine="0"/>
        <w:rPr>
          <w:rFonts w:eastAsia="Open Sans"/>
          <w:color w:val="000000"/>
        </w:rPr>
      </w:pPr>
      <w:r>
        <w:rPr>
          <w:rFonts w:eastAsia="Open Sans"/>
          <w:color w:val="000000"/>
        </w:rPr>
        <w:t>Important to note is that the environmental impact of digital heritage was not yet included in the policy of most organizations. At the top of the wish list stood and stan</w:t>
      </w:r>
      <w:r>
        <w:t xml:space="preserve">ds </w:t>
      </w:r>
      <w:r>
        <w:rPr>
          <w:rFonts w:eastAsia="Open Sans"/>
          <w:color w:val="000000"/>
        </w:rPr>
        <w:t xml:space="preserve">therefore climate awareness. However, the heritage community recognizes the complexity of this topic, the sense of urgency and the demand for more knowledge. And certainly, some measures are being considered or already executed, like a stricter selection and avoidance of duplicate storage of digital objects, cleaning up digital data, switching to green power or relocation to other data </w:t>
      </w:r>
      <w:r>
        <w:t>centers</w:t>
      </w:r>
      <w:r>
        <w:rPr>
          <w:rFonts w:eastAsia="Open Sans"/>
          <w:color w:val="000000"/>
        </w:rPr>
        <w:t xml:space="preserve">.  In order </w:t>
      </w:r>
      <w:r>
        <w:t xml:space="preserve">to help </w:t>
      </w:r>
      <w:proofErr w:type="gramStart"/>
      <w:r>
        <w:t>organizations</w:t>
      </w:r>
      <w:proofErr w:type="gramEnd"/>
      <w:r>
        <w:t xml:space="preserve"> raise awareness, the main results and recommendations were visualized in an infographic [4].</w:t>
      </w:r>
    </w:p>
    <w:p w14:paraId="4916B0A2" w14:textId="77777777" w:rsidR="00246B34" w:rsidRDefault="009439D5">
      <w:pPr>
        <w:pBdr>
          <w:top w:val="nil"/>
          <w:left w:val="nil"/>
          <w:bottom w:val="nil"/>
          <w:right w:val="nil"/>
          <w:between w:val="nil"/>
        </w:pBdr>
        <w:spacing w:after="120"/>
        <w:ind w:firstLine="0"/>
      </w:pPr>
      <w:r>
        <w:t>During the sessions there were discussions. Does it help to centralize storage? For example, placing audiovisual material with an organization that has the specific expertise and services to do so, instead of trying to solve everything in the local situation.</w:t>
      </w:r>
    </w:p>
    <w:p w14:paraId="0683054E" w14:textId="77777777" w:rsidR="00246B34" w:rsidRDefault="009439D5">
      <w:pPr>
        <w:pBdr>
          <w:top w:val="nil"/>
          <w:left w:val="nil"/>
          <w:bottom w:val="nil"/>
          <w:right w:val="nil"/>
          <w:between w:val="nil"/>
        </w:pBdr>
        <w:spacing w:after="120"/>
        <w:ind w:firstLine="0"/>
      </w:pPr>
      <w:r>
        <w:t xml:space="preserve">We should also think about the accessibility requirements. Must everything always be immediately available? Organizations store more </w:t>
      </w:r>
      <w:r>
        <w:t xml:space="preserve">and more data </w:t>
      </w:r>
      <w:proofErr w:type="gramStart"/>
      <w:r>
        <w:t>everyday</w:t>
      </w:r>
      <w:proofErr w:type="gramEnd"/>
      <w:r>
        <w:t xml:space="preserve"> but should climate considerations be a reason to make stricter selection choices. Those are some of the questions raised. We cannot answer for all of them, but we can keep open the discussion as a community.</w:t>
      </w:r>
    </w:p>
    <w:p w14:paraId="6B6F3BA1" w14:textId="77777777" w:rsidR="00246B34" w:rsidRDefault="009439D5">
      <w:pPr>
        <w:pBdr>
          <w:top w:val="nil"/>
          <w:left w:val="nil"/>
          <w:bottom w:val="nil"/>
          <w:right w:val="nil"/>
          <w:between w:val="nil"/>
        </w:pBdr>
        <w:spacing w:after="120"/>
        <w:ind w:firstLine="0"/>
        <w:rPr>
          <w:rFonts w:eastAsia="Open Sans"/>
          <w:color w:val="000000"/>
        </w:rPr>
      </w:pPr>
      <w:r>
        <w:rPr>
          <w:rFonts w:eastAsia="Open Sans"/>
          <w:color w:val="000000"/>
        </w:rPr>
        <w:t>The topics that were mentioned for the research agenda were eventu</w:t>
      </w:r>
      <w:r>
        <w:t xml:space="preserve">ally </w:t>
      </w:r>
      <w:r>
        <w:rPr>
          <w:rFonts w:eastAsia="Open Sans"/>
          <w:color w:val="000000"/>
        </w:rPr>
        <w:t xml:space="preserve">based round three themes: organizational impact (e.g. cost savings, shared data storage), technology and suppliers </w:t>
      </w:r>
      <w:proofErr w:type="gramStart"/>
      <w:r>
        <w:rPr>
          <w:rFonts w:eastAsia="Open Sans"/>
          <w:color w:val="000000"/>
        </w:rPr>
        <w:t>( the</w:t>
      </w:r>
      <w:proofErr w:type="gramEnd"/>
      <w:r>
        <w:rPr>
          <w:rFonts w:eastAsia="Open Sans"/>
          <w:color w:val="000000"/>
        </w:rPr>
        <w:t xml:space="preserve"> impact of digitization of materials, sustainable hardware, supplier comparisons) and use (user behavior, the impact of using audiovisual materials online, access of DIP on demand)</w:t>
      </w:r>
    </w:p>
    <w:p w14:paraId="254F7578" w14:textId="77777777" w:rsidR="00246B34" w:rsidRDefault="009439D5">
      <w:pPr>
        <w:pBdr>
          <w:top w:val="nil"/>
          <w:left w:val="nil"/>
          <w:bottom w:val="nil"/>
          <w:right w:val="nil"/>
          <w:between w:val="nil"/>
        </w:pBdr>
        <w:spacing w:after="120"/>
        <w:ind w:firstLine="0"/>
        <w:rPr>
          <w:rFonts w:eastAsia="Open Sans"/>
          <w:color w:val="000000"/>
        </w:rPr>
      </w:pPr>
      <w:r>
        <w:rPr>
          <w:rFonts w:eastAsia="Open Sans"/>
          <w:color w:val="000000"/>
        </w:rPr>
        <w:t xml:space="preserve">The network group has now new members </w:t>
      </w:r>
      <w:r>
        <w:t>from</w:t>
      </w:r>
      <w:r>
        <w:rPr>
          <w:rFonts w:eastAsia="Open Sans"/>
          <w:color w:val="000000"/>
        </w:rPr>
        <w:t xml:space="preserve"> the community involved and is planning for a research agenda prioritization. </w:t>
      </w:r>
      <w:r>
        <w:t>L</w:t>
      </w:r>
      <w:r>
        <w:rPr>
          <w:rFonts w:eastAsia="Open Sans"/>
          <w:color w:val="000000"/>
        </w:rPr>
        <w:t xml:space="preserve">ike DEN in the Netherlands, who share knowledge </w:t>
      </w:r>
      <w:r>
        <w:t>by bringing</w:t>
      </w:r>
      <w:r>
        <w:rPr>
          <w:rFonts w:eastAsia="Open Sans"/>
          <w:color w:val="000000"/>
        </w:rPr>
        <w:t xml:space="preserve"> together sources on this topic [</w:t>
      </w:r>
      <w:r>
        <w:t>5</w:t>
      </w:r>
      <w:r>
        <w:rPr>
          <w:rFonts w:eastAsia="Open Sans"/>
          <w:color w:val="000000"/>
        </w:rPr>
        <w:t>].</w:t>
      </w:r>
    </w:p>
    <w:p w14:paraId="745A384F" w14:textId="77777777" w:rsidR="00246B34" w:rsidRDefault="00246B34">
      <w:pPr>
        <w:spacing w:after="120"/>
        <w:ind w:left="720" w:firstLine="0"/>
        <w:rPr>
          <w:i/>
        </w:rPr>
      </w:pPr>
    </w:p>
    <w:p w14:paraId="442F25FC" w14:textId="77777777" w:rsidR="00246B34" w:rsidRDefault="009439D5">
      <w:pPr>
        <w:numPr>
          <w:ilvl w:val="0"/>
          <w:numId w:val="2"/>
        </w:numPr>
        <w:spacing w:after="120"/>
        <w:rPr>
          <w:i/>
        </w:rPr>
      </w:pPr>
      <w:r>
        <w:rPr>
          <w:i/>
        </w:rPr>
        <w:t>Global outreach</w:t>
      </w:r>
    </w:p>
    <w:p w14:paraId="5FD114FA" w14:textId="77777777" w:rsidR="00246B34" w:rsidRDefault="009439D5">
      <w:pPr>
        <w:spacing w:after="120"/>
        <w:ind w:firstLine="0"/>
      </w:pPr>
      <w:r>
        <w:t xml:space="preserve">Some of the more technological outcomes and recommendations in the case study, especially cloud storage and a more efficient way of dealing with servers and server environment, could be applicable for cultural heritage organizations around the world. We would also highly recommend for heritage organizations of different shapes and sizes to execute their own research and calculate CO2 emissions, sharing their results with the international community. The more information we can </w:t>
      </w:r>
      <w:proofErr w:type="gramStart"/>
      <w:r>
        <w:t>gather together</w:t>
      </w:r>
      <w:proofErr w:type="gramEnd"/>
      <w:r>
        <w:t xml:space="preserve">, the better the result will be for the community.  </w:t>
      </w:r>
    </w:p>
    <w:p w14:paraId="731EB241" w14:textId="77777777" w:rsidR="00246B34" w:rsidRDefault="009439D5">
      <w:pPr>
        <w:pStyle w:val="Heading1"/>
        <w:numPr>
          <w:ilvl w:val="0"/>
          <w:numId w:val="1"/>
        </w:numPr>
      </w:pPr>
      <w:r>
        <w:t>Conclusions</w:t>
      </w:r>
    </w:p>
    <w:p w14:paraId="7BA955FB" w14:textId="77777777" w:rsidR="00246B34" w:rsidRDefault="009439D5">
      <w:pPr>
        <w:pBdr>
          <w:top w:val="nil"/>
          <w:left w:val="nil"/>
          <w:bottom w:val="nil"/>
          <w:right w:val="nil"/>
          <w:between w:val="nil"/>
        </w:pBdr>
        <w:spacing w:after="120"/>
        <w:rPr>
          <w:rFonts w:eastAsia="Open Sans"/>
          <w:color w:val="000000"/>
        </w:rPr>
      </w:pPr>
      <w:bookmarkStart w:id="4" w:name="_heading=h.tyjcwt" w:colFirst="0" w:colLast="0"/>
      <w:bookmarkEnd w:id="4"/>
      <w:r>
        <w:rPr>
          <w:rFonts w:eastAsia="Open Sans"/>
          <w:color w:val="000000"/>
        </w:rPr>
        <w:t xml:space="preserve">With the findings from the case study and the </w:t>
      </w:r>
      <w:proofErr w:type="gramStart"/>
      <w:r>
        <w:rPr>
          <w:rFonts w:eastAsia="Open Sans"/>
          <w:color w:val="000000"/>
        </w:rPr>
        <w:t>aforementioned recommendations</w:t>
      </w:r>
      <w:proofErr w:type="gramEnd"/>
      <w:r>
        <w:rPr>
          <w:rFonts w:eastAsia="Open Sans"/>
          <w:color w:val="000000"/>
        </w:rPr>
        <w:t>, cultural heritage institutions can start to examine the CO</w:t>
      </w:r>
      <w:r>
        <w:rPr>
          <w:rFonts w:eastAsia="Open Sans"/>
          <w:color w:val="000000"/>
          <w:vertAlign w:val="subscript"/>
        </w:rPr>
        <w:t>2</w:t>
      </w:r>
      <w:r>
        <w:rPr>
          <w:rFonts w:eastAsia="Open Sans"/>
          <w:color w:val="000000"/>
        </w:rPr>
        <w:t xml:space="preserve"> impact of their own digital collections and make choices for a climate-resilient future. Also, the case study stimulate</w:t>
      </w:r>
      <w:r w:rsidR="00316F9C">
        <w:rPr>
          <w:rFonts w:eastAsia="Open Sans"/>
          <w:color w:val="000000"/>
        </w:rPr>
        <w:t>s</w:t>
      </w:r>
      <w:r>
        <w:rPr>
          <w:rFonts w:eastAsia="Open Sans"/>
          <w:color w:val="000000"/>
        </w:rPr>
        <w:t xml:space="preserve"> further discussion about selection and deduplications of collections in and between cultural heritage institutes. The case s</w:t>
      </w:r>
      <w:r>
        <w:t>tudy is only a</w:t>
      </w:r>
      <w:r>
        <w:rPr>
          <w:rFonts w:eastAsia="Open Sans"/>
          <w:color w:val="000000"/>
        </w:rPr>
        <w:t xml:space="preserve"> starting point for further research. Hopefully in future we can join forces with other (international) initiatives.</w:t>
      </w:r>
    </w:p>
    <w:p w14:paraId="2A546D74" w14:textId="77777777" w:rsidR="00246B34" w:rsidRDefault="00246B34">
      <w:pPr>
        <w:pBdr>
          <w:top w:val="nil"/>
          <w:left w:val="nil"/>
          <w:bottom w:val="nil"/>
          <w:right w:val="nil"/>
          <w:between w:val="nil"/>
        </w:pBdr>
        <w:spacing w:after="120"/>
        <w:rPr>
          <w:rFonts w:eastAsia="Open Sans"/>
          <w:color w:val="000000"/>
        </w:rPr>
      </w:pPr>
    </w:p>
    <w:p w14:paraId="03F7CAF1" w14:textId="77777777" w:rsidR="00316F9C" w:rsidRDefault="00316F9C">
      <w:pPr>
        <w:rPr>
          <w:rFonts w:cs="Times New Roman (Body CS)"/>
          <w:smallCaps/>
        </w:rPr>
      </w:pPr>
      <w:r>
        <w:br w:type="page"/>
      </w:r>
    </w:p>
    <w:p w14:paraId="5431442F" w14:textId="77777777" w:rsidR="00246B34" w:rsidRDefault="009439D5">
      <w:pPr>
        <w:pStyle w:val="Heading1"/>
        <w:numPr>
          <w:ilvl w:val="0"/>
          <w:numId w:val="3"/>
        </w:numPr>
      </w:pPr>
      <w:r>
        <w:lastRenderedPageBreak/>
        <w:t>REFERENCES</w:t>
      </w:r>
    </w:p>
    <w:p w14:paraId="0111A79A" w14:textId="77777777" w:rsidR="00246B34" w:rsidRDefault="009439D5">
      <w:pPr>
        <w:pBdr>
          <w:top w:val="nil"/>
          <w:left w:val="nil"/>
          <w:bottom w:val="nil"/>
          <w:right w:val="nil"/>
          <w:between w:val="nil"/>
        </w:pBdr>
        <w:ind w:left="270" w:hanging="270"/>
        <w:rPr>
          <w:sz w:val="16"/>
          <w:szCs w:val="16"/>
        </w:rPr>
      </w:pPr>
      <w:r>
        <w:rPr>
          <w:rFonts w:eastAsia="Open Sans"/>
          <w:color w:val="000000"/>
          <w:sz w:val="16"/>
          <w:szCs w:val="16"/>
        </w:rPr>
        <w:t xml:space="preserve">[1] </w:t>
      </w:r>
      <w:proofErr w:type="spellStart"/>
      <w:r>
        <w:rPr>
          <w:rFonts w:eastAsia="Open Sans"/>
          <w:color w:val="000000"/>
          <w:sz w:val="16"/>
          <w:szCs w:val="16"/>
        </w:rPr>
        <w:t>Delpher</w:t>
      </w:r>
      <w:proofErr w:type="spellEnd"/>
      <w:r>
        <w:rPr>
          <w:rFonts w:eastAsia="Open Sans"/>
          <w:color w:val="000000"/>
          <w:sz w:val="16"/>
          <w:szCs w:val="16"/>
        </w:rPr>
        <w:t xml:space="preserve"> platform </w:t>
      </w:r>
      <w:hyperlink r:id="rId13">
        <w:r>
          <w:rPr>
            <w:rFonts w:eastAsia="Open Sans"/>
            <w:color w:val="000000"/>
            <w:sz w:val="16"/>
            <w:szCs w:val="16"/>
            <w:u w:val="single"/>
          </w:rPr>
          <w:t>https://www.delpher.nl/</w:t>
        </w:r>
      </w:hyperlink>
    </w:p>
    <w:p w14:paraId="1D578156" w14:textId="77777777" w:rsidR="00246B34" w:rsidRPr="00316F9C" w:rsidRDefault="009439D5">
      <w:pPr>
        <w:pBdr>
          <w:top w:val="nil"/>
          <w:left w:val="nil"/>
          <w:bottom w:val="nil"/>
          <w:right w:val="nil"/>
          <w:between w:val="nil"/>
        </w:pBdr>
        <w:ind w:left="270" w:hanging="270"/>
        <w:rPr>
          <w:sz w:val="16"/>
          <w:szCs w:val="16"/>
          <w:lang w:val="nl-NL"/>
        </w:rPr>
      </w:pPr>
      <w:r w:rsidRPr="00316F9C">
        <w:rPr>
          <w:sz w:val="16"/>
          <w:szCs w:val="16"/>
          <w:lang w:val="nl-NL"/>
        </w:rPr>
        <w:t xml:space="preserve">[2] De CO2-impact van opslag en gebruik van digitaal erfgoed, DDHN </w:t>
      </w:r>
      <w:hyperlink r:id="rId14">
        <w:r w:rsidRPr="00316F9C">
          <w:rPr>
            <w:sz w:val="16"/>
            <w:szCs w:val="16"/>
            <w:u w:val="single"/>
            <w:lang w:val="nl-NL"/>
          </w:rPr>
          <w:t>https://doi.org/10.5281/zenodo.6341483</w:t>
        </w:r>
      </w:hyperlink>
      <w:r w:rsidRPr="00316F9C">
        <w:rPr>
          <w:sz w:val="16"/>
          <w:szCs w:val="16"/>
          <w:lang w:val="nl-NL"/>
        </w:rPr>
        <w:t xml:space="preserve"> </w:t>
      </w:r>
    </w:p>
    <w:p w14:paraId="4109712C" w14:textId="77777777" w:rsidR="00246B34" w:rsidRDefault="009439D5">
      <w:pPr>
        <w:pBdr>
          <w:top w:val="nil"/>
          <w:left w:val="nil"/>
          <w:bottom w:val="nil"/>
          <w:right w:val="nil"/>
          <w:between w:val="nil"/>
        </w:pBdr>
        <w:ind w:left="270" w:hanging="270"/>
        <w:rPr>
          <w:rFonts w:eastAsia="Open Sans"/>
          <w:color w:val="000000"/>
          <w:sz w:val="16"/>
          <w:szCs w:val="16"/>
        </w:rPr>
      </w:pPr>
      <w:r>
        <w:rPr>
          <w:rFonts w:eastAsia="Open Sans"/>
          <w:color w:val="000000"/>
          <w:sz w:val="16"/>
          <w:szCs w:val="16"/>
        </w:rPr>
        <w:t>[</w:t>
      </w:r>
      <w:r>
        <w:rPr>
          <w:sz w:val="16"/>
          <w:szCs w:val="16"/>
        </w:rPr>
        <w:t>3</w:t>
      </w:r>
      <w:r>
        <w:rPr>
          <w:rFonts w:eastAsia="Open Sans"/>
          <w:color w:val="000000"/>
          <w:sz w:val="16"/>
          <w:szCs w:val="16"/>
        </w:rPr>
        <w:t xml:space="preserve">] The </w:t>
      </w:r>
      <w:r>
        <w:rPr>
          <w:sz w:val="16"/>
          <w:szCs w:val="16"/>
        </w:rPr>
        <w:t>Greenhouse</w:t>
      </w:r>
      <w:r>
        <w:rPr>
          <w:rFonts w:eastAsia="Open Sans"/>
          <w:color w:val="000000"/>
          <w:sz w:val="16"/>
          <w:szCs w:val="16"/>
        </w:rPr>
        <w:t xml:space="preserve"> Gas Protocol </w:t>
      </w:r>
      <w:hyperlink r:id="rId15">
        <w:r>
          <w:rPr>
            <w:rFonts w:eastAsia="Open Sans"/>
            <w:color w:val="000000"/>
            <w:sz w:val="16"/>
            <w:szCs w:val="16"/>
            <w:u w:val="single"/>
          </w:rPr>
          <w:t>https://ghgprotocol.org/</w:t>
        </w:r>
      </w:hyperlink>
      <w:r>
        <w:rPr>
          <w:rFonts w:eastAsia="Open Sans"/>
          <w:color w:val="000000"/>
          <w:sz w:val="16"/>
          <w:szCs w:val="16"/>
        </w:rPr>
        <w:t xml:space="preserve"> </w:t>
      </w:r>
    </w:p>
    <w:p w14:paraId="22477B6B" w14:textId="77777777" w:rsidR="00246B34" w:rsidRPr="00316F9C" w:rsidRDefault="009439D5">
      <w:pPr>
        <w:pBdr>
          <w:top w:val="nil"/>
          <w:left w:val="nil"/>
          <w:bottom w:val="nil"/>
          <w:right w:val="nil"/>
          <w:between w:val="nil"/>
        </w:pBdr>
        <w:ind w:left="270" w:hanging="270"/>
        <w:rPr>
          <w:sz w:val="16"/>
          <w:szCs w:val="16"/>
          <w:lang w:val="nl-NL"/>
        </w:rPr>
      </w:pPr>
      <w:r w:rsidRPr="00316F9C">
        <w:rPr>
          <w:sz w:val="16"/>
          <w:szCs w:val="16"/>
          <w:lang w:val="nl-NL"/>
        </w:rPr>
        <w:t xml:space="preserve">[4] Praatplaat CO2-impact opslag en gebruik van digitaal erfgoed,  DDHN </w:t>
      </w:r>
      <w:hyperlink r:id="rId16">
        <w:r w:rsidRPr="00316F9C">
          <w:rPr>
            <w:sz w:val="16"/>
            <w:szCs w:val="16"/>
            <w:u w:val="single"/>
            <w:lang w:val="nl-NL"/>
          </w:rPr>
          <w:t>https://doi.org/10.5281/zenodo.6411668</w:t>
        </w:r>
      </w:hyperlink>
      <w:r w:rsidRPr="00316F9C">
        <w:rPr>
          <w:sz w:val="16"/>
          <w:szCs w:val="16"/>
          <w:lang w:val="nl-NL"/>
        </w:rPr>
        <w:t xml:space="preserve"> </w:t>
      </w:r>
    </w:p>
    <w:p w14:paraId="2B566C2C" w14:textId="77777777" w:rsidR="00246B34" w:rsidRDefault="009439D5">
      <w:pPr>
        <w:pBdr>
          <w:top w:val="nil"/>
          <w:left w:val="nil"/>
          <w:bottom w:val="nil"/>
          <w:right w:val="nil"/>
          <w:between w:val="nil"/>
        </w:pBdr>
        <w:ind w:left="270" w:hanging="270"/>
        <w:rPr>
          <w:sz w:val="16"/>
          <w:szCs w:val="16"/>
        </w:rPr>
      </w:pPr>
      <w:r>
        <w:rPr>
          <w:sz w:val="16"/>
          <w:szCs w:val="16"/>
        </w:rPr>
        <w:t xml:space="preserve">[5] Ecological sustainability in digital transformation, DEN </w:t>
      </w:r>
      <w:hyperlink r:id="rId17">
        <w:r>
          <w:rPr>
            <w:sz w:val="16"/>
            <w:szCs w:val="16"/>
            <w:u w:val="single"/>
          </w:rPr>
          <w:t>https://www.den.nl/actueel/ecologische-duurzaamheid</w:t>
        </w:r>
      </w:hyperlink>
      <w:r>
        <w:rPr>
          <w:sz w:val="16"/>
          <w:szCs w:val="16"/>
        </w:rPr>
        <w:t xml:space="preserve"> </w:t>
      </w:r>
    </w:p>
    <w:sectPr w:rsidR="00246B34">
      <w:type w:val="continuous"/>
      <w:pgSz w:w="11900" w:h="16820"/>
      <w:pgMar w:top="1080" w:right="902" w:bottom="1440" w:left="902" w:header="567" w:footer="737" w:gutter="0"/>
      <w:cols w:num="2" w:space="708"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59286" w14:textId="77777777" w:rsidR="009439D5" w:rsidRDefault="009439D5">
      <w:r>
        <w:separator/>
      </w:r>
    </w:p>
  </w:endnote>
  <w:endnote w:type="continuationSeparator" w:id="0">
    <w:p w14:paraId="16E39484" w14:textId="77777777" w:rsidR="009439D5" w:rsidRDefault="0094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00000000"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erriweather Sans">
    <w:charset w:val="00"/>
    <w:family w:val="auto"/>
    <w:pitch w:val="variable"/>
    <w:sig w:usb0="A00004F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63EC" w14:textId="77777777" w:rsidR="00246B34" w:rsidRDefault="009439D5">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Pr>
        <w:rFonts w:ascii="Merriweather Sans" w:eastAsia="Merriweather Sans" w:hAnsi="Merriweather Sans" w:cs="Merriweather Sans"/>
        <w:color w:val="000000"/>
        <w:sz w:val="16"/>
        <w:szCs w:val="16"/>
      </w:rPr>
      <w:fldChar w:fldCharType="end"/>
    </w:r>
  </w:p>
  <w:p w14:paraId="2DD314F3" w14:textId="77777777" w:rsidR="00246B34" w:rsidRDefault="00246B34">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15D77B4E" w14:textId="77777777" w:rsidR="00246B34" w:rsidRDefault="00246B34">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6A22EB0" w14:textId="77777777" w:rsidR="00246B34" w:rsidRDefault="00246B34">
    <w:pPr>
      <w:pBdr>
        <w:top w:val="nil"/>
        <w:left w:val="nil"/>
        <w:bottom w:val="nil"/>
        <w:right w:val="nil"/>
        <w:between w:val="nil"/>
      </w:pBdr>
      <w:tabs>
        <w:tab w:val="center" w:pos="4680"/>
        <w:tab w:val="right" w:pos="9360"/>
      </w:tabs>
      <w:ind w:right="360" w:firstLine="0"/>
      <w:jc w:val="left"/>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C184" w14:textId="77777777" w:rsidR="00246B34" w:rsidRDefault="009439D5">
    <w:pPr>
      <w:tabs>
        <w:tab w:val="center" w:pos="4680"/>
        <w:tab w:val="right" w:pos="9360"/>
      </w:tabs>
      <w:spacing w:before="240" w:after="240"/>
      <w:ind w:firstLine="0"/>
      <w:jc w:val="left"/>
      <w:rPr>
        <w:rFonts w:ascii="Merriweather Sans" w:eastAsia="Merriweather Sans" w:hAnsi="Merriweather Sans" w:cs="Merriweather Sans"/>
        <w:color w:val="000000"/>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12 -16th September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1804" w14:textId="77777777" w:rsidR="00246B34" w:rsidRDefault="009439D5">
    <w:pPr>
      <w:tabs>
        <w:tab w:val="center" w:pos="4680"/>
        <w:tab w:val="right" w:pos="9360"/>
      </w:tabs>
      <w:spacing w:before="240" w:after="240"/>
      <w:ind w:firstLine="0"/>
      <w:jc w:val="left"/>
      <w:rPr>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Copyright held by the author(s). The text of this paper is published</w:t>
    </w:r>
    <w:r>
      <w:rPr>
        <w:sz w:val="16"/>
        <w:szCs w:val="16"/>
      </w:rPr>
      <w:br/>
      <w:t>under a CC BY-SA license (</w:t>
    </w:r>
    <w:hyperlink r:id="rId1">
      <w:r>
        <w:rPr>
          <w:color w:val="1155CC"/>
          <w:sz w:val="16"/>
          <w:szCs w:val="16"/>
          <w:u w:val="single"/>
        </w:rPr>
        <w:t>https://creativecommons.org/licenses/by/4.0/</w:t>
      </w:r>
    </w:hyperlink>
    <w:r>
      <w:rPr>
        <w:sz w:val="16"/>
        <w:szCs w:val="16"/>
      </w:rPr>
      <w:t>).</w:t>
    </w:r>
    <w:r>
      <w:rPr>
        <w:sz w:val="16"/>
        <w:szCs w:val="16"/>
      </w:rPr>
      <w:br/>
      <w:t>DOI: 10.1145/</w:t>
    </w:r>
    <w:proofErr w:type="spellStart"/>
    <w:r>
      <w:rPr>
        <w:sz w:val="16"/>
        <w:szCs w:val="16"/>
      </w:rPr>
      <w:t>nnnnnnn.nnnnnnn</w:t>
    </w:r>
    <w:proofErr w:type="spellEnd"/>
    <w:r>
      <w:rPr>
        <w:sz w:val="16"/>
        <w:szCs w:val="16"/>
      </w:rPr>
      <w:t xml:space="preserve"> </w:t>
    </w:r>
    <w:r>
      <w:rPr>
        <w:noProof/>
      </w:rPr>
      <w:drawing>
        <wp:anchor distT="114300" distB="114300" distL="114300" distR="114300" simplePos="0" relativeHeight="251658240" behindDoc="0" locked="0" layoutInCell="1" hidden="0" allowOverlap="1" wp14:anchorId="7CC22516" wp14:editId="3F15C895">
          <wp:simplePos x="0" y="0"/>
          <wp:positionH relativeFrom="column">
            <wp:posOffset>4835850</wp:posOffset>
          </wp:positionH>
          <wp:positionV relativeFrom="paragraph">
            <wp:posOffset>114300</wp:posOffset>
          </wp:positionV>
          <wp:extent cx="899269" cy="533287"/>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99269" cy="53328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0A595" w14:textId="77777777" w:rsidR="009439D5" w:rsidRDefault="009439D5">
      <w:r>
        <w:separator/>
      </w:r>
    </w:p>
  </w:footnote>
  <w:footnote w:type="continuationSeparator" w:id="0">
    <w:p w14:paraId="7D5D4E91" w14:textId="77777777" w:rsidR="009439D5" w:rsidRDefault="00943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05F4E" w14:textId="77777777" w:rsidR="00246B34" w:rsidRDefault="009439D5">
    <w:pPr>
      <w:jc w:val="right"/>
      <w:rPr>
        <w:color w:val="000000"/>
      </w:rPr>
    </w:pPr>
    <w:r>
      <w:fldChar w:fldCharType="begin"/>
    </w:r>
    <w:r>
      <w:instrText>PAGE</w:instrText>
    </w:r>
    <w:r>
      <w:fldChar w:fldCharType="separate"/>
    </w:r>
    <w:r w:rsidR="00316F9C">
      <w:rPr>
        <w:noProof/>
      </w:rPr>
      <w:t>2</w:t>
    </w:r>
    <w:r>
      <w:fldChar w:fldCharType="end"/>
    </w:r>
    <w:r>
      <w:t>of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4FC7" w14:textId="77777777" w:rsidR="00246B34" w:rsidRDefault="009439D5">
    <w:pPr>
      <w:jc w:val="right"/>
    </w:pPr>
    <w:r>
      <w:fldChar w:fldCharType="begin"/>
    </w:r>
    <w:r>
      <w:instrText>PAGE</w:instrText>
    </w:r>
    <w:r>
      <w:fldChar w:fldCharType="separate"/>
    </w:r>
    <w:r w:rsidR="00316F9C">
      <w:rPr>
        <w:noProof/>
      </w:rPr>
      <w:t>1</w:t>
    </w:r>
    <w:r>
      <w:fldChar w:fldCharType="end"/>
    </w:r>
    <w:r>
      <w:t xml:space="preserve">of </w:t>
    </w:r>
    <w:r w:rsidR="00316F9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40FB0"/>
    <w:multiLevelType w:val="multilevel"/>
    <w:tmpl w:val="1BFA8B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E3B0FBA"/>
    <w:multiLevelType w:val="multilevel"/>
    <w:tmpl w:val="270A35EE"/>
    <w:lvl w:ilvl="0">
      <w:start w:val="1"/>
      <w:numFmt w:val="upperRoman"/>
      <w:lvlText w:val="%1."/>
      <w:lvlJc w:val="righ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42213842"/>
    <w:multiLevelType w:val="multilevel"/>
    <w:tmpl w:val="15E09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E87210"/>
    <w:multiLevelType w:val="multilevel"/>
    <w:tmpl w:val="1B54BD1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840969037">
    <w:abstractNumId w:val="1"/>
  </w:num>
  <w:num w:numId="2" w16cid:durableId="23749633">
    <w:abstractNumId w:val="0"/>
  </w:num>
  <w:num w:numId="3" w16cid:durableId="1587810770">
    <w:abstractNumId w:val="2"/>
  </w:num>
  <w:num w:numId="4" w16cid:durableId="1422683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B34"/>
    <w:rsid w:val="00246B34"/>
    <w:rsid w:val="00316F9C"/>
    <w:rsid w:val="0043547B"/>
    <w:rsid w:val="009439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C263"/>
  <w15:docId w15:val="{33D5F1DF-0E68-4479-8C9D-4221C8F5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nl-NL"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PRES Normal"/>
    <w:qFormat/>
    <w:rsid w:val="00797300"/>
    <w:rPr>
      <w:rFonts w:eastAsiaTheme="minorEastAsia"/>
      <w:lang w:eastAsia="zh-TW"/>
    </w:rPr>
  </w:style>
  <w:style w:type="paragraph" w:styleId="Heading1">
    <w:name w:val="heading 1"/>
    <w:basedOn w:val="Normal"/>
    <w:next w:val="iPRESparagraphs"/>
    <w:link w:val="Heading1Char"/>
    <w:uiPriority w:val="9"/>
    <w:qFormat/>
    <w:rsid w:val="00DA047B"/>
    <w:pPr>
      <w:numPr>
        <w:numId w:val="4"/>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semiHidden/>
    <w:unhideWhenUsed/>
    <w:qFormat/>
    <w:rsid w:val="00BC62AC"/>
    <w:pPr>
      <w:numPr>
        <w:ilvl w:val="1"/>
      </w:numPr>
      <w:spacing w:before="120"/>
      <w:ind w:left="0"/>
      <w:jc w:val="both"/>
      <w:outlineLvl w:val="1"/>
    </w:pPr>
    <w:rPr>
      <w:i/>
      <w:smallCaps w:val="0"/>
    </w:rPr>
  </w:style>
  <w:style w:type="paragraph" w:styleId="Heading3">
    <w:name w:val="heading 3"/>
    <w:basedOn w:val="Normal"/>
    <w:next w:val="Normal"/>
    <w:link w:val="Heading3Char"/>
    <w:uiPriority w:val="9"/>
    <w:semiHidden/>
    <w:unhideWhenUsed/>
    <w:qFormat/>
    <w:rsid w:val="00DA047B"/>
    <w:pPr>
      <w:keepNext/>
      <w:keepLines/>
      <w:numPr>
        <w:ilvl w:val="2"/>
        <w:numId w:val="4"/>
      </w:numPr>
      <w:spacing w:before="40"/>
      <w:outlineLvl w:val="2"/>
    </w:pPr>
    <w:rPr>
      <w:rFonts w:eastAsiaTheme="majorEastAsia" w:cstheme="majorBidi"/>
      <w:i/>
    </w:rPr>
  </w:style>
  <w:style w:type="paragraph" w:styleId="Heading4">
    <w:name w:val="heading 4"/>
    <w:basedOn w:val="Heading1"/>
    <w:next w:val="Normal"/>
    <w:link w:val="Heading4Char"/>
    <w:uiPriority w:val="9"/>
    <w:semiHidden/>
    <w:unhideWhenUsed/>
    <w:qFormat/>
    <w:rsid w:val="00722114"/>
    <w:pPr>
      <w:numPr>
        <w:numId w:val="0"/>
      </w:numPr>
      <w:outlineLvl w:val="3"/>
    </w:pPr>
  </w:style>
  <w:style w:type="paragraph" w:styleId="Heading5">
    <w:name w:val="heading 5"/>
    <w:basedOn w:val="Normal"/>
    <w:next w:val="Normal"/>
    <w:link w:val="Heading5Char"/>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customStyle="1" w:styleId="SubtitleChar">
    <w:name w:val="Subtitle Char"/>
    <w:basedOn w:val="DefaultParagraphFont"/>
    <w:link w:val="Subtitle"/>
    <w:uiPriority w:val="11"/>
    <w:rsid w:val="00DA238B"/>
    <w:rPr>
      <w:rFonts w:ascii="Lucida Grande" w:eastAsiaTheme="majorEastAsia" w:hAnsi="Lucida Grande"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customStyle="1" w:styleId="FooterChar">
    <w:name w:val="Footer Char"/>
    <w:aliases w:val="iPRES Footer Char"/>
    <w:basedOn w:val="DefaultParagraphFont"/>
    <w:link w:val="Footer"/>
    <w:uiPriority w:val="99"/>
    <w:rsid w:val="00AE5B2F"/>
    <w:rPr>
      <w:rFonts w:ascii="Lucida Grande" w:eastAsiaTheme="minorEastAsia" w:hAnsi="Lucida Grande"/>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customStyle="1" w:styleId="HeaderChar">
    <w:name w:val="Header Char"/>
    <w:basedOn w:val="DefaultParagraphFont"/>
    <w:link w:val="Header"/>
    <w:uiPriority w:val="99"/>
    <w:rsid w:val="00062D28"/>
    <w:rPr>
      <w:rFonts w:ascii="Lucida Grande" w:eastAsiaTheme="minorEastAsia" w:hAnsi="Lucida Grande"/>
    </w:rPr>
  </w:style>
  <w:style w:type="character" w:customStyle="1" w:styleId="Heading1Char">
    <w:name w:val="Heading 1 Char"/>
    <w:basedOn w:val="DefaultParagraphFont"/>
    <w:link w:val="Heading1"/>
    <w:uiPriority w:val="9"/>
    <w:rsid w:val="00DA047B"/>
    <w:rPr>
      <w:rFonts w:ascii="Open Sans" w:eastAsiaTheme="minorEastAsia" w:hAnsi="Open Sans" w:cs="Times New Roman (Body CS)"/>
      <w:smallCaps/>
      <w:sz w:val="20"/>
      <w:szCs w:val="20"/>
      <w:lang w:val="en-US" w:eastAsia="zh-TW"/>
    </w:rPr>
  </w:style>
  <w:style w:type="character" w:customStyle="1" w:styleId="TitleChar">
    <w:name w:val="Title Char"/>
    <w:aliases w:val="iPRES Title Char"/>
    <w:basedOn w:val="DefaultParagraphFont"/>
    <w:link w:val="Title"/>
    <w:uiPriority w:val="10"/>
    <w:rsid w:val="001F74F3"/>
    <w:rPr>
      <w:rFonts w:ascii="Lucida Grande" w:eastAsiaTheme="minorEastAsia" w:hAnsi="Lucida Grande"/>
      <w:b/>
      <w:sz w:val="48"/>
      <w:szCs w:val="48"/>
      <w:lang w:eastAsia="zh-TW"/>
    </w:rPr>
  </w:style>
  <w:style w:type="table" w:styleId="TableGrid">
    <w:name w:val="Table Grid"/>
    <w:basedOn w:val="Table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441"/>
    <w:rPr>
      <w:rFonts w:ascii="Lucida Grande" w:hAnsi="Lucida Grande"/>
      <w:color w:val="auto"/>
      <w:u w:val="single"/>
    </w:rPr>
  </w:style>
  <w:style w:type="character" w:customStyle="1" w:styleId="UnresolvedMention1">
    <w:name w:val="Unresolved Mention1"/>
    <w:basedOn w:val="DefaultParagraphFon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Heading2Char">
    <w:name w:val="Heading 2 Char"/>
    <w:basedOn w:val="DefaultParagraphFont"/>
    <w:link w:val="Heading2"/>
    <w:uiPriority w:val="9"/>
    <w:rsid w:val="00BC62AC"/>
    <w:rPr>
      <w:rFonts w:ascii="Lucida Sans" w:eastAsiaTheme="minorEastAsia" w:hAnsi="Lucida Sans" w:cs="Times New Roman (Body CS)"/>
      <w:i/>
      <w:sz w:val="20"/>
      <w:szCs w:val="20"/>
      <w:lang w:val="en-US" w:eastAsia="zh-TW"/>
    </w:rPr>
  </w:style>
  <w:style w:type="character" w:customStyle="1" w:styleId="Heading3Char">
    <w:name w:val="Heading 3 Char"/>
    <w:basedOn w:val="DefaultParagraphFont"/>
    <w:link w:val="Heading3"/>
    <w:uiPriority w:val="9"/>
    <w:rsid w:val="00DA047B"/>
    <w:rPr>
      <w:rFonts w:ascii="Open Sans" w:eastAsiaTheme="majorEastAsia" w:hAnsi="Open Sans" w:cstheme="majorBidi"/>
      <w:i/>
      <w:sz w:val="20"/>
      <w:szCs w:val="20"/>
      <w:lang w:val="en-US" w:eastAsia="zh-TW"/>
    </w:rPr>
  </w:style>
  <w:style w:type="character" w:customStyle="1" w:styleId="Heading4Char">
    <w:name w:val="Heading 4 Char"/>
    <w:basedOn w:val="DefaultParagraphFont"/>
    <w:link w:val="Heading4"/>
    <w:uiPriority w:val="9"/>
    <w:rsid w:val="00722114"/>
    <w:rPr>
      <w:rFonts w:ascii="Open Sans" w:eastAsiaTheme="minorEastAsia" w:hAnsi="Open Sans" w:cs="Times New Roman (Body CS)"/>
      <w:smallCaps/>
      <w:sz w:val="20"/>
      <w:szCs w:val="20"/>
      <w:lang w:val="en-US" w:eastAsia="zh-TW"/>
    </w:rPr>
  </w:style>
  <w:style w:type="character" w:customStyle="1" w:styleId="Heading5Char">
    <w:name w:val="Heading 5 Char"/>
    <w:basedOn w:val="DefaultParagraphFont"/>
    <w:link w:val="Heading5"/>
    <w:uiPriority w:val="9"/>
    <w:semiHidden/>
    <w:rsid w:val="00A1344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134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134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customStyle="1" w:styleId="FootnoteTextChar">
    <w:name w:val="Footnote Text Char"/>
    <w:basedOn w:val="DefaultParagraphFont"/>
    <w:link w:val="FootnoteText"/>
    <w:uiPriority w:val="99"/>
    <w:semiHidden/>
    <w:rsid w:val="00B01AFF"/>
    <w:rPr>
      <w:rFonts w:ascii="Open Sans" w:eastAsiaTheme="minorEastAsia" w:hAnsi="Open Sans"/>
      <w:sz w:val="20"/>
      <w:szCs w:val="20"/>
      <w:lang w:eastAsia="zh-TW"/>
    </w:rPr>
  </w:style>
  <w:style w:type="character" w:customStyle="1" w:styleId="UnresolvedMention2">
    <w:name w:val="Unresolved Mention2"/>
    <w:basedOn w:val="DefaultParagraphFont"/>
    <w:uiPriority w:val="99"/>
    <w:semiHidden/>
    <w:unhideWhenUsed/>
    <w:rsid w:val="00A6334E"/>
    <w:rPr>
      <w:color w:val="605E5C"/>
      <w:shd w:val="clear" w:color="auto" w:fill="E1DFDD"/>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lang w:eastAsia="zh-TW"/>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2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75B"/>
    <w:rPr>
      <w:rFonts w:ascii="Segoe UI" w:eastAsiaTheme="minorEastAsia" w:hAnsi="Segoe UI" w:cs="Segoe UI"/>
      <w:sz w:val="18"/>
      <w:szCs w:val="18"/>
      <w:lang w:eastAsia="zh-TW"/>
    </w:rPr>
  </w:style>
  <w:style w:type="paragraph" w:styleId="CommentSubject">
    <w:name w:val="annotation subject"/>
    <w:basedOn w:val="CommentText"/>
    <w:next w:val="CommentText"/>
    <w:link w:val="CommentSubjectChar"/>
    <w:uiPriority w:val="99"/>
    <w:semiHidden/>
    <w:unhideWhenUsed/>
    <w:rsid w:val="0014332C"/>
    <w:rPr>
      <w:b/>
      <w:bCs/>
    </w:rPr>
  </w:style>
  <w:style w:type="character" w:customStyle="1" w:styleId="CommentSubjectChar">
    <w:name w:val="Comment Subject Char"/>
    <w:basedOn w:val="CommentTextChar"/>
    <w:link w:val="CommentSubject"/>
    <w:uiPriority w:val="99"/>
    <w:semiHidden/>
    <w:rsid w:val="0014332C"/>
    <w:rPr>
      <w:rFonts w:eastAsiaTheme="minorEastAsia"/>
      <w:b/>
      <w:bCs/>
      <w:lang w:eastAsia="zh-TW"/>
    </w:rPr>
  </w:style>
  <w:style w:type="character" w:styleId="UnresolvedMention">
    <w:name w:val="Unresolved Mention"/>
    <w:basedOn w:val="DefaultParagraphFont"/>
    <w:uiPriority w:val="99"/>
    <w:semiHidden/>
    <w:unhideWhenUsed/>
    <w:rsid w:val="003D13E3"/>
    <w:rPr>
      <w:color w:val="605E5C"/>
      <w:shd w:val="clear" w:color="auto" w:fill="E1DFDD"/>
    </w:r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elpher.n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den.nl/actueel/ecologische-duurzaamheid" TargetMode="External"/><Relationship Id="rId2" Type="http://schemas.openxmlformats.org/officeDocument/2006/relationships/numbering" Target="numbering.xml"/><Relationship Id="rId16" Type="http://schemas.openxmlformats.org/officeDocument/2006/relationships/hyperlink" Target="https://doi.org/10.5281/zenodo.64116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ghgprotocol.org/"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5281/zenodo.6341483"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zqPbTIdPf6pBZA8mKzdO41oVDA==">AMUW2mVE79JpM1UsVhea9o1CIyOWbvKgN+Wauz0j+a9opu+c8YpiFv631R0E6+kwxjR4adUlKsLvTfjjuJOZ3Q+7RvnYj+QYWuYgnp4cNWGUzhffFlhY84yS2j//aRIaCiWsu/6UI2a45oCXlpz2TSWdb8YlSvE+imIC8LJbbFukg2OcZK7y+kT0bjIEayWOP5r7Q84CTS+k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1728</Words>
  <Characters>9850</Characters>
  <Application>Microsoft Office Word</Application>
  <DocSecurity>4</DocSecurity>
  <Lines>82</Lines>
  <Paragraphs>23</Paragraphs>
  <ScaleCrop>false</ScaleCrop>
  <Company>Nederlands Instituut voor Beeld en Geluid</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van Zwol;lotte.wijsman@nationaalarchief.nl;Robert Gillisse;Arie Groen</dc:creator>
  <cp:lastModifiedBy>Jo Brown</cp:lastModifiedBy>
  <cp:revision>2</cp:revision>
  <dcterms:created xsi:type="dcterms:W3CDTF">2022-07-01T08:19:00Z</dcterms:created>
  <dcterms:modified xsi:type="dcterms:W3CDTF">2022-07-01T08:19:00Z</dcterms:modified>
</cp:coreProperties>
</file>