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6D91" w14:textId="77777777" w:rsidR="003877EC" w:rsidRDefault="00F71693">
      <w:pPr>
        <w:pStyle w:val="Ttulo"/>
        <w:ind w:firstLine="0"/>
      </w:pPr>
      <w:r>
        <w:t>LIBNOVA Consortium</w:t>
      </w:r>
    </w:p>
    <w:p w14:paraId="5AB855E6" w14:textId="77777777" w:rsidR="003877EC" w:rsidRDefault="00F71693">
      <w:pPr>
        <w:pStyle w:val="Subttulo"/>
      </w:pPr>
      <w:r>
        <w:t xml:space="preserve">A successful community </w:t>
      </w:r>
      <w:proofErr w:type="gramStart"/>
      <w:r>
        <w:t>project</w:t>
      </w:r>
      <w:proofErr w:type="gramEnd"/>
    </w:p>
    <w:p w14:paraId="6CC44D11" w14:textId="77777777" w:rsidR="003877EC" w:rsidRDefault="003877EC"/>
    <w:tbl>
      <w:tblPr>
        <w:tblStyle w:val="a"/>
        <w:tblW w:w="901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03"/>
        <w:gridCol w:w="3003"/>
        <w:gridCol w:w="3004"/>
      </w:tblGrid>
      <w:tr w:rsidR="003877EC" w14:paraId="6820694C" w14:textId="77777777">
        <w:tc>
          <w:tcPr>
            <w:tcW w:w="3003" w:type="dxa"/>
          </w:tcPr>
          <w:p w14:paraId="41CD7053" w14:textId="77777777" w:rsidR="003877EC" w:rsidRDefault="00F71693">
            <w:pPr>
              <w:pBdr>
                <w:top w:val="nil"/>
                <w:left w:val="nil"/>
                <w:bottom w:val="nil"/>
                <w:right w:val="nil"/>
                <w:between w:val="nil"/>
              </w:pBdr>
              <w:spacing w:line="276" w:lineRule="auto"/>
              <w:jc w:val="center"/>
              <w:rPr>
                <w:b/>
                <w:color w:val="000000"/>
                <w:sz w:val="24"/>
                <w:szCs w:val="24"/>
              </w:rPr>
            </w:pPr>
            <w:r>
              <w:rPr>
                <w:b/>
                <w:sz w:val="24"/>
                <w:szCs w:val="24"/>
              </w:rPr>
              <w:t>Teo Redondo</w:t>
            </w:r>
          </w:p>
        </w:tc>
        <w:tc>
          <w:tcPr>
            <w:tcW w:w="3003" w:type="dxa"/>
          </w:tcPr>
          <w:p w14:paraId="015AF068" w14:textId="77777777" w:rsidR="003877EC" w:rsidRDefault="00F71693">
            <w:pPr>
              <w:pBdr>
                <w:top w:val="nil"/>
                <w:left w:val="nil"/>
                <w:bottom w:val="nil"/>
                <w:right w:val="nil"/>
                <w:between w:val="nil"/>
              </w:pBdr>
              <w:spacing w:line="276" w:lineRule="auto"/>
              <w:jc w:val="center"/>
              <w:rPr>
                <w:b/>
                <w:color w:val="000000"/>
                <w:sz w:val="24"/>
                <w:szCs w:val="24"/>
              </w:rPr>
            </w:pPr>
            <w:r>
              <w:rPr>
                <w:b/>
                <w:sz w:val="24"/>
                <w:szCs w:val="24"/>
              </w:rPr>
              <w:t xml:space="preserve">Miquel </w:t>
            </w:r>
            <w:proofErr w:type="spellStart"/>
            <w:r>
              <w:rPr>
                <w:b/>
                <w:sz w:val="24"/>
                <w:szCs w:val="24"/>
              </w:rPr>
              <w:t>Tèrmens</w:t>
            </w:r>
            <w:proofErr w:type="spellEnd"/>
          </w:p>
        </w:tc>
        <w:tc>
          <w:tcPr>
            <w:tcW w:w="3004" w:type="dxa"/>
          </w:tcPr>
          <w:p w14:paraId="18C56780" w14:textId="77777777" w:rsidR="003877EC" w:rsidRDefault="00F71693">
            <w:pPr>
              <w:pBdr>
                <w:top w:val="nil"/>
                <w:left w:val="nil"/>
                <w:bottom w:val="nil"/>
                <w:right w:val="nil"/>
                <w:between w:val="nil"/>
              </w:pBdr>
              <w:spacing w:line="276" w:lineRule="auto"/>
              <w:jc w:val="center"/>
              <w:rPr>
                <w:b/>
                <w:color w:val="000000"/>
                <w:sz w:val="24"/>
                <w:szCs w:val="24"/>
              </w:rPr>
            </w:pPr>
            <w:r>
              <w:rPr>
                <w:b/>
                <w:sz w:val="24"/>
                <w:szCs w:val="24"/>
              </w:rPr>
              <w:t>Fernando Aguilar</w:t>
            </w:r>
          </w:p>
        </w:tc>
      </w:tr>
      <w:tr w:rsidR="003877EC" w14:paraId="053B7D43" w14:textId="77777777">
        <w:trPr>
          <w:trHeight w:val="578"/>
        </w:trPr>
        <w:tc>
          <w:tcPr>
            <w:tcW w:w="3003" w:type="dxa"/>
          </w:tcPr>
          <w:p w14:paraId="3E747F1C" w14:textId="77777777" w:rsidR="003877EC" w:rsidRDefault="00F71693">
            <w:pPr>
              <w:pBdr>
                <w:top w:val="nil"/>
                <w:left w:val="nil"/>
                <w:bottom w:val="nil"/>
                <w:right w:val="nil"/>
                <w:between w:val="nil"/>
              </w:pBdr>
              <w:jc w:val="center"/>
              <w:rPr>
                <w:i/>
                <w:color w:val="000000"/>
              </w:rPr>
            </w:pPr>
            <w:r>
              <w:rPr>
                <w:i/>
              </w:rPr>
              <w:t>LIBNOVA</w:t>
            </w:r>
          </w:p>
          <w:p w14:paraId="163D25F3" w14:textId="77777777" w:rsidR="003877EC" w:rsidRDefault="00F71693">
            <w:pPr>
              <w:pBdr>
                <w:top w:val="nil"/>
                <w:left w:val="nil"/>
                <w:bottom w:val="nil"/>
                <w:right w:val="nil"/>
                <w:between w:val="nil"/>
              </w:pBdr>
              <w:jc w:val="center"/>
              <w:rPr>
                <w:i/>
                <w:color w:val="000000"/>
              </w:rPr>
            </w:pPr>
            <w:r>
              <w:rPr>
                <w:i/>
              </w:rPr>
              <w:t>Spain</w:t>
            </w:r>
          </w:p>
          <w:p w14:paraId="42E58769" w14:textId="77777777" w:rsidR="003877EC" w:rsidRDefault="00F71693" w:rsidP="00086F91">
            <w:pPr>
              <w:pBdr>
                <w:top w:val="nil"/>
                <w:left w:val="nil"/>
                <w:bottom w:val="nil"/>
                <w:right w:val="nil"/>
                <w:between w:val="nil"/>
              </w:pBdr>
              <w:ind w:left="-105" w:right="-224"/>
              <w:jc w:val="center"/>
              <w:rPr>
                <w:i/>
                <w:color w:val="000000"/>
              </w:rPr>
            </w:pPr>
            <w:r>
              <w:rPr>
                <w:i/>
              </w:rPr>
              <w:t>teo.redondo</w:t>
            </w:r>
            <w:r>
              <w:rPr>
                <w:i/>
                <w:color w:val="000000"/>
              </w:rPr>
              <w:t>@</w:t>
            </w:r>
            <w:r>
              <w:rPr>
                <w:i/>
              </w:rPr>
              <w:t>libnova.com</w:t>
            </w:r>
          </w:p>
          <w:p w14:paraId="7A88A075" w14:textId="77777777" w:rsidR="003877EC" w:rsidRDefault="00F71693">
            <w:pPr>
              <w:jc w:val="center"/>
              <w:rPr>
                <w:i/>
              </w:rPr>
            </w:pPr>
            <w:r>
              <w:rPr>
                <w:i/>
              </w:rPr>
              <w:t>0000-0001-6465-7771</w:t>
            </w:r>
          </w:p>
          <w:p w14:paraId="6680961F" w14:textId="77777777" w:rsidR="003877EC" w:rsidRDefault="003877EC">
            <w:pPr>
              <w:pBdr>
                <w:top w:val="nil"/>
                <w:left w:val="nil"/>
                <w:bottom w:val="nil"/>
                <w:right w:val="nil"/>
                <w:between w:val="nil"/>
              </w:pBdr>
              <w:jc w:val="center"/>
              <w:rPr>
                <w:i/>
              </w:rPr>
            </w:pPr>
          </w:p>
        </w:tc>
        <w:tc>
          <w:tcPr>
            <w:tcW w:w="3003" w:type="dxa"/>
          </w:tcPr>
          <w:p w14:paraId="6E0C1992" w14:textId="77777777" w:rsidR="003877EC" w:rsidRPr="00086F91" w:rsidRDefault="00F71693">
            <w:pPr>
              <w:pBdr>
                <w:top w:val="nil"/>
                <w:left w:val="nil"/>
                <w:bottom w:val="nil"/>
                <w:right w:val="nil"/>
                <w:between w:val="nil"/>
              </w:pBdr>
              <w:jc w:val="center"/>
              <w:rPr>
                <w:i/>
                <w:color w:val="000000"/>
              </w:rPr>
            </w:pPr>
            <w:r w:rsidRPr="00086F91">
              <w:rPr>
                <w:i/>
              </w:rPr>
              <w:t>University of Barcelona</w:t>
            </w:r>
          </w:p>
          <w:p w14:paraId="613DEEF9" w14:textId="77777777" w:rsidR="003877EC" w:rsidRPr="00086F91" w:rsidRDefault="00F71693">
            <w:pPr>
              <w:pBdr>
                <w:top w:val="nil"/>
                <w:left w:val="nil"/>
                <w:bottom w:val="nil"/>
                <w:right w:val="nil"/>
                <w:between w:val="nil"/>
              </w:pBdr>
              <w:jc w:val="center"/>
              <w:rPr>
                <w:i/>
                <w:color w:val="000000"/>
              </w:rPr>
            </w:pPr>
            <w:r w:rsidRPr="00086F91">
              <w:rPr>
                <w:i/>
              </w:rPr>
              <w:t>Spain</w:t>
            </w:r>
          </w:p>
          <w:p w14:paraId="2005A6E4" w14:textId="77777777" w:rsidR="003877EC" w:rsidRPr="00086F91" w:rsidRDefault="00F71693">
            <w:pPr>
              <w:pBdr>
                <w:top w:val="nil"/>
                <w:left w:val="nil"/>
                <w:bottom w:val="nil"/>
                <w:right w:val="nil"/>
                <w:between w:val="nil"/>
              </w:pBdr>
              <w:jc w:val="center"/>
              <w:rPr>
                <w:i/>
                <w:color w:val="000000"/>
              </w:rPr>
            </w:pPr>
            <w:r w:rsidRPr="00086F91">
              <w:rPr>
                <w:i/>
              </w:rPr>
              <w:t>termens@ub.edu</w:t>
            </w:r>
          </w:p>
          <w:p w14:paraId="13E049E7" w14:textId="77777777" w:rsidR="003877EC" w:rsidRPr="00086F91" w:rsidRDefault="003877EC">
            <w:pPr>
              <w:pBdr>
                <w:top w:val="nil"/>
                <w:left w:val="nil"/>
                <w:bottom w:val="nil"/>
                <w:right w:val="nil"/>
                <w:between w:val="nil"/>
              </w:pBdr>
              <w:jc w:val="center"/>
              <w:rPr>
                <w:i/>
              </w:rPr>
            </w:pPr>
          </w:p>
        </w:tc>
        <w:tc>
          <w:tcPr>
            <w:tcW w:w="3004" w:type="dxa"/>
          </w:tcPr>
          <w:p w14:paraId="1E7FEAED" w14:textId="77777777" w:rsidR="003877EC" w:rsidRPr="00086F91" w:rsidRDefault="00F71693">
            <w:pPr>
              <w:pBdr>
                <w:top w:val="nil"/>
                <w:left w:val="nil"/>
                <w:bottom w:val="nil"/>
                <w:right w:val="nil"/>
                <w:between w:val="nil"/>
              </w:pBdr>
              <w:jc w:val="center"/>
              <w:rPr>
                <w:i/>
                <w:color w:val="000000"/>
              </w:rPr>
            </w:pPr>
            <w:r w:rsidRPr="00086F91">
              <w:rPr>
                <w:i/>
              </w:rPr>
              <w:t>CSIC</w:t>
            </w:r>
          </w:p>
          <w:p w14:paraId="2C644EEE" w14:textId="77777777" w:rsidR="003877EC" w:rsidRPr="00086F91" w:rsidRDefault="00F71693">
            <w:pPr>
              <w:pBdr>
                <w:top w:val="nil"/>
                <w:left w:val="nil"/>
                <w:bottom w:val="nil"/>
                <w:right w:val="nil"/>
                <w:between w:val="nil"/>
              </w:pBdr>
              <w:jc w:val="center"/>
              <w:rPr>
                <w:i/>
                <w:color w:val="000000"/>
              </w:rPr>
            </w:pPr>
            <w:r w:rsidRPr="00086F91">
              <w:rPr>
                <w:i/>
              </w:rPr>
              <w:t>Spain</w:t>
            </w:r>
          </w:p>
          <w:p w14:paraId="1F34C938" w14:textId="77777777" w:rsidR="003877EC" w:rsidRPr="00086F91" w:rsidRDefault="00F71693">
            <w:pPr>
              <w:pBdr>
                <w:top w:val="nil"/>
                <w:left w:val="nil"/>
                <w:bottom w:val="nil"/>
                <w:right w:val="nil"/>
                <w:between w:val="nil"/>
              </w:pBdr>
              <w:jc w:val="center"/>
              <w:rPr>
                <w:i/>
                <w:color w:val="FF0000"/>
              </w:rPr>
            </w:pPr>
            <w:r w:rsidRPr="00086F91">
              <w:rPr>
                <w:i/>
              </w:rPr>
              <w:t>f.a@csic.es</w:t>
            </w:r>
          </w:p>
          <w:p w14:paraId="47182B21" w14:textId="77777777" w:rsidR="003877EC" w:rsidRPr="00086F91" w:rsidRDefault="003877EC">
            <w:pPr>
              <w:pBdr>
                <w:top w:val="nil"/>
                <w:left w:val="nil"/>
                <w:bottom w:val="nil"/>
                <w:right w:val="nil"/>
                <w:between w:val="nil"/>
              </w:pBdr>
              <w:jc w:val="center"/>
              <w:rPr>
                <w:i/>
              </w:rPr>
            </w:pPr>
          </w:p>
        </w:tc>
      </w:tr>
      <w:tr w:rsidR="003877EC" w14:paraId="50E0C68C" w14:textId="77777777">
        <w:trPr>
          <w:trHeight w:val="399"/>
        </w:trPr>
        <w:tc>
          <w:tcPr>
            <w:tcW w:w="3003" w:type="dxa"/>
          </w:tcPr>
          <w:p w14:paraId="564138DF" w14:textId="77777777" w:rsidR="003877EC" w:rsidRDefault="00F71693">
            <w:pPr>
              <w:spacing w:line="276" w:lineRule="auto"/>
              <w:jc w:val="center"/>
              <w:rPr>
                <w:b/>
                <w:sz w:val="24"/>
                <w:szCs w:val="24"/>
              </w:rPr>
            </w:pPr>
            <w:r>
              <w:rPr>
                <w:b/>
                <w:sz w:val="24"/>
                <w:szCs w:val="24"/>
              </w:rPr>
              <w:t xml:space="preserve">David </w:t>
            </w:r>
            <w:proofErr w:type="spellStart"/>
            <w:r>
              <w:rPr>
                <w:b/>
                <w:sz w:val="24"/>
                <w:szCs w:val="24"/>
              </w:rPr>
              <w:t>Giaretta</w:t>
            </w:r>
            <w:proofErr w:type="spellEnd"/>
          </w:p>
        </w:tc>
        <w:tc>
          <w:tcPr>
            <w:tcW w:w="3003" w:type="dxa"/>
          </w:tcPr>
          <w:p w14:paraId="1F2FB26F" w14:textId="26FD9500" w:rsidR="003877EC" w:rsidRDefault="000A2D15">
            <w:pPr>
              <w:spacing w:line="276" w:lineRule="auto"/>
              <w:jc w:val="center"/>
              <w:rPr>
                <w:b/>
                <w:sz w:val="24"/>
                <w:szCs w:val="24"/>
              </w:rPr>
            </w:pPr>
            <w:r>
              <w:rPr>
                <w:b/>
                <w:sz w:val="24"/>
                <w:szCs w:val="24"/>
              </w:rPr>
              <w:t>TBD</w:t>
            </w:r>
          </w:p>
        </w:tc>
        <w:tc>
          <w:tcPr>
            <w:tcW w:w="3004" w:type="dxa"/>
          </w:tcPr>
          <w:p w14:paraId="03DD03A0" w14:textId="3687ECE5" w:rsidR="003877EC" w:rsidRDefault="000A2D15">
            <w:pPr>
              <w:spacing w:line="276" w:lineRule="auto"/>
              <w:jc w:val="center"/>
              <w:rPr>
                <w:b/>
                <w:sz w:val="24"/>
                <w:szCs w:val="24"/>
              </w:rPr>
            </w:pPr>
            <w:r>
              <w:rPr>
                <w:b/>
                <w:sz w:val="24"/>
                <w:szCs w:val="24"/>
              </w:rPr>
              <w:t>TBD</w:t>
            </w:r>
          </w:p>
        </w:tc>
      </w:tr>
      <w:tr w:rsidR="003877EC" w14:paraId="3E2037C0" w14:textId="77777777">
        <w:trPr>
          <w:trHeight w:val="399"/>
        </w:trPr>
        <w:tc>
          <w:tcPr>
            <w:tcW w:w="3003" w:type="dxa"/>
          </w:tcPr>
          <w:p w14:paraId="5A2DD641" w14:textId="77777777" w:rsidR="003877EC" w:rsidRDefault="00F71693">
            <w:pPr>
              <w:jc w:val="center"/>
              <w:rPr>
                <w:i/>
              </w:rPr>
            </w:pPr>
            <w:proofErr w:type="spellStart"/>
            <w:r>
              <w:rPr>
                <w:i/>
              </w:rPr>
              <w:t>Giaretta</w:t>
            </w:r>
            <w:proofErr w:type="spellEnd"/>
            <w:r>
              <w:rPr>
                <w:i/>
              </w:rPr>
              <w:t xml:space="preserve"> Associates</w:t>
            </w:r>
          </w:p>
          <w:p w14:paraId="2B815CF2" w14:textId="77777777" w:rsidR="003877EC" w:rsidRDefault="00F71693">
            <w:pPr>
              <w:jc w:val="center"/>
              <w:rPr>
                <w:i/>
              </w:rPr>
            </w:pPr>
            <w:r>
              <w:rPr>
                <w:i/>
              </w:rPr>
              <w:t>UK</w:t>
            </w:r>
          </w:p>
          <w:p w14:paraId="1CD787E2" w14:textId="77777777" w:rsidR="003877EC" w:rsidRDefault="00F71693">
            <w:pPr>
              <w:jc w:val="center"/>
              <w:rPr>
                <w:i/>
                <w:color w:val="FF0000"/>
              </w:rPr>
            </w:pPr>
            <w:r>
              <w:rPr>
                <w:i/>
              </w:rPr>
              <w:t>david@giaretta.org</w:t>
            </w:r>
          </w:p>
        </w:tc>
        <w:tc>
          <w:tcPr>
            <w:tcW w:w="3003" w:type="dxa"/>
          </w:tcPr>
          <w:p w14:paraId="1384A605" w14:textId="77777777" w:rsidR="003877EC" w:rsidRDefault="00F71693">
            <w:pPr>
              <w:jc w:val="center"/>
              <w:rPr>
                <w:i/>
              </w:rPr>
            </w:pPr>
            <w:r>
              <w:rPr>
                <w:i/>
              </w:rPr>
              <w:t>Amazon Web Services</w:t>
            </w:r>
          </w:p>
          <w:p w14:paraId="62E1DB24" w14:textId="77777777" w:rsidR="003877EC" w:rsidRDefault="00F71693">
            <w:pPr>
              <w:jc w:val="center"/>
              <w:rPr>
                <w:i/>
              </w:rPr>
            </w:pPr>
            <w:r>
              <w:rPr>
                <w:i/>
              </w:rPr>
              <w:t>Germany</w:t>
            </w:r>
          </w:p>
          <w:p w14:paraId="0DA0DF4E" w14:textId="3423F409" w:rsidR="003877EC" w:rsidRDefault="003877EC">
            <w:pPr>
              <w:jc w:val="center"/>
              <w:rPr>
                <w:i/>
                <w:color w:val="FF0000"/>
              </w:rPr>
            </w:pPr>
          </w:p>
        </w:tc>
        <w:tc>
          <w:tcPr>
            <w:tcW w:w="3004" w:type="dxa"/>
          </w:tcPr>
          <w:p w14:paraId="6FA36409" w14:textId="77777777" w:rsidR="003877EC" w:rsidRDefault="00F71693">
            <w:pPr>
              <w:jc w:val="center"/>
              <w:rPr>
                <w:i/>
              </w:rPr>
            </w:pPr>
            <w:r>
              <w:rPr>
                <w:i/>
              </w:rPr>
              <w:t>Voxility</w:t>
            </w:r>
          </w:p>
          <w:p w14:paraId="6A41B004" w14:textId="77777777" w:rsidR="003877EC" w:rsidRDefault="00F71693">
            <w:pPr>
              <w:jc w:val="center"/>
              <w:rPr>
                <w:i/>
              </w:rPr>
            </w:pPr>
            <w:r>
              <w:rPr>
                <w:i/>
              </w:rPr>
              <w:t>UK</w:t>
            </w:r>
          </w:p>
          <w:p w14:paraId="376A87E4" w14:textId="77777777" w:rsidR="003877EC" w:rsidRDefault="003877EC" w:rsidP="000A2D15">
            <w:pPr>
              <w:ind w:left="-141" w:right="-186" w:firstLine="141"/>
              <w:jc w:val="center"/>
              <w:rPr>
                <w:i/>
              </w:rPr>
            </w:pPr>
          </w:p>
          <w:p w14:paraId="301C0608" w14:textId="1797D8F2" w:rsidR="000A2D15" w:rsidRDefault="000A2D15" w:rsidP="000A2D15">
            <w:pPr>
              <w:ind w:left="-141" w:right="-186" w:firstLine="141"/>
              <w:jc w:val="center"/>
              <w:rPr>
                <w:i/>
              </w:rPr>
            </w:pPr>
          </w:p>
        </w:tc>
      </w:tr>
      <w:tr w:rsidR="003877EC" w14:paraId="668856BD" w14:textId="77777777">
        <w:trPr>
          <w:trHeight w:val="399"/>
        </w:trPr>
        <w:tc>
          <w:tcPr>
            <w:tcW w:w="3003" w:type="dxa"/>
          </w:tcPr>
          <w:p w14:paraId="7507883B" w14:textId="77777777" w:rsidR="003877EC" w:rsidRDefault="00F71693">
            <w:pPr>
              <w:spacing w:line="276" w:lineRule="auto"/>
              <w:jc w:val="center"/>
              <w:rPr>
                <w:b/>
                <w:sz w:val="24"/>
                <w:szCs w:val="24"/>
              </w:rPr>
            </w:pPr>
            <w:r>
              <w:rPr>
                <w:b/>
                <w:sz w:val="24"/>
                <w:szCs w:val="24"/>
              </w:rPr>
              <w:t xml:space="preserve">Mikel </w:t>
            </w:r>
            <w:proofErr w:type="spellStart"/>
            <w:r>
              <w:rPr>
                <w:b/>
                <w:sz w:val="24"/>
                <w:szCs w:val="24"/>
              </w:rPr>
              <w:t>Rufian</w:t>
            </w:r>
            <w:proofErr w:type="spellEnd"/>
          </w:p>
        </w:tc>
        <w:tc>
          <w:tcPr>
            <w:tcW w:w="3003" w:type="dxa"/>
          </w:tcPr>
          <w:p w14:paraId="3D022436" w14:textId="77777777" w:rsidR="003877EC" w:rsidRDefault="003877EC">
            <w:pPr>
              <w:spacing w:line="276" w:lineRule="auto"/>
              <w:jc w:val="center"/>
              <w:rPr>
                <w:b/>
                <w:sz w:val="24"/>
                <w:szCs w:val="24"/>
              </w:rPr>
            </w:pPr>
          </w:p>
        </w:tc>
        <w:tc>
          <w:tcPr>
            <w:tcW w:w="3004" w:type="dxa"/>
          </w:tcPr>
          <w:p w14:paraId="1634114C" w14:textId="77777777" w:rsidR="003877EC" w:rsidRDefault="003877EC">
            <w:pPr>
              <w:spacing w:line="276" w:lineRule="auto"/>
              <w:jc w:val="center"/>
              <w:rPr>
                <w:b/>
                <w:sz w:val="24"/>
                <w:szCs w:val="24"/>
              </w:rPr>
            </w:pPr>
          </w:p>
        </w:tc>
      </w:tr>
      <w:tr w:rsidR="003877EC" w14:paraId="7356DEBE" w14:textId="77777777">
        <w:trPr>
          <w:trHeight w:val="399"/>
        </w:trPr>
        <w:tc>
          <w:tcPr>
            <w:tcW w:w="3003" w:type="dxa"/>
          </w:tcPr>
          <w:p w14:paraId="17749177" w14:textId="77777777" w:rsidR="003877EC" w:rsidRDefault="00F71693">
            <w:pPr>
              <w:jc w:val="center"/>
              <w:rPr>
                <w:i/>
              </w:rPr>
            </w:pPr>
            <w:proofErr w:type="spellStart"/>
            <w:r>
              <w:rPr>
                <w:i/>
              </w:rPr>
              <w:t>Bidaidea</w:t>
            </w:r>
            <w:proofErr w:type="spellEnd"/>
          </w:p>
          <w:p w14:paraId="6DFD3EEB" w14:textId="77777777" w:rsidR="003877EC" w:rsidRDefault="00F71693">
            <w:pPr>
              <w:jc w:val="center"/>
              <w:rPr>
                <w:i/>
              </w:rPr>
            </w:pPr>
            <w:r>
              <w:rPr>
                <w:i/>
              </w:rPr>
              <w:t>Spain</w:t>
            </w:r>
          </w:p>
          <w:p w14:paraId="2763C285" w14:textId="77777777" w:rsidR="003877EC" w:rsidRDefault="00F71693" w:rsidP="00086F91">
            <w:pPr>
              <w:ind w:left="-105" w:right="-224"/>
              <w:jc w:val="center"/>
              <w:rPr>
                <w:i/>
                <w:color w:val="FF0000"/>
              </w:rPr>
            </w:pPr>
            <w:r>
              <w:rPr>
                <w:i/>
              </w:rPr>
              <w:t>mikel.rufian@bidaidea.com</w:t>
            </w:r>
          </w:p>
        </w:tc>
        <w:tc>
          <w:tcPr>
            <w:tcW w:w="3003" w:type="dxa"/>
          </w:tcPr>
          <w:p w14:paraId="392A399D" w14:textId="77777777" w:rsidR="003877EC" w:rsidRDefault="003877EC">
            <w:pPr>
              <w:jc w:val="center"/>
              <w:rPr>
                <w:i/>
              </w:rPr>
            </w:pPr>
          </w:p>
        </w:tc>
        <w:tc>
          <w:tcPr>
            <w:tcW w:w="3004" w:type="dxa"/>
          </w:tcPr>
          <w:p w14:paraId="23F118F3" w14:textId="77777777" w:rsidR="003877EC" w:rsidRDefault="003877EC">
            <w:pPr>
              <w:jc w:val="center"/>
              <w:rPr>
                <w:i/>
              </w:rPr>
            </w:pPr>
          </w:p>
        </w:tc>
      </w:tr>
      <w:tr w:rsidR="003877EC" w14:paraId="62CB4079" w14:textId="77777777">
        <w:trPr>
          <w:trHeight w:val="399"/>
        </w:trPr>
        <w:tc>
          <w:tcPr>
            <w:tcW w:w="3003" w:type="dxa"/>
          </w:tcPr>
          <w:p w14:paraId="66AC0F44" w14:textId="77777777" w:rsidR="003877EC" w:rsidRDefault="003877EC">
            <w:pPr>
              <w:jc w:val="center"/>
              <w:rPr>
                <w:i/>
              </w:rPr>
            </w:pPr>
          </w:p>
        </w:tc>
        <w:tc>
          <w:tcPr>
            <w:tcW w:w="3003" w:type="dxa"/>
          </w:tcPr>
          <w:p w14:paraId="71D28170" w14:textId="77777777" w:rsidR="003877EC" w:rsidRDefault="003877EC">
            <w:pPr>
              <w:jc w:val="center"/>
              <w:rPr>
                <w:i/>
              </w:rPr>
            </w:pPr>
          </w:p>
        </w:tc>
        <w:tc>
          <w:tcPr>
            <w:tcW w:w="3004" w:type="dxa"/>
          </w:tcPr>
          <w:p w14:paraId="33BC8872" w14:textId="77777777" w:rsidR="003877EC" w:rsidRDefault="003877EC">
            <w:pPr>
              <w:jc w:val="center"/>
              <w:rPr>
                <w:i/>
              </w:rPr>
            </w:pPr>
          </w:p>
        </w:tc>
      </w:tr>
    </w:tbl>
    <w:p w14:paraId="2A75519A" w14:textId="77777777" w:rsidR="003877EC" w:rsidRDefault="003877EC">
      <w:pPr>
        <w:pBdr>
          <w:top w:val="nil"/>
          <w:left w:val="nil"/>
          <w:bottom w:val="nil"/>
          <w:right w:val="nil"/>
          <w:between w:val="nil"/>
        </w:pBdr>
        <w:rPr>
          <w:b/>
          <w:sz w:val="18"/>
          <w:szCs w:val="18"/>
        </w:rPr>
        <w:sectPr w:rsidR="003877EC">
          <w:headerReference w:type="default" r:id="rId7"/>
          <w:footerReference w:type="even" r:id="rId8"/>
          <w:footerReference w:type="default" r:id="rId9"/>
          <w:headerReference w:type="first" r:id="rId10"/>
          <w:footerReference w:type="first" r:id="rId11"/>
          <w:pgSz w:w="11900" w:h="16820"/>
          <w:pgMar w:top="1440" w:right="1440" w:bottom="1440" w:left="1440" w:header="567" w:footer="737" w:gutter="0"/>
          <w:pgNumType w:start="1"/>
          <w:cols w:space="720"/>
          <w:titlePg/>
        </w:sectPr>
      </w:pPr>
    </w:p>
    <w:p w14:paraId="71C84D25" w14:textId="77777777" w:rsidR="003877EC" w:rsidRDefault="00F71693">
      <w:pPr>
        <w:pBdr>
          <w:top w:val="nil"/>
          <w:left w:val="nil"/>
          <w:bottom w:val="nil"/>
          <w:right w:val="nil"/>
          <w:between w:val="nil"/>
        </w:pBdr>
        <w:rPr>
          <w:b/>
          <w:sz w:val="18"/>
          <w:szCs w:val="18"/>
        </w:rPr>
      </w:pPr>
      <w:r>
        <w:rPr>
          <w:b/>
          <w:sz w:val="18"/>
          <w:szCs w:val="18"/>
        </w:rPr>
        <w:t>Abstract – The aim of this poster is to show a successful example of cooperation between different public and private organizations, both within and outside the digital preservation community, working together in a consortium within the ARCHIVER project, the most innovative digital preservation research and development project in Europe.</w:t>
      </w:r>
    </w:p>
    <w:p w14:paraId="2C447A3B" w14:textId="77777777" w:rsidR="003877EC" w:rsidRDefault="003877EC">
      <w:pPr>
        <w:pBdr>
          <w:top w:val="nil"/>
          <w:left w:val="nil"/>
          <w:bottom w:val="nil"/>
          <w:right w:val="nil"/>
          <w:between w:val="nil"/>
        </w:pBdr>
        <w:rPr>
          <w:b/>
          <w:sz w:val="18"/>
          <w:szCs w:val="18"/>
        </w:rPr>
      </w:pPr>
    </w:p>
    <w:p w14:paraId="5A11F197" w14:textId="77777777" w:rsidR="003877EC" w:rsidRDefault="00F71693">
      <w:pPr>
        <w:pBdr>
          <w:top w:val="nil"/>
          <w:left w:val="nil"/>
          <w:bottom w:val="nil"/>
          <w:right w:val="nil"/>
          <w:between w:val="nil"/>
        </w:pBdr>
        <w:rPr>
          <w:b/>
          <w:sz w:val="18"/>
          <w:szCs w:val="18"/>
        </w:rPr>
      </w:pPr>
      <w:r>
        <w:rPr>
          <w:b/>
          <w:color w:val="000000"/>
          <w:sz w:val="18"/>
          <w:szCs w:val="18"/>
        </w:rPr>
        <w:t xml:space="preserve">Keywords – </w:t>
      </w:r>
      <w:r>
        <w:rPr>
          <w:b/>
          <w:sz w:val="18"/>
          <w:szCs w:val="18"/>
        </w:rPr>
        <w:t>Digital Preservation, Community, Exchange, Research, Research Data Management.</w:t>
      </w:r>
    </w:p>
    <w:p w14:paraId="7D6E049E" w14:textId="77777777" w:rsidR="003877EC" w:rsidRDefault="003877EC">
      <w:pPr>
        <w:pBdr>
          <w:top w:val="nil"/>
          <w:left w:val="nil"/>
          <w:bottom w:val="nil"/>
          <w:right w:val="nil"/>
          <w:between w:val="nil"/>
        </w:pBdr>
        <w:rPr>
          <w:b/>
          <w:sz w:val="18"/>
          <w:szCs w:val="18"/>
        </w:rPr>
      </w:pPr>
    </w:p>
    <w:p w14:paraId="00B42EA4" w14:textId="77777777" w:rsidR="003877EC" w:rsidRDefault="00F71693">
      <w:pPr>
        <w:pBdr>
          <w:top w:val="nil"/>
          <w:left w:val="nil"/>
          <w:bottom w:val="nil"/>
          <w:right w:val="nil"/>
          <w:between w:val="nil"/>
        </w:pBdr>
        <w:rPr>
          <w:b/>
          <w:sz w:val="18"/>
          <w:szCs w:val="18"/>
        </w:rPr>
      </w:pPr>
      <w:r>
        <w:rPr>
          <w:b/>
          <w:color w:val="000000"/>
          <w:sz w:val="18"/>
          <w:szCs w:val="18"/>
        </w:rPr>
        <w:t xml:space="preserve">Conference Topics – </w:t>
      </w:r>
      <w:r>
        <w:rPr>
          <w:b/>
          <w:sz w:val="18"/>
          <w:szCs w:val="18"/>
        </w:rPr>
        <w:t>Community; Exchange</w:t>
      </w:r>
      <w:r>
        <w:rPr>
          <w:b/>
          <w:color w:val="000000"/>
          <w:sz w:val="18"/>
          <w:szCs w:val="18"/>
        </w:rPr>
        <w:t>.</w:t>
      </w:r>
    </w:p>
    <w:p w14:paraId="1B6E0C31" w14:textId="77777777" w:rsidR="003877EC" w:rsidRDefault="00F71693">
      <w:pPr>
        <w:pStyle w:val="Ttulo1"/>
      </w:pPr>
      <w:r>
        <w:t>Introduction</w:t>
      </w:r>
    </w:p>
    <w:p w14:paraId="67D679A2" w14:textId="77777777" w:rsidR="003877EC" w:rsidRDefault="00F71693">
      <w:pPr>
        <w:pBdr>
          <w:top w:val="nil"/>
          <w:left w:val="nil"/>
          <w:bottom w:val="nil"/>
          <w:right w:val="nil"/>
          <w:between w:val="nil"/>
        </w:pBdr>
        <w:spacing w:after="120"/>
      </w:pPr>
      <w:r>
        <w:t xml:space="preserve">The ARCHIVER Project (Archiving and Preservation for Research Environments) is the only EOSC related H2020 project </w:t>
      </w:r>
      <w:proofErr w:type="spellStart"/>
      <w:r>
        <w:t>focussing</w:t>
      </w:r>
      <w:proofErr w:type="spellEnd"/>
      <w:r>
        <w:t xml:space="preserve"> on commercial long-term archiving and preservation services for petabyte-scale datasets across multiple research domains and countries [1].</w:t>
      </w:r>
    </w:p>
    <w:p w14:paraId="2A052C48" w14:textId="77777777" w:rsidR="003877EC" w:rsidRDefault="00F71693">
      <w:pPr>
        <w:pBdr>
          <w:top w:val="nil"/>
          <w:left w:val="nil"/>
          <w:bottom w:val="nil"/>
          <w:right w:val="nil"/>
          <w:between w:val="nil"/>
        </w:pBdr>
        <w:spacing w:after="120"/>
      </w:pPr>
      <w:r>
        <w:t xml:space="preserve">On 29 January 2020, the ARCHIVER project launched its Pre-Commercial Procurement Request for Tenders with the purpose to award several Framework Agreements and work orders for the </w:t>
      </w:r>
      <w:r>
        <w:t xml:space="preserve">provision of R&amp;D for hybrid end-to-end archival and preservation services that meet the innovation challenges of European Research communities, in the context of the European Open Science Cloud.  </w:t>
      </w:r>
    </w:p>
    <w:p w14:paraId="2380A205" w14:textId="77777777" w:rsidR="003877EC" w:rsidRDefault="00F71693">
      <w:pPr>
        <w:pBdr>
          <w:top w:val="nil"/>
          <w:left w:val="nil"/>
          <w:bottom w:val="nil"/>
          <w:right w:val="nil"/>
          <w:between w:val="nil"/>
        </w:pBdr>
        <w:spacing w:after="120"/>
      </w:pPr>
      <w:r>
        <w:t>The project team (CERN-led) encouraged companies/</w:t>
      </w:r>
      <w:proofErr w:type="spellStart"/>
      <w:r>
        <w:t>organisations</w:t>
      </w:r>
      <w:proofErr w:type="spellEnd"/>
      <w:r>
        <w:t xml:space="preserve"> to combine their skills and resources to form viable consortia to achieve the required results [2]. In this context, and based on this recommendation, the LIBNOVA Consortium [3] was formed, and has turned out to be one of the final contractors for the ARCHIVER project [4].</w:t>
      </w:r>
    </w:p>
    <w:p w14:paraId="18D467D2" w14:textId="77777777" w:rsidR="003877EC" w:rsidRDefault="00F71693">
      <w:pPr>
        <w:pStyle w:val="Ttulo1"/>
      </w:pPr>
      <w:bookmarkStart w:id="0" w:name="_d456u22w3yim" w:colFirst="0" w:colLast="0"/>
      <w:bookmarkEnd w:id="0"/>
      <w:r>
        <w:t>Collaboration</w:t>
      </w:r>
    </w:p>
    <w:p w14:paraId="279F9A23" w14:textId="77777777" w:rsidR="003877EC" w:rsidRDefault="00F71693">
      <w:pPr>
        <w:pBdr>
          <w:top w:val="nil"/>
          <w:left w:val="nil"/>
          <w:bottom w:val="nil"/>
          <w:right w:val="nil"/>
          <w:between w:val="nil"/>
        </w:pBdr>
        <w:spacing w:after="120"/>
      </w:pPr>
      <w:r>
        <w:t xml:space="preserve">The consortium led by LIBNOVA has been enriched throughout the project with the incorporation of new members with expertise in the specific needs of each phase, forming a multidisciplinary cooperative and collaborative team. These are the main contributions of each member of the consortium: </w:t>
      </w:r>
    </w:p>
    <w:p w14:paraId="30E9090E" w14:textId="77777777" w:rsidR="003877EC" w:rsidRDefault="00F71693">
      <w:pPr>
        <w:numPr>
          <w:ilvl w:val="0"/>
          <w:numId w:val="2"/>
        </w:numPr>
        <w:pBdr>
          <w:top w:val="nil"/>
          <w:left w:val="nil"/>
          <w:bottom w:val="nil"/>
          <w:right w:val="nil"/>
          <w:between w:val="nil"/>
        </w:pBdr>
        <w:spacing w:after="200"/>
      </w:pPr>
      <w:r>
        <w:rPr>
          <w:b/>
        </w:rPr>
        <w:t>LIBNOVA</w:t>
      </w:r>
      <w:r>
        <w:t xml:space="preserve"> (led): is focused on the Digital Preservation field, and provides solutions to organizations, so that big volumes of </w:t>
      </w:r>
      <w:r>
        <w:lastRenderedPageBreak/>
        <w:t>valuable data are accessible during long periods of time. The company is a leading digital preservation provider with an international presence in several countries in the heritage, cultural and research dataset areas.</w:t>
      </w:r>
    </w:p>
    <w:p w14:paraId="770D3DD7" w14:textId="77777777" w:rsidR="003877EC" w:rsidRDefault="00F71693">
      <w:pPr>
        <w:numPr>
          <w:ilvl w:val="0"/>
          <w:numId w:val="2"/>
        </w:numPr>
        <w:pBdr>
          <w:top w:val="nil"/>
          <w:left w:val="nil"/>
          <w:bottom w:val="nil"/>
          <w:right w:val="nil"/>
          <w:between w:val="nil"/>
        </w:pBdr>
        <w:spacing w:after="200"/>
      </w:pPr>
      <w:r>
        <w:t xml:space="preserve">The </w:t>
      </w:r>
      <w:r>
        <w:rPr>
          <w:b/>
        </w:rPr>
        <w:t>Spanish National Research Council (CSIC)</w:t>
      </w:r>
      <w:r>
        <w:t xml:space="preserve"> is the main agent of the Spanish System for Science, Technology and Innovation. Their mission is the promotion, coordination, development and dissemination of scientific and technological multidisciplinary research, in order to contribute to the progress of knowledge and economic, social and cultural development.</w:t>
      </w:r>
    </w:p>
    <w:p w14:paraId="520A668D" w14:textId="77777777" w:rsidR="003877EC" w:rsidRDefault="00F71693">
      <w:pPr>
        <w:numPr>
          <w:ilvl w:val="0"/>
          <w:numId w:val="2"/>
        </w:numPr>
        <w:pBdr>
          <w:top w:val="nil"/>
          <w:left w:val="nil"/>
          <w:bottom w:val="nil"/>
          <w:right w:val="nil"/>
          <w:between w:val="nil"/>
        </w:pBdr>
        <w:spacing w:after="200"/>
      </w:pPr>
      <w:r>
        <w:t xml:space="preserve">The </w:t>
      </w:r>
      <w:r>
        <w:rPr>
          <w:b/>
        </w:rPr>
        <w:t>University of Barcelona (UB)</w:t>
      </w:r>
      <w:r>
        <w:t xml:space="preserve"> is the principal </w:t>
      </w:r>
      <w:proofErr w:type="spellStart"/>
      <w:r>
        <w:t>centre</w:t>
      </w:r>
      <w:proofErr w:type="spellEnd"/>
      <w:r>
        <w:t xml:space="preserve"> of university research in Spain and has become a European benchmark for research activity, both in terms of the number of research </w:t>
      </w:r>
      <w:proofErr w:type="spellStart"/>
      <w:r>
        <w:t>programmes</w:t>
      </w:r>
      <w:proofErr w:type="spellEnd"/>
      <w:r>
        <w:t xml:space="preserve"> it conducts and the excellence these have achieved. </w:t>
      </w:r>
    </w:p>
    <w:p w14:paraId="740D1C64" w14:textId="77777777" w:rsidR="003877EC" w:rsidRDefault="00F71693">
      <w:pPr>
        <w:numPr>
          <w:ilvl w:val="0"/>
          <w:numId w:val="2"/>
        </w:numPr>
        <w:pBdr>
          <w:top w:val="nil"/>
          <w:left w:val="nil"/>
          <w:bottom w:val="nil"/>
          <w:right w:val="nil"/>
          <w:between w:val="nil"/>
        </w:pBdr>
        <w:spacing w:after="200"/>
      </w:pPr>
      <w:r>
        <w:rPr>
          <w:b/>
        </w:rPr>
        <w:t xml:space="preserve">David </w:t>
      </w:r>
      <w:proofErr w:type="spellStart"/>
      <w:r>
        <w:rPr>
          <w:b/>
        </w:rPr>
        <w:t>Giaretta</w:t>
      </w:r>
      <w:proofErr w:type="spellEnd"/>
      <w:r>
        <w:t xml:space="preserve"> has led many of the most important developments in digital preservation, with EU-funding and more than 50 partner </w:t>
      </w:r>
      <w:proofErr w:type="spellStart"/>
      <w:r>
        <w:t>organisations</w:t>
      </w:r>
      <w:proofErr w:type="spellEnd"/>
      <w:r>
        <w:t xml:space="preserve">. He chaired the panel which produced the OAIS Reference Model (ISO 14721), the ISO standard for audit and certification of trustworthy digital repositories (ISO 16363), and ISO 16919. </w:t>
      </w:r>
    </w:p>
    <w:p w14:paraId="36071B1F" w14:textId="77777777" w:rsidR="003877EC" w:rsidRDefault="00F71693">
      <w:pPr>
        <w:numPr>
          <w:ilvl w:val="0"/>
          <w:numId w:val="2"/>
        </w:numPr>
        <w:pBdr>
          <w:top w:val="nil"/>
          <w:left w:val="nil"/>
          <w:bottom w:val="nil"/>
          <w:right w:val="nil"/>
          <w:between w:val="nil"/>
        </w:pBdr>
        <w:spacing w:after="200"/>
      </w:pPr>
      <w:r>
        <w:rPr>
          <w:b/>
        </w:rPr>
        <w:t>Voxility</w:t>
      </w:r>
      <w:r>
        <w:t xml:space="preserve"> provides agile Infrastructure-as-a-Service (hardware and network equipment for internet access) for hosting providers, cloud service providers or integrators and software developers, among others. They provide high-capacity and high-performance infrastructure.</w:t>
      </w:r>
    </w:p>
    <w:p w14:paraId="49A8323A" w14:textId="77777777" w:rsidR="003877EC" w:rsidRDefault="00F71693">
      <w:pPr>
        <w:numPr>
          <w:ilvl w:val="0"/>
          <w:numId w:val="2"/>
        </w:numPr>
        <w:pBdr>
          <w:top w:val="nil"/>
          <w:left w:val="nil"/>
          <w:bottom w:val="nil"/>
          <w:right w:val="nil"/>
          <w:between w:val="nil"/>
        </w:pBdr>
        <w:spacing w:after="200"/>
      </w:pPr>
      <w:r>
        <w:rPr>
          <w:b/>
        </w:rPr>
        <w:t>Amazon Web Services (AWS)</w:t>
      </w:r>
      <w:r>
        <w:t xml:space="preserve"> is the world’s most comprehensive and broadly adopted cloud platform, offering over 200 fully featured services from data centers globally. Millions of customers, from the fastest-growing startups, largest enterprises, and leading government agencies, are already using AWS.</w:t>
      </w:r>
    </w:p>
    <w:p w14:paraId="549BBD3A" w14:textId="77777777" w:rsidR="003877EC" w:rsidRDefault="00F71693">
      <w:pPr>
        <w:numPr>
          <w:ilvl w:val="0"/>
          <w:numId w:val="2"/>
        </w:numPr>
        <w:pBdr>
          <w:top w:val="nil"/>
          <w:left w:val="nil"/>
          <w:bottom w:val="nil"/>
          <w:right w:val="nil"/>
          <w:between w:val="nil"/>
        </w:pBdr>
        <w:spacing w:after="200"/>
      </w:pPr>
      <w:proofErr w:type="spellStart"/>
      <w:r>
        <w:rPr>
          <w:b/>
        </w:rPr>
        <w:t>Bidaidea</w:t>
      </w:r>
      <w:proofErr w:type="spellEnd"/>
      <w:r>
        <w:t xml:space="preserve"> is a consulting company focused on Cybersecurity, with end-to-end coverage </w:t>
      </w:r>
      <w:r>
        <w:t xml:space="preserve">in Integral Security, Security Intelligence, Self-Protection Plans, Electronic Security and Automated Security Systems. They create and execute integral plans for 360 Security (Physical, Electronic, Logical, </w:t>
      </w:r>
      <w:proofErr w:type="spellStart"/>
      <w:r>
        <w:t>Cibersecurity</w:t>
      </w:r>
      <w:proofErr w:type="spellEnd"/>
      <w:r>
        <w:t xml:space="preserve"> and Intelligence) for both SMEs and large companies and institutions.</w:t>
      </w:r>
    </w:p>
    <w:p w14:paraId="75B731F5" w14:textId="77777777" w:rsidR="003877EC" w:rsidRDefault="00F71693">
      <w:pPr>
        <w:pStyle w:val="Ttulo1"/>
      </w:pPr>
      <w:bookmarkStart w:id="1" w:name="_s5whm3iqn2wm" w:colFirst="0" w:colLast="0"/>
      <w:bookmarkEnd w:id="1"/>
      <w:r>
        <w:t>Poster Intention</w:t>
      </w:r>
    </w:p>
    <w:p w14:paraId="100486AF" w14:textId="77777777" w:rsidR="003877EC" w:rsidRDefault="00F71693">
      <w:pPr>
        <w:pBdr>
          <w:top w:val="nil"/>
          <w:left w:val="nil"/>
          <w:bottom w:val="nil"/>
          <w:right w:val="nil"/>
          <w:between w:val="nil"/>
        </w:pBdr>
        <w:spacing w:after="120"/>
      </w:pPr>
      <w:r>
        <w:t>This poster is intended to serve as a use case of successful collaboration on how a digital preservation research project involving multiple stakeholders from different fields of expertise can be articulated.</w:t>
      </w:r>
    </w:p>
    <w:p w14:paraId="18AF92A9" w14:textId="77777777" w:rsidR="003877EC" w:rsidRDefault="003877EC">
      <w:pPr>
        <w:pBdr>
          <w:top w:val="nil"/>
          <w:left w:val="nil"/>
          <w:bottom w:val="nil"/>
          <w:right w:val="nil"/>
          <w:between w:val="nil"/>
        </w:pBdr>
        <w:spacing w:after="120"/>
      </w:pPr>
    </w:p>
    <w:p w14:paraId="229A21E2" w14:textId="77777777" w:rsidR="003877EC" w:rsidRDefault="003877EC">
      <w:pPr>
        <w:pBdr>
          <w:top w:val="nil"/>
          <w:left w:val="nil"/>
          <w:bottom w:val="nil"/>
          <w:right w:val="nil"/>
          <w:between w:val="nil"/>
        </w:pBdr>
        <w:spacing w:after="120"/>
        <w:rPr>
          <w:color w:val="000000"/>
        </w:rPr>
      </w:pPr>
    </w:p>
    <w:p w14:paraId="0E128F54" w14:textId="77777777" w:rsidR="003877EC" w:rsidRDefault="00F71693">
      <w:pPr>
        <w:pStyle w:val="Ttulo1"/>
      </w:pPr>
      <w:r>
        <w:t>REFERENCES</w:t>
      </w:r>
    </w:p>
    <w:p w14:paraId="79115424" w14:textId="77777777" w:rsidR="003877EC" w:rsidRDefault="00F71693">
      <w:pPr>
        <w:numPr>
          <w:ilvl w:val="0"/>
          <w:numId w:val="1"/>
        </w:numPr>
        <w:pBdr>
          <w:top w:val="nil"/>
          <w:left w:val="nil"/>
          <w:bottom w:val="nil"/>
          <w:right w:val="nil"/>
          <w:between w:val="nil"/>
        </w:pBdr>
      </w:pPr>
      <w:r>
        <w:rPr>
          <w:sz w:val="16"/>
          <w:szCs w:val="16"/>
        </w:rPr>
        <w:t>Archiving and Preservation for Research Environments | ARCHIVER Project | Fact Sheet | H2020 | CORDIS | European Commission https://cordis.europa.eu/project/id/824516</w:t>
      </w:r>
    </w:p>
    <w:p w14:paraId="28D5E5FC" w14:textId="77777777" w:rsidR="003877EC" w:rsidRDefault="003877EC">
      <w:pPr>
        <w:pBdr>
          <w:top w:val="nil"/>
          <w:left w:val="nil"/>
          <w:bottom w:val="nil"/>
          <w:right w:val="nil"/>
          <w:between w:val="nil"/>
        </w:pBdr>
        <w:ind w:firstLine="0"/>
        <w:rPr>
          <w:sz w:val="16"/>
          <w:szCs w:val="16"/>
        </w:rPr>
      </w:pPr>
    </w:p>
    <w:p w14:paraId="30E4C698" w14:textId="77777777" w:rsidR="003877EC" w:rsidRDefault="00F71693">
      <w:pPr>
        <w:numPr>
          <w:ilvl w:val="0"/>
          <w:numId w:val="1"/>
        </w:numPr>
        <w:pBdr>
          <w:top w:val="nil"/>
          <w:left w:val="nil"/>
          <w:bottom w:val="nil"/>
          <w:right w:val="nil"/>
          <w:between w:val="nil"/>
        </w:pBdr>
      </w:pPr>
      <w:r>
        <w:rPr>
          <w:sz w:val="16"/>
          <w:szCs w:val="16"/>
        </w:rPr>
        <w:t>ARCHIVER launches its Pre-Commercial Procurement Tender</w:t>
      </w:r>
    </w:p>
    <w:p w14:paraId="53A38B16" w14:textId="77777777" w:rsidR="003877EC" w:rsidRDefault="00F71693">
      <w:pPr>
        <w:pBdr>
          <w:top w:val="nil"/>
          <w:left w:val="nil"/>
          <w:bottom w:val="nil"/>
          <w:right w:val="nil"/>
          <w:between w:val="nil"/>
        </w:pBdr>
        <w:ind w:left="360" w:firstLine="0"/>
        <w:rPr>
          <w:sz w:val="16"/>
          <w:szCs w:val="16"/>
        </w:rPr>
      </w:pPr>
      <w:r>
        <w:rPr>
          <w:sz w:val="16"/>
          <w:szCs w:val="16"/>
        </w:rPr>
        <w:t>https://cordis.europa.eu/article/id/413444-archiver-launches-its-pre-commercial-procurement-tender</w:t>
      </w:r>
    </w:p>
    <w:p w14:paraId="441BAAFA" w14:textId="77777777" w:rsidR="003877EC" w:rsidRDefault="003877EC">
      <w:pPr>
        <w:pBdr>
          <w:top w:val="nil"/>
          <w:left w:val="nil"/>
          <w:bottom w:val="nil"/>
          <w:right w:val="nil"/>
          <w:between w:val="nil"/>
        </w:pBdr>
        <w:ind w:firstLine="0"/>
        <w:rPr>
          <w:sz w:val="16"/>
          <w:szCs w:val="16"/>
        </w:rPr>
      </w:pPr>
    </w:p>
    <w:p w14:paraId="747B0671" w14:textId="129B03DD" w:rsidR="003877EC" w:rsidRDefault="00F71693">
      <w:pPr>
        <w:numPr>
          <w:ilvl w:val="0"/>
          <w:numId w:val="1"/>
        </w:numPr>
        <w:pBdr>
          <w:top w:val="nil"/>
          <w:left w:val="nil"/>
          <w:bottom w:val="nil"/>
          <w:right w:val="nil"/>
          <w:between w:val="nil"/>
        </w:pBdr>
      </w:pPr>
      <w:r>
        <w:rPr>
          <w:sz w:val="16"/>
          <w:szCs w:val="16"/>
        </w:rPr>
        <w:t>ARCHIVER Project | Consortium 3 https://archiver-project.eu/consortium-3</w:t>
      </w:r>
    </w:p>
    <w:p w14:paraId="2EB32426" w14:textId="77777777" w:rsidR="003877EC" w:rsidRDefault="003877EC">
      <w:pPr>
        <w:pBdr>
          <w:top w:val="nil"/>
          <w:left w:val="nil"/>
          <w:bottom w:val="nil"/>
          <w:right w:val="nil"/>
          <w:between w:val="nil"/>
        </w:pBdr>
        <w:ind w:firstLine="0"/>
        <w:rPr>
          <w:sz w:val="16"/>
          <w:szCs w:val="16"/>
        </w:rPr>
      </w:pPr>
    </w:p>
    <w:p w14:paraId="297E8C77" w14:textId="77777777" w:rsidR="003877EC" w:rsidRDefault="00F71693">
      <w:pPr>
        <w:numPr>
          <w:ilvl w:val="0"/>
          <w:numId w:val="1"/>
        </w:numPr>
      </w:pPr>
      <w:r>
        <w:rPr>
          <w:sz w:val="16"/>
          <w:szCs w:val="16"/>
        </w:rPr>
        <w:t>ARCHIVER PROJECT | PILOT PHASE AWARD - THE TWO WINNERS https://archiver-project.eu/pilot-phase-award</w:t>
      </w:r>
    </w:p>
    <w:p w14:paraId="76DF6FB8" w14:textId="77777777" w:rsidR="003877EC" w:rsidRDefault="003877EC">
      <w:pPr>
        <w:pBdr>
          <w:top w:val="nil"/>
          <w:left w:val="nil"/>
          <w:bottom w:val="nil"/>
          <w:right w:val="nil"/>
          <w:between w:val="nil"/>
        </w:pBdr>
        <w:ind w:left="360" w:firstLine="0"/>
        <w:rPr>
          <w:sz w:val="16"/>
          <w:szCs w:val="16"/>
        </w:rPr>
      </w:pPr>
    </w:p>
    <w:p w14:paraId="74CDD269" w14:textId="77777777" w:rsidR="003877EC" w:rsidRDefault="003877EC">
      <w:pPr>
        <w:pBdr>
          <w:top w:val="nil"/>
          <w:left w:val="nil"/>
          <w:bottom w:val="nil"/>
          <w:right w:val="nil"/>
          <w:between w:val="nil"/>
        </w:pBdr>
        <w:ind w:left="360" w:firstLine="0"/>
        <w:rPr>
          <w:sz w:val="16"/>
          <w:szCs w:val="16"/>
        </w:rPr>
      </w:pPr>
    </w:p>
    <w:sectPr w:rsidR="003877EC">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FF81" w14:textId="77777777" w:rsidR="007A2F3E" w:rsidRDefault="007A2F3E">
      <w:r>
        <w:separator/>
      </w:r>
    </w:p>
  </w:endnote>
  <w:endnote w:type="continuationSeparator" w:id="0">
    <w:p w14:paraId="05186C5F" w14:textId="77777777" w:rsidR="007A2F3E" w:rsidRDefault="007A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A371" w14:textId="77777777" w:rsidR="003877EC" w:rsidRDefault="00F71693">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7A2F3E">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5F20896" w14:textId="77777777" w:rsidR="003877EC" w:rsidRDefault="003877EC">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31401080" w14:textId="77777777" w:rsidR="003877EC" w:rsidRDefault="003877EC">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1C5C636" w14:textId="77777777" w:rsidR="003877EC" w:rsidRDefault="003877EC">
    <w:pPr>
      <w:pBdr>
        <w:top w:val="nil"/>
        <w:left w:val="nil"/>
        <w:bottom w:val="nil"/>
        <w:right w:val="nil"/>
        <w:between w:val="nil"/>
      </w:pBdr>
      <w:tabs>
        <w:tab w:val="center" w:pos="4680"/>
        <w:tab w:val="right" w:pos="9360"/>
      </w:tabs>
      <w:ind w:right="360" w:firstLine="0"/>
      <w:jc w:val="lef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8AA5" w14:textId="77777777" w:rsidR="003877EC" w:rsidRDefault="00F71693">
    <w:pPr>
      <w:tabs>
        <w:tab w:val="center" w:pos="4680"/>
        <w:tab w:val="right" w:pos="9360"/>
      </w:tabs>
      <w:rPr>
        <w:sz w:val="16"/>
        <w:szCs w:val="16"/>
      </w:rPr>
    </w:pPr>
    <w:proofErr w:type="spellStart"/>
    <w:r>
      <w:rPr>
        <w:b/>
        <w:sz w:val="16"/>
        <w:szCs w:val="16"/>
      </w:rPr>
      <w:t>iPres</w:t>
    </w:r>
    <w:proofErr w:type="spellEnd"/>
    <w:r>
      <w:rPr>
        <w:b/>
        <w:sz w:val="16"/>
        <w:szCs w:val="16"/>
      </w:rPr>
      <w:t xml:space="preserve"> 2022:</w:t>
    </w:r>
    <w:r>
      <w:rPr>
        <w:sz w:val="16"/>
        <w:szCs w:val="16"/>
      </w:rPr>
      <w:t xml:space="preserve"> The 18th International Conference on Digital Preservation</w:t>
    </w:r>
  </w:p>
  <w:p w14:paraId="359FB33C" w14:textId="77777777" w:rsidR="003877EC" w:rsidRDefault="00F71693">
    <w:pPr>
      <w:tabs>
        <w:tab w:val="center" w:pos="4680"/>
        <w:tab w:val="right" w:pos="9360"/>
      </w:tabs>
      <w:rPr>
        <w:b/>
        <w:sz w:val="16"/>
        <w:szCs w:val="16"/>
      </w:rPr>
    </w:pPr>
    <w:r>
      <w:rPr>
        <w:b/>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946F" w14:textId="77777777" w:rsidR="003877EC" w:rsidRDefault="00F71693">
    <w:pPr>
      <w:pBdr>
        <w:top w:val="nil"/>
        <w:left w:val="nil"/>
        <w:bottom w:val="nil"/>
        <w:right w:val="nil"/>
        <w:between w:val="nil"/>
      </w:pBdr>
      <w:tabs>
        <w:tab w:val="center" w:pos="4680"/>
        <w:tab w:val="right" w:pos="9360"/>
      </w:tabs>
      <w:ind w:right="360" w:firstLine="0"/>
      <w:jc w:val="left"/>
      <w:rPr>
        <w:color w:val="000000"/>
        <w:sz w:val="16"/>
        <w:szCs w:val="16"/>
      </w:rPr>
    </w:pPr>
    <w:proofErr w:type="spellStart"/>
    <w:r>
      <w:rPr>
        <w:color w:val="000000"/>
        <w:sz w:val="16"/>
        <w:szCs w:val="16"/>
      </w:rPr>
      <w:t>iPres</w:t>
    </w:r>
    <w:proofErr w:type="spellEnd"/>
    <w:r>
      <w:rPr>
        <w:color w:val="000000"/>
        <w:sz w:val="16"/>
        <w:szCs w:val="16"/>
      </w:rPr>
      <w:t xml:space="preserve"> 2022: The 18th International Conference on Digital Preservation, Glasgow, Scotland. </w:t>
    </w:r>
  </w:p>
  <w:p w14:paraId="04113C6C" w14:textId="77777777" w:rsidR="003877EC" w:rsidRDefault="00F71693">
    <w:pPr>
      <w:pBdr>
        <w:top w:val="nil"/>
        <w:left w:val="nil"/>
        <w:bottom w:val="nil"/>
        <w:right w:val="nil"/>
        <w:between w:val="nil"/>
      </w:pBdr>
      <w:tabs>
        <w:tab w:val="center" w:pos="4680"/>
        <w:tab w:val="right" w:pos="9360"/>
      </w:tabs>
      <w:ind w:right="360" w:firstLine="0"/>
      <w:jc w:val="left"/>
      <w:rPr>
        <w:color w:val="000000"/>
        <w:sz w:val="16"/>
        <w:szCs w:val="16"/>
      </w:rPr>
    </w:pPr>
    <w:r>
      <w:rPr>
        <w:color w:val="000000"/>
        <w:sz w:val="16"/>
        <w:szCs w:val="16"/>
      </w:rPr>
      <w:t xml:space="preserve">Copyright held by the author(s). The text of this paper is published </w:t>
    </w:r>
    <w:r>
      <w:rPr>
        <w:color w:val="000000"/>
        <w:sz w:val="16"/>
        <w:szCs w:val="16"/>
      </w:rPr>
      <w:br/>
      <w:t>under a CC BY-SA license (https://creativecommons.org/licenses/by/4.0/).</w:t>
    </w:r>
    <w:r>
      <w:rPr>
        <w:color w:val="000000"/>
        <w:sz w:val="16"/>
        <w:szCs w:val="16"/>
      </w:rPr>
      <w:br/>
      <w:t>DOI: 10.1145/</w:t>
    </w:r>
    <w:proofErr w:type="spellStart"/>
    <w:r>
      <w:rPr>
        <w:color w:val="000000"/>
        <w:sz w:val="16"/>
        <w:szCs w:val="16"/>
      </w:rPr>
      <w:t>nnnnnnn.nnnnnnn</w:t>
    </w:r>
    <w:proofErr w:type="spellEnd"/>
    <w:r>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33DF" w14:textId="77777777" w:rsidR="007A2F3E" w:rsidRDefault="007A2F3E">
      <w:r>
        <w:separator/>
      </w:r>
    </w:p>
  </w:footnote>
  <w:footnote w:type="continuationSeparator" w:id="0">
    <w:p w14:paraId="7A257F2B" w14:textId="77777777" w:rsidR="007A2F3E" w:rsidRDefault="007A2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16B3" w14:textId="40540F9D" w:rsidR="003877EC" w:rsidRDefault="00F71693">
    <w:pPr>
      <w:pBdr>
        <w:top w:val="nil"/>
        <w:left w:val="nil"/>
        <w:bottom w:val="nil"/>
        <w:right w:val="nil"/>
        <w:between w:val="nil"/>
      </w:pBdr>
      <w:tabs>
        <w:tab w:val="center" w:pos="4680"/>
        <w:tab w:val="right" w:pos="9360"/>
      </w:tabs>
      <w:ind w:right="-110"/>
      <w:jc w:val="right"/>
      <w:rPr>
        <w:color w:val="000000"/>
      </w:rPr>
    </w:pPr>
    <w:r>
      <w:fldChar w:fldCharType="begin"/>
    </w:r>
    <w:r>
      <w:instrText>PAGE</w:instrText>
    </w:r>
    <w:r>
      <w:fldChar w:fldCharType="separate"/>
    </w:r>
    <w:r w:rsidR="00086F91">
      <w:rPr>
        <w:noProof/>
      </w:rPr>
      <w:t>2</w:t>
    </w:r>
    <w:r>
      <w:fldChar w:fldCharType="end"/>
    </w:r>
    <w:r>
      <w:t xml:space="preserve"> of </w:t>
    </w:r>
    <w:r w:rsidR="00CA4D53">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DEA0" w14:textId="3888713C" w:rsidR="003877EC" w:rsidRDefault="00F71693">
    <w:pPr>
      <w:jc w:val="right"/>
    </w:pPr>
    <w:r>
      <w:fldChar w:fldCharType="begin"/>
    </w:r>
    <w:r>
      <w:instrText>PAGE</w:instrText>
    </w:r>
    <w:r>
      <w:fldChar w:fldCharType="separate"/>
    </w:r>
    <w:r w:rsidR="00086F91">
      <w:rPr>
        <w:noProof/>
      </w:rPr>
      <w:t>1</w:t>
    </w:r>
    <w:r>
      <w:fldChar w:fldCharType="end"/>
    </w:r>
    <w:r>
      <w:t xml:space="preserve">of </w:t>
    </w:r>
    <w:r w:rsidR="00CA4D53">
      <w:t>2</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4FC0"/>
    <w:multiLevelType w:val="multilevel"/>
    <w:tmpl w:val="65F25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7D558B"/>
    <w:multiLevelType w:val="multilevel"/>
    <w:tmpl w:val="DC7AC72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7EC"/>
    <w:rsid w:val="00086F91"/>
    <w:rsid w:val="000A2D15"/>
    <w:rsid w:val="003877EC"/>
    <w:rsid w:val="007A2F3E"/>
    <w:rsid w:val="00A529A2"/>
    <w:rsid w:val="00CA4D53"/>
    <w:rsid w:val="00F7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86B0"/>
  <w15:docId w15:val="{3382445A-4641-4C71-844D-3DF5E559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US"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240" w:after="120"/>
      <w:ind w:firstLine="0"/>
      <w:jc w:val="center"/>
      <w:outlineLvl w:val="0"/>
    </w:pPr>
    <w:rPr>
      <w:smallCaps/>
    </w:rPr>
  </w:style>
  <w:style w:type="paragraph" w:styleId="Ttulo2">
    <w:name w:val="heading 2"/>
    <w:basedOn w:val="Normal"/>
    <w:next w:val="Normal"/>
    <w:uiPriority w:val="9"/>
    <w:semiHidden/>
    <w:unhideWhenUsed/>
    <w:qFormat/>
    <w:pPr>
      <w:spacing w:before="120" w:after="120"/>
      <w:ind w:firstLine="0"/>
      <w:outlineLvl w:val="1"/>
    </w:pPr>
    <w:rPr>
      <w:i/>
    </w:rPr>
  </w:style>
  <w:style w:type="paragraph" w:styleId="Ttulo3">
    <w:name w:val="heading 3"/>
    <w:basedOn w:val="Normal"/>
    <w:next w:val="Normal"/>
    <w:uiPriority w:val="9"/>
    <w:semiHidden/>
    <w:unhideWhenUsed/>
    <w:qFormat/>
    <w:pPr>
      <w:keepNext/>
      <w:keepLines/>
      <w:spacing w:before="40"/>
      <w:ind w:left="142" w:firstLine="0"/>
      <w:outlineLvl w:val="2"/>
    </w:pPr>
    <w:rPr>
      <w:i/>
    </w:rPr>
  </w:style>
  <w:style w:type="paragraph" w:styleId="Ttulo4">
    <w:name w:val="heading 4"/>
    <w:basedOn w:val="Normal"/>
    <w:next w:val="Normal"/>
    <w:uiPriority w:val="9"/>
    <w:semiHidden/>
    <w:unhideWhenUsed/>
    <w:qFormat/>
    <w:pPr>
      <w:spacing w:before="240" w:after="120"/>
      <w:ind w:firstLine="0"/>
      <w:jc w:val="center"/>
      <w:outlineLvl w:val="3"/>
    </w:pPr>
    <w:rPr>
      <w:smallCaps/>
    </w:rPr>
  </w:style>
  <w:style w:type="paragraph" w:styleId="Ttulo5">
    <w:name w:val="heading 5"/>
    <w:basedOn w:val="Normal"/>
    <w:next w:val="Normal"/>
    <w:uiPriority w:val="9"/>
    <w:semiHidden/>
    <w:unhideWhenUsed/>
    <w:qFormat/>
    <w:pPr>
      <w:keepNext/>
      <w:keepLines/>
      <w:spacing w:before="40"/>
      <w:ind w:left="2880" w:firstLine="0"/>
      <w:outlineLvl w:val="4"/>
    </w:pPr>
    <w:rPr>
      <w:rFonts w:ascii="Calibri" w:eastAsia="Calibri" w:hAnsi="Calibri" w:cs="Calibri"/>
      <w:color w:val="2F5496"/>
    </w:rPr>
  </w:style>
  <w:style w:type="paragraph" w:styleId="Ttulo6">
    <w:name w:val="heading 6"/>
    <w:basedOn w:val="Normal"/>
    <w:next w:val="Normal"/>
    <w:uiPriority w:val="9"/>
    <w:semiHidden/>
    <w:unhideWhenUsed/>
    <w:qFormat/>
    <w:pPr>
      <w:keepNext/>
      <w:keepLines/>
      <w:spacing w:before="40"/>
      <w:ind w:left="3600" w:firstLine="0"/>
      <w:outlineLvl w:val="5"/>
    </w:pPr>
    <w:rPr>
      <w:rFonts w:ascii="Calibri" w:eastAsia="Calibri" w:hAnsi="Calibri" w:cs="Calibri"/>
      <w:color w:val="1F38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after="120"/>
      <w:ind w:left="360" w:hanging="360"/>
      <w:jc w:val="center"/>
    </w:pPr>
    <w:rPr>
      <w:smallCaps/>
      <w:sz w:val="48"/>
      <w:szCs w:val="48"/>
    </w:rPr>
  </w:style>
  <w:style w:type="paragraph" w:styleId="Subttulo">
    <w:name w:val="Subtitle"/>
    <w:basedOn w:val="Normal"/>
    <w:next w:val="Normal"/>
    <w:uiPriority w:val="11"/>
    <w:qFormat/>
    <w:pPr>
      <w:spacing w:before="120" w:after="180"/>
      <w:jc w:val="center"/>
    </w:pPr>
    <w:rPr>
      <w:i/>
      <w:color w:val="595959"/>
      <w:sz w:val="40"/>
      <w:szCs w:val="40"/>
    </w:rPr>
  </w:style>
  <w:style w:type="table" w:customStyle="1" w:styleId="a">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CA4D53"/>
    <w:pPr>
      <w:tabs>
        <w:tab w:val="center" w:pos="4419"/>
        <w:tab w:val="right" w:pos="8838"/>
      </w:tabs>
    </w:pPr>
  </w:style>
  <w:style w:type="character" w:customStyle="1" w:styleId="EncabezadoCar">
    <w:name w:val="Encabezado Car"/>
    <w:basedOn w:val="Fuentedeprrafopredeter"/>
    <w:link w:val="Encabezado"/>
    <w:uiPriority w:val="99"/>
    <w:rsid w:val="00CA4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Fuertes</cp:lastModifiedBy>
  <cp:revision>4</cp:revision>
  <dcterms:created xsi:type="dcterms:W3CDTF">2022-03-08T11:32:00Z</dcterms:created>
  <dcterms:modified xsi:type="dcterms:W3CDTF">2022-03-08T15:57:00Z</dcterms:modified>
</cp:coreProperties>
</file>