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7C" w:rsidRPr="007C35F1" w:rsidRDefault="001B0345" w:rsidP="0097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b/>
          <w:sz w:val="24"/>
          <w:szCs w:val="24"/>
        </w:rPr>
        <w:t>CARDIAC BIOMARKERS</w:t>
      </w:r>
      <w:r>
        <w:rPr>
          <w:rFonts w:ascii="Times New Roman" w:hAnsi="Times New Roman" w:cs="Times New Roman"/>
          <w:b/>
          <w:sz w:val="24"/>
          <w:szCs w:val="24"/>
        </w:rPr>
        <w:t xml:space="preserve"> LACK PREDICTIVE UTILITY IN END </w:t>
      </w:r>
      <w:r w:rsidRPr="007C35F1">
        <w:rPr>
          <w:rFonts w:ascii="Times New Roman" w:hAnsi="Times New Roman" w:cs="Times New Roman"/>
          <w:b/>
          <w:sz w:val="24"/>
          <w:szCs w:val="24"/>
        </w:rPr>
        <w:t>STAGE RENAL DISEASE</w:t>
      </w:r>
    </w:p>
    <w:p w:rsidR="008D508E" w:rsidRPr="007C35F1" w:rsidRDefault="008D508E" w:rsidP="0097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263" w:rsidRPr="007C35F1" w:rsidRDefault="000D2263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b/>
          <w:sz w:val="24"/>
          <w:szCs w:val="24"/>
        </w:rPr>
        <w:t>Background:</w:t>
      </w:r>
    </w:p>
    <w:p w:rsidR="00A23EC7" w:rsidRDefault="00B00F81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F1">
        <w:rPr>
          <w:rFonts w:ascii="Times New Roman" w:hAnsi="Times New Roman" w:cs="Times New Roman"/>
          <w:sz w:val="24"/>
          <w:szCs w:val="24"/>
        </w:rPr>
        <w:t xml:space="preserve">The 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utility </w:t>
      </w:r>
      <w:r w:rsidRPr="007C35F1">
        <w:rPr>
          <w:rFonts w:ascii="Times New Roman" w:hAnsi="Times New Roman" w:cs="Times New Roman"/>
          <w:sz w:val="24"/>
          <w:szCs w:val="24"/>
        </w:rPr>
        <w:t>of N-termina</w:t>
      </w:r>
      <w:r w:rsidR="00315EA1" w:rsidRPr="007C35F1">
        <w:rPr>
          <w:rFonts w:ascii="Times New Roman" w:hAnsi="Times New Roman" w:cs="Times New Roman"/>
          <w:sz w:val="24"/>
          <w:szCs w:val="24"/>
        </w:rPr>
        <w:t xml:space="preserve">l pro brain natriuretic peptide </w:t>
      </w:r>
      <w:r w:rsidRPr="007C35F1">
        <w:rPr>
          <w:rFonts w:ascii="Times New Roman" w:hAnsi="Times New Roman" w:cs="Times New Roman"/>
          <w:sz w:val="24"/>
          <w:szCs w:val="24"/>
        </w:rPr>
        <w:t>(NT-</w:t>
      </w:r>
      <w:proofErr w:type="spellStart"/>
      <w:r w:rsidRPr="007C35F1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Pr="007C35F1">
        <w:rPr>
          <w:rFonts w:ascii="Times New Roman" w:hAnsi="Times New Roman" w:cs="Times New Roman"/>
          <w:sz w:val="24"/>
          <w:szCs w:val="24"/>
        </w:rPr>
        <w:t xml:space="preserve">) 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in </w:t>
      </w:r>
      <w:r w:rsidRPr="007C35F1">
        <w:rPr>
          <w:rFonts w:ascii="Times New Roman" w:hAnsi="Times New Roman" w:cs="Times New Roman"/>
          <w:sz w:val="24"/>
          <w:szCs w:val="24"/>
        </w:rPr>
        <w:t xml:space="preserve">the 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diagnosis </w:t>
      </w:r>
      <w:r w:rsidRPr="007C35F1">
        <w:rPr>
          <w:rFonts w:ascii="Times New Roman" w:hAnsi="Times New Roman" w:cs="Times New Roman"/>
          <w:sz w:val="24"/>
          <w:szCs w:val="24"/>
        </w:rPr>
        <w:t xml:space="preserve">and determining prognosis </w:t>
      </w:r>
      <w:r w:rsidR="0009159D" w:rsidRPr="007C35F1">
        <w:rPr>
          <w:rFonts w:ascii="Times New Roman" w:hAnsi="Times New Roman" w:cs="Times New Roman"/>
          <w:sz w:val="24"/>
          <w:szCs w:val="24"/>
        </w:rPr>
        <w:t>of heart failure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2E26FF" w:rsidRPr="007C35F1">
        <w:rPr>
          <w:rFonts w:ascii="Times New Roman" w:hAnsi="Times New Roman" w:cs="Times New Roman"/>
          <w:sz w:val="24"/>
          <w:szCs w:val="24"/>
        </w:rPr>
        <w:t>(HF</w:t>
      </w:r>
      <w:proofErr w:type="gramStart"/>
      <w:r w:rsidR="002E26FF" w:rsidRPr="007C35F1">
        <w:rPr>
          <w:rFonts w:ascii="Times New Roman" w:hAnsi="Times New Roman" w:cs="Times New Roman"/>
          <w:sz w:val="24"/>
          <w:szCs w:val="24"/>
        </w:rPr>
        <w:t>)</w:t>
      </w:r>
      <w:r w:rsidR="00B22E6A" w:rsidRPr="007C35F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9159D" w:rsidRPr="007C35F1">
        <w:rPr>
          <w:rFonts w:ascii="Times New Roman" w:hAnsi="Times New Roman" w:cs="Times New Roman"/>
          <w:sz w:val="24"/>
          <w:szCs w:val="24"/>
        </w:rPr>
        <w:t xml:space="preserve"> well reported. </w:t>
      </w:r>
      <w:r w:rsidR="005216AE" w:rsidRPr="007C35F1">
        <w:rPr>
          <w:rFonts w:ascii="Times New Roman" w:hAnsi="Times New Roman" w:cs="Times New Roman"/>
          <w:sz w:val="24"/>
          <w:szCs w:val="24"/>
        </w:rPr>
        <w:t>However,</w:t>
      </w:r>
      <w:r w:rsidRPr="007C35F1">
        <w:rPr>
          <w:rFonts w:ascii="Times New Roman" w:hAnsi="Times New Roman" w:cs="Times New Roman"/>
          <w:sz w:val="24"/>
          <w:szCs w:val="24"/>
        </w:rPr>
        <w:t xml:space="preserve"> its use for 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screening asymptomatic </w:t>
      </w:r>
      <w:r w:rsidR="006752BD" w:rsidRPr="007C35F1">
        <w:rPr>
          <w:rFonts w:ascii="Times New Roman" w:hAnsi="Times New Roman" w:cs="Times New Roman"/>
          <w:sz w:val="24"/>
          <w:szCs w:val="24"/>
        </w:rPr>
        <w:t>HF</w:t>
      </w:r>
      <w:r w:rsidRPr="007C35F1">
        <w:rPr>
          <w:rFonts w:ascii="Times New Roman" w:hAnsi="Times New Roman" w:cs="Times New Roman"/>
          <w:sz w:val="24"/>
          <w:szCs w:val="24"/>
        </w:rPr>
        <w:t>,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09159D" w:rsidRPr="007C35F1">
        <w:rPr>
          <w:rFonts w:ascii="Times New Roman" w:hAnsi="Times New Roman" w:cs="Times New Roman"/>
          <w:sz w:val="24"/>
          <w:szCs w:val="24"/>
        </w:rPr>
        <w:t>in particular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patients with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 end-stage renal disease</w:t>
      </w:r>
      <w:r w:rsidRPr="007C35F1">
        <w:rPr>
          <w:rFonts w:ascii="Times New Roman" w:hAnsi="Times New Roman" w:cs="Times New Roman"/>
          <w:sz w:val="24"/>
          <w:szCs w:val="24"/>
        </w:rPr>
        <w:t xml:space="preserve"> (ESRD)</w:t>
      </w:r>
      <w:r w:rsidR="00D7244F" w:rsidRPr="007C35F1">
        <w:rPr>
          <w:rFonts w:ascii="Times New Roman" w:hAnsi="Times New Roman" w:cs="Times New Roman"/>
          <w:sz w:val="24"/>
          <w:szCs w:val="24"/>
        </w:rPr>
        <w:t>,</w:t>
      </w:r>
      <w:r w:rsidR="00721B80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2876CA" w:rsidRPr="007C35F1">
        <w:rPr>
          <w:rFonts w:ascii="Times New Roman" w:hAnsi="Times New Roman" w:cs="Times New Roman"/>
          <w:sz w:val="24"/>
          <w:szCs w:val="24"/>
        </w:rPr>
        <w:t>is less explored. High sensitivity</w:t>
      </w:r>
      <w:r w:rsidR="0009159D" w:rsidRPr="007C35F1">
        <w:rPr>
          <w:rFonts w:ascii="Times New Roman" w:hAnsi="Times New Roman" w:cs="Times New Roman"/>
          <w:sz w:val="24"/>
          <w:szCs w:val="24"/>
        </w:rPr>
        <w:t xml:space="preserve"> Troponin T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09159D" w:rsidRPr="007C35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0109" w:rsidRPr="007C35F1">
        <w:rPr>
          <w:rFonts w:ascii="Times New Roman" w:hAnsi="Times New Roman" w:cs="Times New Roman"/>
          <w:sz w:val="24"/>
          <w:szCs w:val="24"/>
        </w:rPr>
        <w:t>h</w:t>
      </w:r>
      <w:r w:rsidR="0009159D" w:rsidRPr="007C35F1">
        <w:rPr>
          <w:rFonts w:ascii="Times New Roman" w:hAnsi="Times New Roman" w:cs="Times New Roman"/>
          <w:sz w:val="24"/>
          <w:szCs w:val="24"/>
        </w:rPr>
        <w:t>sTNT</w:t>
      </w:r>
      <w:proofErr w:type="spellEnd"/>
      <w:r w:rsidR="0009159D" w:rsidRPr="007C35F1">
        <w:rPr>
          <w:rFonts w:ascii="Times New Roman" w:hAnsi="Times New Roman" w:cs="Times New Roman"/>
          <w:sz w:val="24"/>
          <w:szCs w:val="24"/>
        </w:rPr>
        <w:t>)</w:t>
      </w:r>
      <w:r w:rsidRPr="007C35F1">
        <w:rPr>
          <w:rFonts w:ascii="Times New Roman" w:hAnsi="Times New Roman" w:cs="Times New Roman"/>
          <w:sz w:val="24"/>
          <w:szCs w:val="24"/>
        </w:rPr>
        <w:t xml:space="preserve"> in conjunction </w:t>
      </w:r>
      <w:r w:rsidR="002876CA" w:rsidRPr="007C35F1">
        <w:rPr>
          <w:rFonts w:ascii="Times New Roman" w:hAnsi="Times New Roman" w:cs="Times New Roman"/>
          <w:sz w:val="24"/>
          <w:szCs w:val="24"/>
        </w:rPr>
        <w:t>with NT-</w:t>
      </w:r>
      <w:proofErr w:type="spellStart"/>
      <w:r w:rsidR="002876CA" w:rsidRPr="007C35F1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="002876CA" w:rsidRPr="007C35F1">
        <w:rPr>
          <w:rFonts w:ascii="Times New Roman" w:hAnsi="Times New Roman" w:cs="Times New Roman"/>
          <w:sz w:val="24"/>
          <w:szCs w:val="24"/>
        </w:rPr>
        <w:t xml:space="preserve"> is shown to be a</w:t>
      </w:r>
      <w:r w:rsidRPr="007C35F1">
        <w:rPr>
          <w:rFonts w:ascii="Times New Roman" w:hAnsi="Times New Roman" w:cs="Times New Roman"/>
          <w:sz w:val="24"/>
          <w:szCs w:val="24"/>
        </w:rPr>
        <w:t xml:space="preserve"> useful biomarker for guiding prognosis. </w:t>
      </w:r>
      <w:r w:rsidR="008D508E" w:rsidRPr="007C35F1">
        <w:rPr>
          <w:rFonts w:ascii="Times New Roman" w:hAnsi="Times New Roman" w:cs="Times New Roman"/>
          <w:sz w:val="24"/>
          <w:szCs w:val="24"/>
        </w:rPr>
        <w:t>The levels of both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8D508E" w:rsidRPr="007C35F1">
        <w:rPr>
          <w:rFonts w:ascii="Times New Roman" w:hAnsi="Times New Roman" w:cs="Times New Roman"/>
          <w:sz w:val="24"/>
          <w:szCs w:val="24"/>
        </w:rPr>
        <w:t xml:space="preserve">markers are </w:t>
      </w:r>
      <w:r w:rsidR="005216AE" w:rsidRPr="007C35F1">
        <w:rPr>
          <w:rFonts w:ascii="Times New Roman" w:hAnsi="Times New Roman" w:cs="Times New Roman"/>
          <w:sz w:val="24"/>
          <w:szCs w:val="24"/>
        </w:rPr>
        <w:t>known</w:t>
      </w:r>
      <w:r w:rsidR="008D508E" w:rsidRPr="007C35F1">
        <w:rPr>
          <w:rFonts w:ascii="Times New Roman" w:hAnsi="Times New Roman" w:cs="Times New Roman"/>
          <w:sz w:val="24"/>
          <w:szCs w:val="24"/>
        </w:rPr>
        <w:t xml:space="preserve"> to be altered with advancing chronic kidney disease. </w:t>
      </w:r>
    </w:p>
    <w:p w:rsidR="00A23EC7" w:rsidRDefault="00A23EC7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EC7" w:rsidRPr="001442FA" w:rsidRDefault="00A23EC7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2FA">
        <w:rPr>
          <w:rFonts w:ascii="Times New Roman" w:hAnsi="Times New Roman" w:cs="Times New Roman"/>
          <w:b/>
          <w:sz w:val="24"/>
          <w:szCs w:val="24"/>
        </w:rPr>
        <w:t>Aims</w:t>
      </w:r>
      <w:r w:rsidRPr="001442FA">
        <w:rPr>
          <w:rFonts w:ascii="Times New Roman" w:hAnsi="Times New Roman" w:cs="Times New Roman"/>
          <w:b/>
          <w:sz w:val="24"/>
          <w:szCs w:val="24"/>
        </w:rPr>
        <w:t>:</w:t>
      </w:r>
    </w:p>
    <w:p w:rsidR="0009159D" w:rsidRPr="007C35F1" w:rsidRDefault="00B00F81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sz w:val="24"/>
          <w:szCs w:val="24"/>
        </w:rPr>
        <w:t>Th</w:t>
      </w:r>
      <w:r w:rsidR="008D508E" w:rsidRPr="007C35F1">
        <w:rPr>
          <w:rFonts w:ascii="Times New Roman" w:hAnsi="Times New Roman" w:cs="Times New Roman"/>
          <w:sz w:val="24"/>
          <w:szCs w:val="24"/>
        </w:rPr>
        <w:t>is</w:t>
      </w:r>
      <w:r w:rsidRPr="007C35F1">
        <w:rPr>
          <w:rFonts w:ascii="Times New Roman" w:hAnsi="Times New Roman" w:cs="Times New Roman"/>
          <w:sz w:val="24"/>
          <w:szCs w:val="24"/>
        </w:rPr>
        <w:t xml:space="preserve"> study aimed to analyse the utility of NT-</w:t>
      </w:r>
      <w:proofErr w:type="spellStart"/>
      <w:r w:rsidRPr="007C35F1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Pr="007C35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35F1">
        <w:rPr>
          <w:rFonts w:ascii="Times New Roman" w:hAnsi="Times New Roman" w:cs="Times New Roman"/>
          <w:sz w:val="24"/>
          <w:szCs w:val="24"/>
        </w:rPr>
        <w:t>hsTNT</w:t>
      </w:r>
      <w:proofErr w:type="spellEnd"/>
      <w:r w:rsidRPr="007C35F1">
        <w:rPr>
          <w:rFonts w:ascii="Times New Roman" w:hAnsi="Times New Roman" w:cs="Times New Roman"/>
          <w:sz w:val="24"/>
          <w:szCs w:val="24"/>
        </w:rPr>
        <w:t xml:space="preserve"> in screening patients with end stage renal disease (ESRD) for subclinical HF</w:t>
      </w:r>
      <w:r w:rsidRPr="007C35F1">
        <w:rPr>
          <w:rFonts w:ascii="Times New Roman" w:hAnsi="Times New Roman" w:cs="Times New Roman"/>
          <w:b/>
          <w:sz w:val="24"/>
          <w:szCs w:val="24"/>
        </w:rPr>
        <w:t>.</w:t>
      </w:r>
    </w:p>
    <w:p w:rsidR="0009159D" w:rsidRPr="007C35F1" w:rsidRDefault="0009159D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263" w:rsidRPr="007C35F1" w:rsidRDefault="000D2263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b/>
          <w:sz w:val="24"/>
          <w:szCs w:val="24"/>
        </w:rPr>
        <w:t>Methods:</w:t>
      </w:r>
    </w:p>
    <w:p w:rsidR="00B22E6A" w:rsidRPr="007C35F1" w:rsidRDefault="00813291" w:rsidP="00FB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F1">
        <w:rPr>
          <w:rFonts w:ascii="Times New Roman" w:hAnsi="Times New Roman" w:cs="Times New Roman"/>
          <w:sz w:val="24"/>
          <w:szCs w:val="24"/>
        </w:rPr>
        <w:t>This cross-sectional observational study was conducted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in patients enrolled in the Chronic Renal Insufficiency Standards Implementation Study-Haemodialysis (CRISIS-HD) who had baseline </w:t>
      </w:r>
      <w:r w:rsidR="00D7244F" w:rsidRPr="007C35F1">
        <w:rPr>
          <w:rFonts w:ascii="Times New Roman" w:hAnsi="Times New Roman" w:cs="Times New Roman"/>
          <w:sz w:val="24"/>
          <w:szCs w:val="24"/>
        </w:rPr>
        <w:t>NT-</w:t>
      </w:r>
      <w:proofErr w:type="spellStart"/>
      <w:r w:rsidR="00D7244F" w:rsidRPr="007C35F1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="00D7244F" w:rsidRPr="007C3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244F" w:rsidRPr="007C35F1">
        <w:rPr>
          <w:rFonts w:ascii="Times New Roman" w:hAnsi="Times New Roman" w:cs="Times New Roman"/>
          <w:sz w:val="24"/>
          <w:szCs w:val="24"/>
        </w:rPr>
        <w:t>hsTNT</w:t>
      </w:r>
      <w:proofErr w:type="spellEnd"/>
      <w:r w:rsidR="00D7244F" w:rsidRPr="007C35F1">
        <w:rPr>
          <w:rFonts w:ascii="Times New Roman" w:hAnsi="Times New Roman" w:cs="Times New Roman"/>
          <w:sz w:val="24"/>
          <w:szCs w:val="24"/>
        </w:rPr>
        <w:t xml:space="preserve"> and echocardiographs</w:t>
      </w:r>
      <w:r w:rsidR="00FB0109" w:rsidRPr="007C35F1">
        <w:rPr>
          <w:rFonts w:ascii="Times New Roman" w:hAnsi="Times New Roman" w:cs="Times New Roman"/>
          <w:sz w:val="24"/>
          <w:szCs w:val="24"/>
        </w:rPr>
        <w:t xml:space="preserve">. </w:t>
      </w:r>
      <w:r w:rsidR="00F80EFD" w:rsidRPr="007C35F1">
        <w:rPr>
          <w:rFonts w:ascii="Times New Roman" w:hAnsi="Times New Roman" w:cs="Times New Roman"/>
          <w:sz w:val="24"/>
          <w:szCs w:val="24"/>
        </w:rPr>
        <w:t>Data collected at baseline included demographics, c</w:t>
      </w:r>
      <w:bookmarkStart w:id="0" w:name="_GoBack"/>
      <w:bookmarkEnd w:id="0"/>
      <w:r w:rsidR="00F80EFD" w:rsidRPr="007C35F1">
        <w:rPr>
          <w:rFonts w:ascii="Times New Roman" w:hAnsi="Times New Roman" w:cs="Times New Roman"/>
          <w:sz w:val="24"/>
          <w:szCs w:val="24"/>
        </w:rPr>
        <w:t>ardiovascul</w:t>
      </w:r>
      <w:r w:rsidR="00D7244F" w:rsidRPr="007C35F1">
        <w:rPr>
          <w:rFonts w:ascii="Times New Roman" w:hAnsi="Times New Roman" w:cs="Times New Roman"/>
          <w:sz w:val="24"/>
          <w:szCs w:val="24"/>
        </w:rPr>
        <w:t>ar history, medications and echocardiographic</w:t>
      </w:r>
      <w:r w:rsidR="00F80EFD" w:rsidRPr="007C35F1">
        <w:rPr>
          <w:rFonts w:ascii="Times New Roman" w:hAnsi="Times New Roman" w:cs="Times New Roman"/>
          <w:sz w:val="24"/>
          <w:szCs w:val="24"/>
        </w:rPr>
        <w:t xml:space="preserve"> parameters. </w:t>
      </w:r>
      <w:r w:rsidR="00756C36" w:rsidRPr="007C35F1">
        <w:rPr>
          <w:rFonts w:ascii="Times New Roman" w:hAnsi="Times New Roman" w:cs="Times New Roman"/>
          <w:sz w:val="24"/>
          <w:szCs w:val="24"/>
        </w:rPr>
        <w:t xml:space="preserve">Sub-clinical HF was defined as patients </w:t>
      </w:r>
      <w:r w:rsidR="006C1BE2" w:rsidRPr="007C35F1">
        <w:rPr>
          <w:rFonts w:ascii="Times New Roman" w:hAnsi="Times New Roman" w:cs="Times New Roman"/>
          <w:sz w:val="24"/>
          <w:szCs w:val="24"/>
        </w:rPr>
        <w:t>who had minimal or no symptoms of HF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6C1BE2" w:rsidRPr="007C35F1">
        <w:rPr>
          <w:rFonts w:ascii="Times New Roman" w:hAnsi="Times New Roman" w:cs="Times New Roman"/>
          <w:sz w:val="24"/>
          <w:szCs w:val="24"/>
        </w:rPr>
        <w:t>at baseline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. </w:t>
      </w:r>
      <w:r w:rsidR="006C1BE2" w:rsidRPr="007C35F1">
        <w:rPr>
          <w:rFonts w:ascii="Times New Roman" w:hAnsi="Times New Roman" w:cs="Times New Roman"/>
          <w:sz w:val="24"/>
          <w:szCs w:val="24"/>
        </w:rPr>
        <w:t xml:space="preserve">Pearson’s correlation coefficient was used to compare the association between serum biomarkers and echocardiographic parameters. </w:t>
      </w:r>
      <w:r w:rsidR="0055436C" w:rsidRPr="007C35F1">
        <w:rPr>
          <w:rFonts w:ascii="Times New Roman" w:hAnsi="Times New Roman" w:cs="Times New Roman"/>
          <w:sz w:val="24"/>
          <w:szCs w:val="24"/>
        </w:rPr>
        <w:t xml:space="preserve">Area under the </w:t>
      </w:r>
      <w:r w:rsidR="000475C7" w:rsidRPr="007C35F1">
        <w:rPr>
          <w:rFonts w:ascii="Times New Roman" w:hAnsi="Times New Roman" w:cs="Times New Roman"/>
          <w:sz w:val="24"/>
          <w:szCs w:val="24"/>
        </w:rPr>
        <w:t>receiver operating characteristic</w:t>
      </w:r>
      <w:r w:rsidR="0055436C" w:rsidRPr="007C35F1">
        <w:rPr>
          <w:rFonts w:ascii="Times New Roman" w:hAnsi="Times New Roman" w:cs="Times New Roman"/>
          <w:sz w:val="24"/>
          <w:szCs w:val="24"/>
        </w:rPr>
        <w:t xml:space="preserve"> (AUROC) analysis ascertain</w:t>
      </w:r>
      <w:r w:rsidR="002876CA" w:rsidRPr="007C35F1">
        <w:rPr>
          <w:rFonts w:ascii="Times New Roman" w:hAnsi="Times New Roman" w:cs="Times New Roman"/>
          <w:sz w:val="24"/>
          <w:szCs w:val="24"/>
        </w:rPr>
        <w:t>ed</w:t>
      </w:r>
      <w:r w:rsidR="0055436C" w:rsidRPr="007C35F1">
        <w:rPr>
          <w:rFonts w:ascii="Times New Roman" w:hAnsi="Times New Roman" w:cs="Times New Roman"/>
          <w:sz w:val="24"/>
          <w:szCs w:val="24"/>
        </w:rPr>
        <w:t xml:space="preserve"> the diagnostic accuracy of biomarkers</w:t>
      </w:r>
      <w:r w:rsidRPr="007C35F1">
        <w:rPr>
          <w:rFonts w:ascii="Times New Roman" w:hAnsi="Times New Roman" w:cs="Times New Roman"/>
          <w:sz w:val="24"/>
          <w:szCs w:val="24"/>
        </w:rPr>
        <w:t>.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6C1BE2" w:rsidRPr="007C35F1">
        <w:rPr>
          <w:rFonts w:ascii="Times New Roman" w:hAnsi="Times New Roman" w:cs="Times New Roman"/>
          <w:sz w:val="24"/>
          <w:szCs w:val="24"/>
        </w:rPr>
        <w:t>Based on t</w:t>
      </w:r>
      <w:r w:rsidR="00DF2B69" w:rsidRPr="007C35F1">
        <w:rPr>
          <w:rFonts w:ascii="Times New Roman" w:hAnsi="Times New Roman" w:cs="Times New Roman"/>
          <w:sz w:val="24"/>
          <w:szCs w:val="24"/>
        </w:rPr>
        <w:t>he Eur</w:t>
      </w:r>
      <w:r w:rsidR="008F2758" w:rsidRPr="007C35F1">
        <w:rPr>
          <w:rFonts w:ascii="Times New Roman" w:hAnsi="Times New Roman" w:cs="Times New Roman"/>
          <w:sz w:val="24"/>
          <w:szCs w:val="24"/>
        </w:rPr>
        <w:t>o</w:t>
      </w:r>
      <w:r w:rsidR="00DF2B69" w:rsidRPr="007C35F1">
        <w:rPr>
          <w:rFonts w:ascii="Times New Roman" w:hAnsi="Times New Roman" w:cs="Times New Roman"/>
          <w:sz w:val="24"/>
          <w:szCs w:val="24"/>
        </w:rPr>
        <w:t>pean Society of Cardiologists' g</w:t>
      </w:r>
      <w:r w:rsidR="00BA5E54" w:rsidRPr="007C35F1">
        <w:rPr>
          <w:rFonts w:ascii="Times New Roman" w:hAnsi="Times New Roman" w:cs="Times New Roman"/>
          <w:sz w:val="24"/>
          <w:szCs w:val="24"/>
        </w:rPr>
        <w:t>uidelines</w:t>
      </w:r>
      <w:r w:rsidR="006C1BE2" w:rsidRPr="007C35F1">
        <w:rPr>
          <w:rFonts w:ascii="Times New Roman" w:hAnsi="Times New Roman" w:cs="Times New Roman"/>
          <w:sz w:val="24"/>
          <w:szCs w:val="24"/>
        </w:rPr>
        <w:t>,</w:t>
      </w:r>
      <w:r w:rsidR="00C90BB1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6C1BE2" w:rsidRPr="007C35F1">
        <w:rPr>
          <w:rFonts w:ascii="Times New Roman" w:hAnsi="Times New Roman" w:cs="Times New Roman"/>
          <w:sz w:val="24"/>
          <w:szCs w:val="24"/>
        </w:rPr>
        <w:t>the cohort was split into three groups and analysed (</w:t>
      </w:r>
      <w:proofErr w:type="spellStart"/>
      <w:r w:rsidR="006C1BE2" w:rsidRPr="007C35F1">
        <w:rPr>
          <w:rFonts w:ascii="Times New Roman" w:hAnsi="Times New Roman" w:cs="Times New Roman"/>
          <w:sz w:val="24"/>
          <w:szCs w:val="24"/>
        </w:rPr>
        <w:t>NTproBNP</w:t>
      </w:r>
      <w:proofErr w:type="spellEnd"/>
      <w:r w:rsidR="006C1BE2" w:rsidRPr="007C35F1">
        <w:rPr>
          <w:rFonts w:ascii="Times New Roman" w:hAnsi="Times New Roman" w:cs="Times New Roman"/>
          <w:sz w:val="24"/>
          <w:szCs w:val="24"/>
        </w:rPr>
        <w:t>&lt;125pg/ml as normal</w:t>
      </w:r>
      <w:r w:rsidR="00822224" w:rsidRPr="007C35F1">
        <w:rPr>
          <w:rFonts w:ascii="Times New Roman" w:hAnsi="Times New Roman" w:cs="Times New Roman"/>
          <w:sz w:val="24"/>
          <w:szCs w:val="24"/>
        </w:rPr>
        <w:t xml:space="preserve">, </w:t>
      </w:r>
      <w:r w:rsidR="00756C36" w:rsidRPr="007C35F1">
        <w:rPr>
          <w:rFonts w:ascii="Times New Roman" w:hAnsi="Times New Roman" w:cs="Times New Roman"/>
          <w:sz w:val="24"/>
          <w:szCs w:val="24"/>
        </w:rPr>
        <w:t xml:space="preserve">&gt;125pg/l </w:t>
      </w:r>
      <w:r w:rsidR="006C1BE2" w:rsidRPr="007C35F1">
        <w:rPr>
          <w:rFonts w:ascii="Times New Roman" w:hAnsi="Times New Roman" w:cs="Times New Roman"/>
          <w:sz w:val="24"/>
          <w:szCs w:val="24"/>
        </w:rPr>
        <w:t>as</w:t>
      </w:r>
      <w:r w:rsidR="00822224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756C36" w:rsidRPr="007C35F1">
        <w:rPr>
          <w:rFonts w:ascii="Times New Roman" w:hAnsi="Times New Roman" w:cs="Times New Roman"/>
          <w:sz w:val="24"/>
          <w:szCs w:val="24"/>
        </w:rPr>
        <w:t>abnormal</w:t>
      </w:r>
      <w:r w:rsidR="006C1BE2" w:rsidRPr="007C35F1">
        <w:rPr>
          <w:rFonts w:ascii="Times New Roman" w:hAnsi="Times New Roman" w:cs="Times New Roman"/>
          <w:sz w:val="24"/>
          <w:szCs w:val="24"/>
        </w:rPr>
        <w:t>,</w:t>
      </w:r>
      <w:r w:rsidR="00756C36" w:rsidRPr="007C35F1">
        <w:rPr>
          <w:rFonts w:ascii="Times New Roman" w:hAnsi="Times New Roman" w:cs="Times New Roman"/>
          <w:sz w:val="24"/>
          <w:szCs w:val="24"/>
        </w:rPr>
        <w:t xml:space="preserve"> and&gt;400pg/l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as</w:t>
      </w:r>
      <w:r w:rsidR="00756C36" w:rsidRPr="007C35F1">
        <w:rPr>
          <w:rFonts w:ascii="Times New Roman" w:hAnsi="Times New Roman" w:cs="Times New Roman"/>
          <w:sz w:val="24"/>
          <w:szCs w:val="24"/>
        </w:rPr>
        <w:t xml:space="preserve"> requir</w:t>
      </w:r>
      <w:r w:rsidR="006C1BE2" w:rsidRPr="007C35F1">
        <w:rPr>
          <w:rFonts w:ascii="Times New Roman" w:hAnsi="Times New Roman" w:cs="Times New Roman"/>
          <w:sz w:val="24"/>
          <w:szCs w:val="24"/>
        </w:rPr>
        <w:t>ing</w:t>
      </w:r>
      <w:r w:rsidR="00822224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756C36" w:rsidRPr="007C35F1">
        <w:rPr>
          <w:rFonts w:ascii="Times New Roman" w:hAnsi="Times New Roman" w:cs="Times New Roman"/>
          <w:sz w:val="24"/>
          <w:szCs w:val="24"/>
        </w:rPr>
        <w:t>secondary care</w:t>
      </w:r>
      <w:r w:rsidR="006C1BE2" w:rsidRPr="007C35F1">
        <w:rPr>
          <w:rFonts w:ascii="Times New Roman" w:hAnsi="Times New Roman" w:cs="Times New Roman"/>
          <w:sz w:val="24"/>
          <w:szCs w:val="24"/>
        </w:rPr>
        <w:t xml:space="preserve"> referral)</w:t>
      </w:r>
      <w:r w:rsidR="00BA5E54" w:rsidRPr="007C35F1">
        <w:rPr>
          <w:rFonts w:ascii="Times New Roman" w:hAnsi="Times New Roman" w:cs="Times New Roman"/>
          <w:sz w:val="24"/>
          <w:szCs w:val="24"/>
        </w:rPr>
        <w:t xml:space="preserve">. </w:t>
      </w:r>
      <w:r w:rsidR="00045EBC" w:rsidRPr="007C35F1">
        <w:rPr>
          <w:rFonts w:ascii="Times New Roman" w:hAnsi="Times New Roman" w:cs="Times New Roman"/>
          <w:sz w:val="24"/>
          <w:szCs w:val="24"/>
        </w:rPr>
        <w:t xml:space="preserve">Any </w:t>
      </w:r>
      <w:proofErr w:type="spellStart"/>
      <w:r w:rsidR="00045EBC" w:rsidRPr="007C35F1">
        <w:rPr>
          <w:rFonts w:ascii="Times New Roman" w:hAnsi="Times New Roman" w:cs="Times New Roman"/>
          <w:sz w:val="24"/>
          <w:szCs w:val="24"/>
        </w:rPr>
        <w:t>HsTNT</w:t>
      </w:r>
      <w:proofErr w:type="spellEnd"/>
      <w:r w:rsidR="00045EBC" w:rsidRPr="007C35F1">
        <w:rPr>
          <w:rFonts w:ascii="Times New Roman" w:hAnsi="Times New Roman" w:cs="Times New Roman"/>
          <w:sz w:val="24"/>
          <w:szCs w:val="24"/>
        </w:rPr>
        <w:t xml:space="preserve"> value &gt;14pg/l was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considered to be</w:t>
      </w:r>
      <w:r w:rsidR="00045EBC" w:rsidRPr="007C35F1">
        <w:rPr>
          <w:rFonts w:ascii="Times New Roman" w:hAnsi="Times New Roman" w:cs="Times New Roman"/>
          <w:sz w:val="24"/>
          <w:szCs w:val="24"/>
        </w:rPr>
        <w:t xml:space="preserve"> abnormal.</w:t>
      </w:r>
    </w:p>
    <w:p w:rsidR="00FB0109" w:rsidRPr="007C35F1" w:rsidRDefault="00FB0109" w:rsidP="00FB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63" w:rsidRPr="007C35F1" w:rsidRDefault="000D2263" w:rsidP="000D2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b/>
          <w:sz w:val="24"/>
          <w:szCs w:val="24"/>
        </w:rPr>
        <w:t>Results:</w:t>
      </w:r>
    </w:p>
    <w:p w:rsidR="0002639F" w:rsidRPr="007C35F1" w:rsidRDefault="00E047D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F1">
        <w:rPr>
          <w:rFonts w:ascii="Times New Roman" w:hAnsi="Times New Roman" w:cs="Times New Roman"/>
          <w:sz w:val="24"/>
          <w:szCs w:val="24"/>
        </w:rPr>
        <w:t>175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Pr="007C35F1">
        <w:rPr>
          <w:rFonts w:ascii="Times New Roman" w:hAnsi="Times New Roman" w:cs="Times New Roman"/>
          <w:sz w:val="24"/>
          <w:szCs w:val="24"/>
        </w:rPr>
        <w:t>of 287 patients from CRISIS-HD had</w:t>
      </w:r>
      <w:r w:rsidR="00813291" w:rsidRPr="007C35F1">
        <w:rPr>
          <w:rFonts w:ascii="Times New Roman" w:hAnsi="Times New Roman" w:cs="Times New Roman"/>
          <w:sz w:val="24"/>
          <w:szCs w:val="24"/>
        </w:rPr>
        <w:t xml:space="preserve"> biomarkers and</w:t>
      </w:r>
      <w:r w:rsidR="00D7244F" w:rsidRPr="007C35F1">
        <w:rPr>
          <w:rFonts w:ascii="Times New Roman" w:hAnsi="Times New Roman" w:cs="Times New Roman"/>
          <w:sz w:val="24"/>
          <w:szCs w:val="24"/>
        </w:rPr>
        <w:t xml:space="preserve"> echocardiograph</w:t>
      </w:r>
      <w:r w:rsidR="002876CA" w:rsidRPr="007C35F1">
        <w:rPr>
          <w:rFonts w:ascii="Times New Roman" w:hAnsi="Times New Roman" w:cs="Times New Roman"/>
          <w:sz w:val="24"/>
          <w:szCs w:val="24"/>
        </w:rPr>
        <w:t>ic</w:t>
      </w:r>
      <w:r w:rsidR="00813291" w:rsidRPr="007C35F1">
        <w:rPr>
          <w:rFonts w:ascii="Times New Roman" w:hAnsi="Times New Roman" w:cs="Times New Roman"/>
          <w:sz w:val="24"/>
          <w:szCs w:val="24"/>
        </w:rPr>
        <w:t xml:space="preserve"> results</w:t>
      </w:r>
      <w:r w:rsidRPr="007C35F1">
        <w:rPr>
          <w:rFonts w:ascii="Times New Roman" w:hAnsi="Times New Roman" w:cs="Times New Roman"/>
          <w:sz w:val="24"/>
          <w:szCs w:val="24"/>
        </w:rPr>
        <w:t xml:space="preserve"> at 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baseline </w:t>
      </w:r>
      <w:r w:rsidRPr="007C35F1">
        <w:rPr>
          <w:rFonts w:ascii="Times New Roman" w:hAnsi="Times New Roman" w:cs="Times New Roman"/>
          <w:sz w:val="24"/>
          <w:szCs w:val="24"/>
        </w:rPr>
        <w:t>recruitment</w:t>
      </w:r>
      <w:r w:rsidR="00813291" w:rsidRPr="007C35F1">
        <w:rPr>
          <w:rFonts w:ascii="Times New Roman" w:hAnsi="Times New Roman" w:cs="Times New Roman"/>
          <w:sz w:val="24"/>
          <w:szCs w:val="24"/>
        </w:rPr>
        <w:t>.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The m</w:t>
      </w:r>
      <w:r w:rsidR="00813291" w:rsidRPr="007C35F1">
        <w:rPr>
          <w:rFonts w:ascii="Times New Roman" w:hAnsi="Times New Roman" w:cs="Times New Roman"/>
          <w:sz w:val="24"/>
          <w:szCs w:val="24"/>
        </w:rPr>
        <w:t>ean age of our cohort was 62 years with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the</w:t>
      </w:r>
      <w:r w:rsidR="00813291" w:rsidRPr="007C35F1">
        <w:rPr>
          <w:rFonts w:ascii="Times New Roman" w:hAnsi="Times New Roman" w:cs="Times New Roman"/>
          <w:sz w:val="24"/>
          <w:szCs w:val="24"/>
        </w:rPr>
        <w:t xml:space="preserve"> majority (73%) being males. Mean blood pressure was 140/70</w:t>
      </w:r>
      <w:r w:rsidR="00D7244F" w:rsidRPr="007C35F1">
        <w:rPr>
          <w:rFonts w:ascii="Times New Roman" w:hAnsi="Times New Roman" w:cs="Times New Roman"/>
          <w:sz w:val="24"/>
          <w:szCs w:val="24"/>
        </w:rPr>
        <w:t>mmHg</w:t>
      </w:r>
      <w:r w:rsidR="00813291" w:rsidRPr="007C35F1">
        <w:rPr>
          <w:rFonts w:ascii="Times New Roman" w:hAnsi="Times New Roman" w:cs="Times New Roman"/>
          <w:sz w:val="24"/>
          <w:szCs w:val="24"/>
        </w:rPr>
        <w:t>. 24.6% had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a</w:t>
      </w:r>
      <w:r w:rsidR="00813291" w:rsidRPr="007C35F1">
        <w:rPr>
          <w:rFonts w:ascii="Times New Roman" w:hAnsi="Times New Roman" w:cs="Times New Roman"/>
          <w:sz w:val="24"/>
          <w:szCs w:val="24"/>
        </w:rPr>
        <w:t xml:space="preserve"> history of ischemic heart disease with 14.3% having congestive cardiac failure.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02639F" w:rsidRPr="007C35F1">
        <w:rPr>
          <w:rFonts w:ascii="Times New Roman" w:hAnsi="Times New Roman" w:cs="Times New Roman"/>
          <w:sz w:val="24"/>
          <w:szCs w:val="24"/>
        </w:rPr>
        <w:t>87%</w:t>
      </w:r>
      <w:r w:rsidR="00822224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02639F" w:rsidRPr="007C35F1">
        <w:rPr>
          <w:rFonts w:ascii="Times New Roman" w:hAnsi="Times New Roman" w:cs="Times New Roman"/>
          <w:sz w:val="24"/>
          <w:szCs w:val="24"/>
        </w:rPr>
        <w:t xml:space="preserve">had some form of </w:t>
      </w:r>
      <w:r w:rsidR="006752BD" w:rsidRPr="007C35F1">
        <w:rPr>
          <w:rFonts w:ascii="Times New Roman" w:hAnsi="Times New Roman" w:cs="Times New Roman"/>
          <w:sz w:val="24"/>
          <w:szCs w:val="24"/>
        </w:rPr>
        <w:t>echocardiograph</w:t>
      </w:r>
      <w:r w:rsidR="00B50FFC" w:rsidRPr="007C35F1">
        <w:rPr>
          <w:rFonts w:ascii="Times New Roman" w:hAnsi="Times New Roman" w:cs="Times New Roman"/>
          <w:sz w:val="24"/>
          <w:szCs w:val="24"/>
        </w:rPr>
        <w:t xml:space="preserve"> abnormality</w:t>
      </w:r>
      <w:r w:rsidR="0002639F" w:rsidRPr="007C35F1">
        <w:rPr>
          <w:rFonts w:ascii="Times New Roman" w:hAnsi="Times New Roman" w:cs="Times New Roman"/>
          <w:sz w:val="24"/>
          <w:szCs w:val="24"/>
        </w:rPr>
        <w:t xml:space="preserve"> at baseline. By Pearson’s correlation analysis, </w:t>
      </w:r>
      <w:proofErr w:type="spellStart"/>
      <w:r w:rsidR="009E1A70" w:rsidRPr="007C35F1">
        <w:rPr>
          <w:rFonts w:ascii="Times New Roman" w:hAnsi="Times New Roman" w:cs="Times New Roman"/>
          <w:sz w:val="24"/>
          <w:szCs w:val="24"/>
        </w:rPr>
        <w:t>NTproBNP</w:t>
      </w:r>
      <w:proofErr w:type="spellEnd"/>
      <w:r w:rsidR="009E1A70" w:rsidRPr="007C35F1">
        <w:rPr>
          <w:rFonts w:ascii="Times New Roman" w:hAnsi="Times New Roman" w:cs="Times New Roman"/>
          <w:sz w:val="24"/>
          <w:szCs w:val="24"/>
        </w:rPr>
        <w:t xml:space="preserve"> showed </w:t>
      </w:r>
      <w:r w:rsidR="001823DD" w:rsidRPr="007C35F1">
        <w:rPr>
          <w:rFonts w:ascii="Times New Roman" w:hAnsi="Times New Roman" w:cs="Times New Roman"/>
          <w:sz w:val="24"/>
          <w:szCs w:val="24"/>
        </w:rPr>
        <w:t xml:space="preserve">positive </w:t>
      </w:r>
      <w:r w:rsidRPr="007C35F1">
        <w:rPr>
          <w:rFonts w:ascii="Times New Roman" w:hAnsi="Times New Roman" w:cs="Times New Roman"/>
          <w:sz w:val="24"/>
          <w:szCs w:val="24"/>
        </w:rPr>
        <w:t xml:space="preserve">correlation with </w:t>
      </w:r>
      <w:r w:rsidR="009056A3" w:rsidRPr="007C35F1">
        <w:rPr>
          <w:rFonts w:ascii="Times New Roman" w:hAnsi="Times New Roman" w:cs="Times New Roman"/>
          <w:sz w:val="24"/>
          <w:szCs w:val="24"/>
        </w:rPr>
        <w:t xml:space="preserve">echocardiograph </w:t>
      </w:r>
      <w:r w:rsidRPr="007C35F1">
        <w:rPr>
          <w:rFonts w:ascii="Times New Roman" w:hAnsi="Times New Roman" w:cs="Times New Roman"/>
          <w:sz w:val="24"/>
          <w:szCs w:val="24"/>
        </w:rPr>
        <w:t>parameters includin</w:t>
      </w:r>
      <w:r w:rsidR="00045EBC" w:rsidRPr="007C35F1">
        <w:rPr>
          <w:rFonts w:ascii="Times New Roman" w:hAnsi="Times New Roman" w:cs="Times New Roman"/>
          <w:sz w:val="24"/>
          <w:szCs w:val="24"/>
        </w:rPr>
        <w:t>g</w:t>
      </w:r>
      <w:r w:rsidRPr="007C35F1">
        <w:rPr>
          <w:rFonts w:ascii="Times New Roman" w:hAnsi="Times New Roman" w:cs="Times New Roman"/>
          <w:sz w:val="24"/>
          <w:szCs w:val="24"/>
        </w:rPr>
        <w:t xml:space="preserve"> global longitudinal stain</w:t>
      </w:r>
      <w:r w:rsidR="00045EBC" w:rsidRPr="007C35F1">
        <w:rPr>
          <w:rFonts w:ascii="Times New Roman" w:hAnsi="Times New Roman" w:cs="Times New Roman"/>
          <w:sz w:val="24"/>
          <w:szCs w:val="24"/>
        </w:rPr>
        <w:t xml:space="preserve"> (GLS)</w:t>
      </w:r>
      <w:r w:rsidRPr="007C35F1">
        <w:rPr>
          <w:rFonts w:ascii="Times New Roman" w:hAnsi="Times New Roman" w:cs="Times New Roman"/>
          <w:sz w:val="24"/>
          <w:szCs w:val="24"/>
        </w:rPr>
        <w:t xml:space="preserve"> and </w:t>
      </w:r>
      <w:r w:rsidR="00045EBC" w:rsidRPr="007C35F1">
        <w:rPr>
          <w:rFonts w:ascii="Times New Roman" w:hAnsi="Times New Roman" w:cs="Times New Roman"/>
          <w:sz w:val="24"/>
          <w:szCs w:val="24"/>
        </w:rPr>
        <w:t>dias</w:t>
      </w:r>
      <w:r w:rsidR="008F2758" w:rsidRPr="007C35F1">
        <w:rPr>
          <w:rFonts w:ascii="Times New Roman" w:hAnsi="Times New Roman" w:cs="Times New Roman"/>
          <w:sz w:val="24"/>
          <w:szCs w:val="24"/>
        </w:rPr>
        <w:t>tolic dysfunction (E/E’)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1823DD" w:rsidRPr="007C35F1">
        <w:rPr>
          <w:rFonts w:ascii="Times New Roman" w:hAnsi="Times New Roman" w:cs="Times New Roman"/>
          <w:sz w:val="24"/>
          <w:szCs w:val="24"/>
        </w:rPr>
        <w:t>and a negative correlation with biplane ejection fraction (EF)</w:t>
      </w:r>
      <w:r w:rsidR="000475C7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D15060" w:rsidRPr="007C35F1">
        <w:rPr>
          <w:rFonts w:ascii="Times New Roman" w:hAnsi="Times New Roman" w:cs="Times New Roman"/>
          <w:sz w:val="24"/>
          <w:szCs w:val="24"/>
        </w:rPr>
        <w:t>(p&lt;0.05</w:t>
      </w:r>
      <w:r w:rsidR="00045EBC" w:rsidRPr="007C35F1">
        <w:rPr>
          <w:rFonts w:ascii="Times New Roman" w:hAnsi="Times New Roman" w:cs="Times New Roman"/>
          <w:sz w:val="24"/>
          <w:szCs w:val="24"/>
        </w:rPr>
        <w:t>)</w:t>
      </w:r>
      <w:r w:rsidR="0002639F" w:rsidRPr="007C35F1">
        <w:rPr>
          <w:rFonts w:ascii="Times New Roman" w:hAnsi="Times New Roman" w:cs="Times New Roman"/>
          <w:sz w:val="24"/>
          <w:szCs w:val="24"/>
        </w:rPr>
        <w:t xml:space="preserve">. </w:t>
      </w:r>
      <w:r w:rsidR="00045EBC" w:rsidRPr="007C35F1">
        <w:rPr>
          <w:rFonts w:ascii="Times New Roman" w:hAnsi="Times New Roman" w:cs="Times New Roman"/>
          <w:sz w:val="24"/>
          <w:szCs w:val="24"/>
        </w:rPr>
        <w:t>Similar correlation</w:t>
      </w:r>
      <w:r w:rsidR="001823DD" w:rsidRPr="007C35F1">
        <w:rPr>
          <w:rFonts w:ascii="Times New Roman" w:hAnsi="Times New Roman" w:cs="Times New Roman"/>
          <w:sz w:val="24"/>
          <w:szCs w:val="24"/>
        </w:rPr>
        <w:t>s were</w:t>
      </w:r>
      <w:r w:rsidR="00045EBC" w:rsidRPr="007C35F1">
        <w:rPr>
          <w:rFonts w:ascii="Times New Roman" w:hAnsi="Times New Roman" w:cs="Times New Roman"/>
          <w:sz w:val="24"/>
          <w:szCs w:val="24"/>
        </w:rPr>
        <w:t xml:space="preserve"> not observed with </w:t>
      </w:r>
      <w:proofErr w:type="spellStart"/>
      <w:r w:rsidR="00045EBC" w:rsidRPr="007C35F1">
        <w:rPr>
          <w:rFonts w:ascii="Times New Roman" w:hAnsi="Times New Roman" w:cs="Times New Roman"/>
          <w:sz w:val="24"/>
          <w:szCs w:val="24"/>
        </w:rPr>
        <w:t>hsTNT</w:t>
      </w:r>
      <w:proofErr w:type="spellEnd"/>
      <w:r w:rsidR="00045EBC" w:rsidRPr="007C35F1">
        <w:rPr>
          <w:rFonts w:ascii="Times New Roman" w:hAnsi="Times New Roman" w:cs="Times New Roman"/>
          <w:sz w:val="24"/>
          <w:szCs w:val="24"/>
        </w:rPr>
        <w:t>.</w:t>
      </w:r>
      <w:r w:rsidR="00373FD3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However, </w:t>
      </w:r>
      <w:r w:rsidR="008A25F5" w:rsidRPr="007C35F1">
        <w:rPr>
          <w:rFonts w:ascii="Times New Roman" w:hAnsi="Times New Roman" w:cs="Times New Roman"/>
          <w:sz w:val="24"/>
          <w:szCs w:val="24"/>
        </w:rPr>
        <w:t>AUROC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and sensitivity</w:t>
      </w:r>
      <w:r w:rsidR="008A25F5" w:rsidRPr="007C35F1">
        <w:rPr>
          <w:rFonts w:ascii="Times New Roman" w:hAnsi="Times New Roman" w:cs="Times New Roman"/>
          <w:sz w:val="24"/>
          <w:szCs w:val="24"/>
        </w:rPr>
        <w:t xml:space="preserve"> analysis showed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that</w:t>
      </w:r>
      <w:r w:rsidR="008A25F5" w:rsidRPr="007C35F1">
        <w:rPr>
          <w:rFonts w:ascii="Times New Roman" w:hAnsi="Times New Roman" w:cs="Times New Roman"/>
          <w:sz w:val="24"/>
          <w:szCs w:val="24"/>
        </w:rPr>
        <w:t xml:space="preserve"> both biomarkers had limited role in 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the </w:t>
      </w:r>
      <w:r w:rsidR="008A25F5" w:rsidRPr="007C35F1">
        <w:rPr>
          <w:rFonts w:ascii="Times New Roman" w:hAnsi="Times New Roman" w:cs="Times New Roman"/>
          <w:sz w:val="24"/>
          <w:szCs w:val="24"/>
        </w:rPr>
        <w:t>screening of patients with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sub-clinical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6752BD" w:rsidRPr="007C35F1">
        <w:rPr>
          <w:rFonts w:ascii="Times New Roman" w:hAnsi="Times New Roman" w:cs="Times New Roman"/>
          <w:sz w:val="24"/>
          <w:szCs w:val="24"/>
        </w:rPr>
        <w:t xml:space="preserve">HF </w:t>
      </w:r>
      <w:r w:rsidR="000D2263" w:rsidRPr="007C35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2263" w:rsidRPr="007C35F1">
        <w:rPr>
          <w:rFonts w:ascii="Times New Roman" w:hAnsi="Times New Roman" w:cs="Times New Roman"/>
          <w:sz w:val="24"/>
          <w:szCs w:val="24"/>
        </w:rPr>
        <w:t>NTproBNP</w:t>
      </w:r>
      <w:proofErr w:type="spellEnd"/>
      <w:r w:rsidR="000D2263" w:rsidRPr="007C35F1">
        <w:rPr>
          <w:rFonts w:ascii="Times New Roman" w:hAnsi="Times New Roman" w:cs="Times New Roman"/>
          <w:sz w:val="24"/>
          <w:szCs w:val="24"/>
        </w:rPr>
        <w:t xml:space="preserve">&gt;125pg/l: 0.54, </w:t>
      </w:r>
      <w:proofErr w:type="spellStart"/>
      <w:r w:rsidR="000D2263" w:rsidRPr="007C35F1">
        <w:rPr>
          <w:rFonts w:ascii="Times New Roman" w:hAnsi="Times New Roman" w:cs="Times New Roman"/>
          <w:sz w:val="24"/>
          <w:szCs w:val="24"/>
        </w:rPr>
        <w:t>NTproBNP</w:t>
      </w:r>
      <w:proofErr w:type="spellEnd"/>
      <w:r w:rsidR="000D2263" w:rsidRPr="007C35F1">
        <w:rPr>
          <w:rFonts w:ascii="Times New Roman" w:hAnsi="Times New Roman" w:cs="Times New Roman"/>
          <w:sz w:val="24"/>
          <w:szCs w:val="24"/>
        </w:rPr>
        <w:t>&gt;400pg/l: 0.42 and</w:t>
      </w:r>
      <w:r w:rsidR="0022723A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315EA1" w:rsidRPr="007C35F1">
        <w:rPr>
          <w:rFonts w:ascii="Times New Roman" w:hAnsi="Times New Roman" w:cs="Times New Roman"/>
          <w:sz w:val="24"/>
          <w:szCs w:val="24"/>
        </w:rPr>
        <w:t>Troponin T &gt;14ng/l: 0.537)</w:t>
      </w:r>
      <w:r w:rsidR="000475C7" w:rsidRPr="007C35F1">
        <w:rPr>
          <w:rFonts w:ascii="Times New Roman" w:hAnsi="Times New Roman" w:cs="Times New Roman"/>
          <w:sz w:val="24"/>
          <w:szCs w:val="24"/>
        </w:rPr>
        <w:t xml:space="preserve"> </w:t>
      </w:r>
      <w:r w:rsidR="00315EA1" w:rsidRPr="007C35F1">
        <w:rPr>
          <w:rFonts w:ascii="Times New Roman" w:hAnsi="Times New Roman" w:cs="Times New Roman"/>
          <w:sz w:val="24"/>
          <w:szCs w:val="24"/>
        </w:rPr>
        <w:t xml:space="preserve">(Figure </w:t>
      </w:r>
      <w:r w:rsidR="008A25F5" w:rsidRPr="007C35F1">
        <w:rPr>
          <w:rFonts w:ascii="Times New Roman" w:hAnsi="Times New Roman" w:cs="Times New Roman"/>
          <w:sz w:val="24"/>
          <w:szCs w:val="24"/>
        </w:rPr>
        <w:t>1).</w:t>
      </w:r>
      <w:r w:rsidR="0002639F" w:rsidRPr="007C35F1">
        <w:rPr>
          <w:rFonts w:ascii="Times New Roman" w:hAnsi="Times New Roman" w:cs="Times New Roman"/>
          <w:sz w:val="24"/>
          <w:szCs w:val="24"/>
        </w:rPr>
        <w:t xml:space="preserve"> The sensitivity and specificity of the serum biomarkers in screening</w:t>
      </w:r>
      <w:r w:rsidR="002876CA" w:rsidRPr="007C35F1">
        <w:rPr>
          <w:rFonts w:ascii="Times New Roman" w:hAnsi="Times New Roman" w:cs="Times New Roman"/>
          <w:sz w:val="24"/>
          <w:szCs w:val="24"/>
        </w:rPr>
        <w:t xml:space="preserve"> for sub-</w:t>
      </w:r>
      <w:r w:rsidR="0002639F" w:rsidRPr="007C35F1">
        <w:rPr>
          <w:rFonts w:ascii="Times New Roman" w:hAnsi="Times New Roman" w:cs="Times New Roman"/>
          <w:sz w:val="24"/>
          <w:szCs w:val="24"/>
        </w:rPr>
        <w:t xml:space="preserve">clinical </w:t>
      </w:r>
      <w:r w:rsidR="006752BD" w:rsidRPr="007C35F1">
        <w:rPr>
          <w:rFonts w:ascii="Times New Roman" w:hAnsi="Times New Roman" w:cs="Times New Roman"/>
          <w:sz w:val="24"/>
          <w:szCs w:val="24"/>
        </w:rPr>
        <w:t>HF</w:t>
      </w:r>
      <w:r w:rsidR="00315EA1" w:rsidRPr="007C35F1">
        <w:rPr>
          <w:rFonts w:ascii="Times New Roman" w:hAnsi="Times New Roman" w:cs="Times New Roman"/>
          <w:sz w:val="24"/>
          <w:szCs w:val="24"/>
        </w:rPr>
        <w:t xml:space="preserve"> is illustrated in Table </w:t>
      </w:r>
      <w:r w:rsidR="0002639F" w:rsidRPr="007C35F1">
        <w:rPr>
          <w:rFonts w:ascii="Times New Roman" w:hAnsi="Times New Roman" w:cs="Times New Roman"/>
          <w:sz w:val="24"/>
          <w:szCs w:val="24"/>
        </w:rPr>
        <w:t>1</w:t>
      </w:r>
      <w:r w:rsidR="008F2758" w:rsidRPr="007C35F1">
        <w:rPr>
          <w:rFonts w:ascii="Times New Roman" w:hAnsi="Times New Roman" w:cs="Times New Roman"/>
          <w:sz w:val="24"/>
          <w:szCs w:val="24"/>
        </w:rPr>
        <w:t>.</w:t>
      </w:r>
    </w:p>
    <w:p w:rsidR="00D50B83" w:rsidRPr="007C35F1" w:rsidRDefault="00D50B8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C7" w:rsidRPr="007C35F1" w:rsidRDefault="000475C7" w:rsidP="0004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F1">
        <w:rPr>
          <w:rFonts w:ascii="Times New Roman" w:hAnsi="Times New Roman" w:cs="Times New Roman"/>
          <w:b/>
          <w:sz w:val="24"/>
          <w:szCs w:val="24"/>
        </w:rPr>
        <w:t>Conclusions:</w:t>
      </w:r>
    </w:p>
    <w:p w:rsidR="000475C7" w:rsidRPr="007C35F1" w:rsidRDefault="000475C7" w:rsidP="0004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F1">
        <w:rPr>
          <w:rFonts w:ascii="Times New Roman" w:hAnsi="Times New Roman" w:cs="Times New Roman"/>
          <w:sz w:val="24"/>
          <w:szCs w:val="24"/>
        </w:rPr>
        <w:t xml:space="preserve">The serum cardiac biomarkers </w:t>
      </w:r>
      <w:proofErr w:type="spellStart"/>
      <w:r w:rsidRPr="007C35F1">
        <w:rPr>
          <w:rFonts w:ascii="Times New Roman" w:hAnsi="Times New Roman" w:cs="Times New Roman"/>
          <w:sz w:val="24"/>
          <w:szCs w:val="24"/>
        </w:rPr>
        <w:t>NTproBNP</w:t>
      </w:r>
      <w:proofErr w:type="spellEnd"/>
      <w:r w:rsidRPr="007C35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35F1">
        <w:rPr>
          <w:rFonts w:ascii="Times New Roman" w:hAnsi="Times New Roman" w:cs="Times New Roman"/>
          <w:sz w:val="24"/>
          <w:szCs w:val="24"/>
        </w:rPr>
        <w:t>hsTNT</w:t>
      </w:r>
      <w:proofErr w:type="spellEnd"/>
      <w:r w:rsidRPr="007C35F1">
        <w:rPr>
          <w:rFonts w:ascii="Times New Roman" w:hAnsi="Times New Roman" w:cs="Times New Roman"/>
          <w:sz w:val="24"/>
          <w:szCs w:val="24"/>
        </w:rPr>
        <w:t xml:space="preserve"> had limited utility in screening for subclinical HF in ESRD patients. Caution must be observed when using these biomarkers in this group of patients.</w:t>
      </w:r>
    </w:p>
    <w:p w:rsidR="00D50B83" w:rsidRDefault="00D50B8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B83" w:rsidRDefault="00D50B8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B83" w:rsidRDefault="00D50B8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45C8" w:rsidRDefault="008645C8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75C7" w:rsidRPr="008645C8" w:rsidRDefault="000475C7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645C8">
        <w:rPr>
          <w:rFonts w:ascii="Times New Roman" w:hAnsi="Times New Roman" w:cs="Times New Roman"/>
          <w:b/>
        </w:rPr>
        <w:lastRenderedPageBreak/>
        <w:t>Figure-1: ROC comparing serum biomarkers as tools to predict HF</w:t>
      </w:r>
    </w:p>
    <w:p w:rsidR="00D50B83" w:rsidRDefault="00D50B83" w:rsidP="0028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5EA1" w:rsidRPr="00DF2B69" w:rsidRDefault="00315EA1" w:rsidP="00315EA1">
      <w:pPr>
        <w:pStyle w:val="xmsonormal"/>
        <w:rPr>
          <w:sz w:val="22"/>
          <w:szCs w:val="22"/>
        </w:rPr>
      </w:pPr>
      <w:r w:rsidRPr="00DF2B69">
        <w:rPr>
          <w:noProof/>
        </w:rPr>
        <w:drawing>
          <wp:inline distT="0" distB="0" distL="0" distR="0">
            <wp:extent cx="5730944" cy="3082705"/>
            <wp:effectExtent l="0" t="0" r="3175" b="381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5C7" w:rsidRPr="000475C7" w:rsidRDefault="000475C7" w:rsidP="0004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75C7">
        <w:rPr>
          <w:rFonts w:ascii="Times New Roman" w:hAnsi="Times New Roman" w:cs="Times New Roman"/>
          <w:b/>
        </w:rPr>
        <w:t>Table 1: Sensitivity and specificity of the serum biomarkers at screening HF</w:t>
      </w:r>
    </w:p>
    <w:p w:rsidR="00315EA1" w:rsidRDefault="00315EA1" w:rsidP="00315EA1">
      <w:pPr>
        <w:pStyle w:val="xmsonormal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75C7" w:rsidTr="000475C7"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Biomarker</w:t>
            </w:r>
          </w:p>
        </w:tc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rPr>
                <w:b/>
                <w:bCs/>
              </w:rPr>
              <w:t>Sensitivity (%)</w:t>
            </w:r>
          </w:p>
        </w:tc>
        <w:tc>
          <w:tcPr>
            <w:tcW w:w="3006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rPr>
                <w:b/>
                <w:bCs/>
              </w:rPr>
              <w:t>Specificity (%)</w:t>
            </w:r>
          </w:p>
        </w:tc>
      </w:tr>
      <w:tr w:rsidR="000475C7" w:rsidTr="000475C7">
        <w:tc>
          <w:tcPr>
            <w:tcW w:w="3005" w:type="dxa"/>
          </w:tcPr>
          <w:p w:rsidR="000475C7" w:rsidRPr="007C35F1" w:rsidRDefault="000475C7" w:rsidP="00047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C35F1">
              <w:rPr>
                <w:rFonts w:ascii="Times New Roman" w:hAnsi="Times New Roman" w:cs="Times New Roman"/>
                <w:sz w:val="24"/>
                <w:szCs w:val="24"/>
              </w:rPr>
              <w:t>NTproBNP</w:t>
            </w:r>
            <w:proofErr w:type="spellEnd"/>
            <w:r w:rsidRPr="007C35F1">
              <w:rPr>
                <w:rFonts w:ascii="Times New Roman" w:hAnsi="Times New Roman" w:cs="Times New Roman"/>
                <w:sz w:val="24"/>
                <w:szCs w:val="24"/>
              </w:rPr>
              <w:t xml:space="preserve"> &gt;125 (</w:t>
            </w:r>
            <w:proofErr w:type="spellStart"/>
            <w:r w:rsidRPr="007C35F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7C35F1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60</w:t>
            </w:r>
          </w:p>
        </w:tc>
        <w:tc>
          <w:tcPr>
            <w:tcW w:w="3006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48</w:t>
            </w:r>
          </w:p>
        </w:tc>
      </w:tr>
      <w:tr w:rsidR="000475C7" w:rsidTr="000475C7"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proofErr w:type="spellStart"/>
            <w:r w:rsidRPr="007C35F1">
              <w:t>NTproBNP</w:t>
            </w:r>
            <w:proofErr w:type="spellEnd"/>
            <w:r w:rsidRPr="007C35F1">
              <w:t xml:space="preserve"> &gt;400 (</w:t>
            </w:r>
            <w:proofErr w:type="spellStart"/>
            <w:r w:rsidRPr="007C35F1">
              <w:t>pg</w:t>
            </w:r>
            <w:proofErr w:type="spellEnd"/>
            <w:r w:rsidRPr="007C35F1">
              <w:t>/l)</w:t>
            </w:r>
          </w:p>
        </w:tc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12</w:t>
            </w:r>
          </w:p>
        </w:tc>
        <w:tc>
          <w:tcPr>
            <w:tcW w:w="3006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72</w:t>
            </w:r>
          </w:p>
        </w:tc>
      </w:tr>
      <w:tr w:rsidR="000475C7" w:rsidTr="000475C7">
        <w:tc>
          <w:tcPr>
            <w:tcW w:w="3005" w:type="dxa"/>
          </w:tcPr>
          <w:p w:rsidR="000475C7" w:rsidRPr="007C35F1" w:rsidRDefault="000475C7" w:rsidP="00047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5F1">
              <w:rPr>
                <w:rFonts w:ascii="Times New Roman" w:hAnsi="Times New Roman" w:cs="Times New Roman"/>
                <w:sz w:val="24"/>
                <w:szCs w:val="24"/>
              </w:rPr>
              <w:t>Troponin T &gt;14 (ng/l)</w:t>
            </w:r>
          </w:p>
        </w:tc>
        <w:tc>
          <w:tcPr>
            <w:tcW w:w="3005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56</w:t>
            </w:r>
          </w:p>
        </w:tc>
        <w:tc>
          <w:tcPr>
            <w:tcW w:w="3006" w:type="dxa"/>
          </w:tcPr>
          <w:p w:rsidR="000475C7" w:rsidRPr="007C35F1" w:rsidRDefault="000475C7" w:rsidP="00315EA1">
            <w:pPr>
              <w:pStyle w:val="xmsonormal"/>
            </w:pPr>
            <w:r w:rsidRPr="007C35F1">
              <w:t>51</w:t>
            </w:r>
          </w:p>
        </w:tc>
      </w:tr>
    </w:tbl>
    <w:p w:rsidR="00315EA1" w:rsidRPr="00DF2B69" w:rsidRDefault="00315EA1" w:rsidP="0031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5EA1" w:rsidRPr="00DF2B69" w:rsidRDefault="00315EA1" w:rsidP="0031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26FF" w:rsidRPr="00DF2B69" w:rsidRDefault="002E26FF" w:rsidP="008A25F5">
      <w:pPr>
        <w:pStyle w:val="xmsonormal"/>
        <w:rPr>
          <w:sz w:val="22"/>
          <w:szCs w:val="22"/>
        </w:rPr>
      </w:pPr>
    </w:p>
    <w:sectPr w:rsidR="002E26FF" w:rsidRPr="00DF2B69" w:rsidSect="003B1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40" w:rsidRDefault="00005540" w:rsidP="00D50B83">
      <w:pPr>
        <w:spacing w:after="0" w:line="240" w:lineRule="auto"/>
      </w:pPr>
      <w:r>
        <w:separator/>
      </w:r>
    </w:p>
  </w:endnote>
  <w:endnote w:type="continuationSeparator" w:id="0">
    <w:p w:rsidR="00005540" w:rsidRDefault="00005540" w:rsidP="00D5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40" w:rsidRDefault="00005540" w:rsidP="00D50B83">
      <w:pPr>
        <w:spacing w:after="0" w:line="240" w:lineRule="auto"/>
      </w:pPr>
      <w:r>
        <w:separator/>
      </w:r>
    </w:p>
  </w:footnote>
  <w:footnote w:type="continuationSeparator" w:id="0">
    <w:p w:rsidR="00005540" w:rsidRDefault="00005540" w:rsidP="00D5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63"/>
    <w:rsid w:val="00005540"/>
    <w:rsid w:val="0002639F"/>
    <w:rsid w:val="00045EBC"/>
    <w:rsid w:val="000475C7"/>
    <w:rsid w:val="0009159D"/>
    <w:rsid w:val="000D2263"/>
    <w:rsid w:val="000D610C"/>
    <w:rsid w:val="001442FA"/>
    <w:rsid w:val="001823DD"/>
    <w:rsid w:val="001909FA"/>
    <w:rsid w:val="001950DA"/>
    <w:rsid w:val="001A4378"/>
    <w:rsid w:val="001B0345"/>
    <w:rsid w:val="001C0A42"/>
    <w:rsid w:val="001D2B2B"/>
    <w:rsid w:val="0022723A"/>
    <w:rsid w:val="002576A9"/>
    <w:rsid w:val="00262076"/>
    <w:rsid w:val="002876CA"/>
    <w:rsid w:val="002951C5"/>
    <w:rsid w:val="002D618D"/>
    <w:rsid w:val="002E26FF"/>
    <w:rsid w:val="002E5A3B"/>
    <w:rsid w:val="00315EA1"/>
    <w:rsid w:val="00336240"/>
    <w:rsid w:val="00342892"/>
    <w:rsid w:val="00373FD3"/>
    <w:rsid w:val="00395AE0"/>
    <w:rsid w:val="003B1449"/>
    <w:rsid w:val="0041799C"/>
    <w:rsid w:val="00442DFE"/>
    <w:rsid w:val="005216AE"/>
    <w:rsid w:val="0055436C"/>
    <w:rsid w:val="005A1684"/>
    <w:rsid w:val="005A3A80"/>
    <w:rsid w:val="005D69C1"/>
    <w:rsid w:val="00605D88"/>
    <w:rsid w:val="006752BD"/>
    <w:rsid w:val="006C1BE2"/>
    <w:rsid w:val="00721B80"/>
    <w:rsid w:val="00756C36"/>
    <w:rsid w:val="00766184"/>
    <w:rsid w:val="007C35F1"/>
    <w:rsid w:val="007C58BF"/>
    <w:rsid w:val="00813291"/>
    <w:rsid w:val="00822224"/>
    <w:rsid w:val="008645C8"/>
    <w:rsid w:val="008A25F5"/>
    <w:rsid w:val="008D508E"/>
    <w:rsid w:val="008F2758"/>
    <w:rsid w:val="009056A3"/>
    <w:rsid w:val="00944D80"/>
    <w:rsid w:val="00955D1B"/>
    <w:rsid w:val="0097237C"/>
    <w:rsid w:val="009A334F"/>
    <w:rsid w:val="009B3794"/>
    <w:rsid w:val="009C278E"/>
    <w:rsid w:val="009E1A70"/>
    <w:rsid w:val="009E458B"/>
    <w:rsid w:val="00A23EC7"/>
    <w:rsid w:val="00A518DC"/>
    <w:rsid w:val="00A906AC"/>
    <w:rsid w:val="00B00F81"/>
    <w:rsid w:val="00B22E6A"/>
    <w:rsid w:val="00B50FFC"/>
    <w:rsid w:val="00B54CF3"/>
    <w:rsid w:val="00B90E2F"/>
    <w:rsid w:val="00BA5E54"/>
    <w:rsid w:val="00C43E21"/>
    <w:rsid w:val="00C5595E"/>
    <w:rsid w:val="00C90BB1"/>
    <w:rsid w:val="00D11BD0"/>
    <w:rsid w:val="00D15060"/>
    <w:rsid w:val="00D25893"/>
    <w:rsid w:val="00D4260B"/>
    <w:rsid w:val="00D50B83"/>
    <w:rsid w:val="00D7244F"/>
    <w:rsid w:val="00DF2B69"/>
    <w:rsid w:val="00DF5A9E"/>
    <w:rsid w:val="00E047D3"/>
    <w:rsid w:val="00E174E2"/>
    <w:rsid w:val="00F14D9D"/>
    <w:rsid w:val="00F44CF6"/>
    <w:rsid w:val="00F80EFD"/>
    <w:rsid w:val="00FB0109"/>
    <w:rsid w:val="00FD600B"/>
    <w:rsid w:val="00FE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1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83"/>
  </w:style>
  <w:style w:type="paragraph" w:styleId="Footer">
    <w:name w:val="footer"/>
    <w:basedOn w:val="Normal"/>
    <w:link w:val="FooterChar"/>
    <w:uiPriority w:val="99"/>
    <w:unhideWhenUsed/>
    <w:rsid w:val="00D5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83"/>
  </w:style>
  <w:style w:type="table" w:styleId="TableGrid">
    <w:name w:val="Table Grid"/>
    <w:basedOn w:val="TableNormal"/>
    <w:uiPriority w:val="59"/>
    <w:unhideWhenUsed/>
    <w:rsid w:val="0004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1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83"/>
  </w:style>
  <w:style w:type="paragraph" w:styleId="Footer">
    <w:name w:val="footer"/>
    <w:basedOn w:val="Normal"/>
    <w:link w:val="FooterChar"/>
    <w:uiPriority w:val="99"/>
    <w:unhideWhenUsed/>
    <w:rsid w:val="00D5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83"/>
  </w:style>
  <w:style w:type="table" w:styleId="TableGrid">
    <w:name w:val="Table Grid"/>
    <w:basedOn w:val="TableNormal"/>
    <w:uiPriority w:val="59"/>
    <w:unhideWhenUsed/>
    <w:rsid w:val="0004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HASE%202\APEP\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1400"/>
              <a:t>ROC comparing</a:t>
            </a:r>
            <a:r>
              <a:rPr lang="en-GB" sz="1400" baseline="0"/>
              <a:t> serum biomarkers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NTproBNP &gt;125pg/l</c:v>
          </c:tx>
          <c:spPr>
            <a:ln w="28575" cap="rnd" cmpd="sng" algn="ctr">
              <a:solidFill>
                <a:schemeClr val="dk1">
                  <a:tint val="885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88500"/>
                </a:schemeClr>
              </a:solidFill>
              <a:ln w="9525" cap="flat" cmpd="sng" algn="ctr">
                <a:solidFill>
                  <a:schemeClr val="dk1">
                    <a:tint val="885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Sheet12!$A$94:$A$96</c:f>
              <c:numCache>
                <c:formatCode>General</c:formatCode>
                <c:ptCount val="3"/>
                <c:pt idx="0">
                  <c:v>0</c:v>
                </c:pt>
                <c:pt idx="1">
                  <c:v>0.51029999999999998</c:v>
                </c:pt>
                <c:pt idx="2">
                  <c:v>1</c:v>
                </c:pt>
              </c:numCache>
            </c:numRef>
          </c:xVal>
          <c:yVal>
            <c:numRef>
              <c:f>Sheet12!$B$94:$B$96</c:f>
              <c:numCache>
                <c:formatCode>General</c:formatCode>
                <c:ptCount val="3"/>
                <c:pt idx="0">
                  <c:v>0</c:v>
                </c:pt>
                <c:pt idx="1">
                  <c:v>0.65520000000000289</c:v>
                </c:pt>
                <c:pt idx="2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B30-4EEF-838B-E09338C356E4}"/>
            </c:ext>
          </c:extLst>
        </c:ser>
        <c:ser>
          <c:idx val="1"/>
          <c:order val="1"/>
          <c:tx>
            <c:v>NTproBNP &gt;400pg/l</c:v>
          </c:tx>
          <c:spPr>
            <a:ln w="28575" cap="rnd" cmpd="sng" algn="ctr">
              <a:solidFill>
                <a:schemeClr val="dk1">
                  <a:tint val="5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55000"/>
                </a:schemeClr>
              </a:solidFill>
              <a:ln w="9525" cap="flat" cmpd="sng" algn="ctr">
                <a:solidFill>
                  <a:schemeClr val="dk1">
                    <a:tint val="55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Sheet12!$A$100:$A$102</c:f>
              <c:numCache>
                <c:formatCode>General</c:formatCode>
                <c:ptCount val="3"/>
                <c:pt idx="0">
                  <c:v>0</c:v>
                </c:pt>
                <c:pt idx="1">
                  <c:v>0.23450000000000001</c:v>
                </c:pt>
                <c:pt idx="2">
                  <c:v>1</c:v>
                </c:pt>
              </c:numCache>
            </c:numRef>
          </c:xVal>
          <c:yVal>
            <c:numRef>
              <c:f>Sheet12!$B$100:$B$102</c:f>
              <c:numCache>
                <c:formatCode>General</c:formatCode>
                <c:ptCount val="3"/>
                <c:pt idx="0">
                  <c:v>0</c:v>
                </c:pt>
                <c:pt idx="1">
                  <c:v>0.37930000000000191</c:v>
                </c:pt>
                <c:pt idx="2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B30-4EEF-838B-E09338C356E4}"/>
            </c:ext>
          </c:extLst>
        </c:ser>
        <c:ser>
          <c:idx val="2"/>
          <c:order val="2"/>
          <c:tx>
            <c:v>Trop &gt;14pg/l</c:v>
          </c:tx>
          <c:spPr>
            <a:ln w="28575" cap="rnd" cmpd="sng" algn="ctr">
              <a:solidFill>
                <a:schemeClr val="dk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75000"/>
                </a:schemeClr>
              </a:solidFill>
              <a:ln w="9525" cap="flat" cmpd="sng" algn="ctr">
                <a:solidFill>
                  <a:schemeClr val="dk1">
                    <a:tint val="75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Sheet12!$A$105:$A$107</c:f>
              <c:numCache>
                <c:formatCode>General</c:formatCode>
                <c:ptCount val="3"/>
                <c:pt idx="0">
                  <c:v>0</c:v>
                </c:pt>
                <c:pt idx="1">
                  <c:v>0.53790000000000004</c:v>
                </c:pt>
                <c:pt idx="2">
                  <c:v>1</c:v>
                </c:pt>
              </c:numCache>
            </c:numRef>
          </c:xVal>
          <c:yVal>
            <c:numRef>
              <c:f>Sheet12!$B$105:$B$107</c:f>
              <c:numCache>
                <c:formatCode>General</c:formatCode>
                <c:ptCount val="3"/>
                <c:pt idx="0">
                  <c:v>0</c:v>
                </c:pt>
                <c:pt idx="1">
                  <c:v>0.31030000000000163</c:v>
                </c:pt>
                <c:pt idx="2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B30-4EEF-838B-E09338C35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162560"/>
        <c:axId val="54164864"/>
      </c:scatterChart>
      <c:valAx>
        <c:axId val="54162560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False positive Rate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64864"/>
        <c:crosses val="autoZero"/>
        <c:crossBetween val="midCat"/>
      </c:valAx>
      <c:valAx>
        <c:axId val="54164864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True Positive Rate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62560"/>
        <c:crosses val="autoZero"/>
        <c:crossBetween val="midCat"/>
        <c:majorUnit val="0.2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9DFD-3EA2-4B10-8FAF-EB7AAD0D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Pramanik</dc:creator>
  <cp:lastModifiedBy>Chinnadurai Rajkumar</cp:lastModifiedBy>
  <cp:revision>10</cp:revision>
  <dcterms:created xsi:type="dcterms:W3CDTF">2018-01-08T12:12:00Z</dcterms:created>
  <dcterms:modified xsi:type="dcterms:W3CDTF">2018-01-08T14:18:00Z</dcterms:modified>
</cp:coreProperties>
</file>