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2061B" w14:textId="404F6620" w:rsidR="00B43E3E" w:rsidRPr="00D710E0" w:rsidRDefault="00B43E3E" w:rsidP="00B43E3E">
      <w:pPr>
        <w:overflowPunct w:val="0"/>
        <w:autoSpaceDE w:val="0"/>
        <w:autoSpaceDN w:val="0"/>
        <w:adjustRightInd w:val="0"/>
        <w:textAlignment w:val="baseline"/>
        <w:rPr>
          <w:b/>
          <w:color w:val="000000"/>
        </w:rPr>
      </w:pPr>
      <w:r w:rsidRPr="00D710E0">
        <w:rPr>
          <w:b/>
          <w:color w:val="000000"/>
        </w:rPr>
        <w:t xml:space="preserve">Evaluating the impact of routine colecalciferol on </w:t>
      </w:r>
      <w:r w:rsidR="00B77446" w:rsidRPr="00D710E0">
        <w:rPr>
          <w:b/>
          <w:color w:val="000000"/>
        </w:rPr>
        <w:t>e</w:t>
      </w:r>
      <w:r w:rsidRPr="00D710E0">
        <w:rPr>
          <w:b/>
          <w:color w:val="000000"/>
        </w:rPr>
        <w:t xml:space="preserve">rythropoietin (EPO) </w:t>
      </w:r>
      <w:r w:rsidR="00B77446" w:rsidRPr="00D710E0">
        <w:rPr>
          <w:b/>
          <w:color w:val="000000"/>
        </w:rPr>
        <w:t>r</w:t>
      </w:r>
      <w:r w:rsidRPr="00D710E0">
        <w:rPr>
          <w:b/>
          <w:color w:val="000000"/>
        </w:rPr>
        <w:t>equirements</w:t>
      </w:r>
    </w:p>
    <w:p w14:paraId="1D91301F" w14:textId="77777777" w:rsidR="00B43E3E" w:rsidRPr="00CA52B5" w:rsidRDefault="00B43E3E" w:rsidP="00B43E3E">
      <w:pPr>
        <w:jc w:val="both"/>
        <w:rPr>
          <w:rFonts w:eastAsia="AdvT143"/>
          <w:sz w:val="22"/>
          <w:szCs w:val="22"/>
        </w:rPr>
      </w:pPr>
    </w:p>
    <w:p w14:paraId="65EFE7E8" w14:textId="77777777" w:rsidR="00E44C37" w:rsidRPr="00CA52B5" w:rsidRDefault="00E44C37" w:rsidP="00E44C37">
      <w:pPr>
        <w:jc w:val="both"/>
        <w:rPr>
          <w:rFonts w:eastAsia="AdvT143"/>
          <w:b/>
          <w:sz w:val="22"/>
          <w:szCs w:val="22"/>
        </w:rPr>
      </w:pPr>
      <w:r w:rsidRPr="00CA52B5">
        <w:rPr>
          <w:rFonts w:eastAsia="AdvT143"/>
          <w:b/>
          <w:sz w:val="22"/>
          <w:szCs w:val="22"/>
        </w:rPr>
        <w:t>Background</w:t>
      </w:r>
    </w:p>
    <w:p w14:paraId="3FA09688" w14:textId="187E3EDB" w:rsidR="00B43E3E" w:rsidRPr="00CA52B5" w:rsidRDefault="00B43E3E" w:rsidP="00E44C37">
      <w:pPr>
        <w:jc w:val="both"/>
        <w:rPr>
          <w:color w:val="000000"/>
          <w:sz w:val="22"/>
          <w:szCs w:val="22"/>
        </w:rPr>
      </w:pPr>
      <w:r w:rsidRPr="00CA52B5">
        <w:rPr>
          <w:sz w:val="22"/>
          <w:szCs w:val="22"/>
        </w:rPr>
        <w:t xml:space="preserve">Vitamin D deficiency and insufficiency (serum 25(OH)D &lt;30nmol/L and &lt;75nmol/L respectively) is </w:t>
      </w:r>
      <w:r w:rsidR="00B47579" w:rsidRPr="00CA52B5">
        <w:rPr>
          <w:sz w:val="22"/>
          <w:szCs w:val="22"/>
        </w:rPr>
        <w:t>prevalent in</w:t>
      </w:r>
      <w:r w:rsidRPr="00CA52B5">
        <w:rPr>
          <w:sz w:val="22"/>
          <w:szCs w:val="22"/>
        </w:rPr>
        <w:t xml:space="preserve"> haemodialysis patients,</w:t>
      </w:r>
      <w:r w:rsidRPr="00CA52B5">
        <w:rPr>
          <w:sz w:val="22"/>
          <w:szCs w:val="22"/>
          <w:vertAlign w:val="superscript"/>
        </w:rPr>
        <w:t xml:space="preserve"> </w:t>
      </w:r>
      <w:r w:rsidRPr="00CA52B5">
        <w:rPr>
          <w:sz w:val="22"/>
          <w:szCs w:val="22"/>
        </w:rPr>
        <w:t>and</w:t>
      </w:r>
      <w:r w:rsidRPr="00CA52B5">
        <w:rPr>
          <w:sz w:val="22"/>
          <w:szCs w:val="22"/>
          <w:vertAlign w:val="superscript"/>
        </w:rPr>
        <w:t xml:space="preserve"> </w:t>
      </w:r>
      <w:r w:rsidRPr="00CA52B5">
        <w:rPr>
          <w:sz w:val="22"/>
          <w:szCs w:val="22"/>
        </w:rPr>
        <w:t xml:space="preserve">is associated with increased erythropoietin (EPO) requirements. Lack of renal </w:t>
      </w:r>
      <w:r w:rsidR="00AB6579" w:rsidRPr="00CA52B5">
        <w:rPr>
          <w:sz w:val="22"/>
          <w:szCs w:val="22"/>
        </w:rPr>
        <w:t>25-hydroxyvitamin D-</w:t>
      </w:r>
      <w:r w:rsidRPr="00CA52B5">
        <w:rPr>
          <w:sz w:val="22"/>
          <w:szCs w:val="22"/>
        </w:rPr>
        <w:t xml:space="preserve">1α hydroxylase </w:t>
      </w:r>
      <w:r w:rsidR="00AB6579" w:rsidRPr="00CA52B5">
        <w:rPr>
          <w:sz w:val="22"/>
          <w:szCs w:val="22"/>
        </w:rPr>
        <w:t xml:space="preserve">(CYP27B1) </w:t>
      </w:r>
      <w:r w:rsidRPr="00CA52B5">
        <w:rPr>
          <w:sz w:val="22"/>
          <w:szCs w:val="22"/>
        </w:rPr>
        <w:t xml:space="preserve">for the conversion of 25(OH)D to  active 1,25(OH)D is well acknowledged in end stage renal disease (ESRD) with the routine use of active vitamin D analogues. However, </w:t>
      </w:r>
      <w:r w:rsidR="00E44C37" w:rsidRPr="00CA52B5">
        <w:rPr>
          <w:sz w:val="22"/>
          <w:szCs w:val="22"/>
        </w:rPr>
        <w:t xml:space="preserve">this overlooks 25(OH)D deficiency. </w:t>
      </w:r>
      <w:r w:rsidRPr="00CA52B5">
        <w:rPr>
          <w:sz w:val="22"/>
          <w:szCs w:val="22"/>
        </w:rPr>
        <w:t xml:space="preserve">Following </w:t>
      </w:r>
      <w:r w:rsidR="000E3541" w:rsidRPr="00CA52B5">
        <w:rPr>
          <w:sz w:val="22"/>
          <w:szCs w:val="22"/>
        </w:rPr>
        <w:t xml:space="preserve">the </w:t>
      </w:r>
      <w:r w:rsidR="00E44C37" w:rsidRPr="00CA52B5">
        <w:rPr>
          <w:sz w:val="22"/>
          <w:szCs w:val="22"/>
        </w:rPr>
        <w:t xml:space="preserve">development of a new local clinical guideline, </w:t>
      </w:r>
      <w:r w:rsidRPr="00CA52B5">
        <w:rPr>
          <w:sz w:val="22"/>
          <w:szCs w:val="22"/>
        </w:rPr>
        <w:t>UHCW</w:t>
      </w:r>
      <w:r w:rsidR="00DB331B" w:rsidRPr="00CA52B5">
        <w:rPr>
          <w:sz w:val="22"/>
          <w:szCs w:val="22"/>
        </w:rPr>
        <w:t xml:space="preserve"> </w:t>
      </w:r>
      <w:r w:rsidRPr="00CA52B5">
        <w:rPr>
          <w:sz w:val="22"/>
          <w:szCs w:val="22"/>
        </w:rPr>
        <w:t xml:space="preserve">NHS Trust </w:t>
      </w:r>
      <w:r w:rsidR="00DB331B" w:rsidRPr="00CA52B5">
        <w:rPr>
          <w:sz w:val="22"/>
          <w:szCs w:val="22"/>
        </w:rPr>
        <w:t>introduced colecalciferol</w:t>
      </w:r>
      <w:r w:rsidRPr="00CA52B5">
        <w:rPr>
          <w:sz w:val="22"/>
          <w:szCs w:val="22"/>
        </w:rPr>
        <w:t xml:space="preserve"> </w:t>
      </w:r>
      <w:r w:rsidR="00DB331B" w:rsidRPr="00CA52B5">
        <w:rPr>
          <w:sz w:val="22"/>
          <w:szCs w:val="22"/>
        </w:rPr>
        <w:t>supplementation to all in-centre haemodialysis patients as part of standard routine care</w:t>
      </w:r>
      <w:r w:rsidR="00D10193" w:rsidRPr="00CA52B5">
        <w:rPr>
          <w:sz w:val="22"/>
          <w:szCs w:val="22"/>
        </w:rPr>
        <w:t xml:space="preserve"> (colecalciferol supplementation: serum 25OHD &lt;50nmol/L repletion dose of 40,000IU for 3 months, ≥50nmol/L maintenance dose of 20,000IU fortnightly, &gt;150nmol/L stop and recheck in 3 months)</w:t>
      </w:r>
      <w:r w:rsidR="00D10193" w:rsidRPr="00CA52B5">
        <w:rPr>
          <w:sz w:val="22"/>
          <w:szCs w:val="22"/>
          <w:lang w:val="en-US"/>
        </w:rPr>
        <w:t>.</w:t>
      </w:r>
      <w:r w:rsidR="00DB331B" w:rsidRPr="00CA52B5">
        <w:rPr>
          <w:sz w:val="22"/>
          <w:szCs w:val="22"/>
        </w:rPr>
        <w:t xml:space="preserve"> This provided a unique opportunity to investigate potential</w:t>
      </w:r>
      <w:r w:rsidR="00E44C37" w:rsidRPr="00CA52B5">
        <w:rPr>
          <w:sz w:val="22"/>
          <w:szCs w:val="22"/>
        </w:rPr>
        <w:t xml:space="preserve"> benefits of </w:t>
      </w:r>
      <w:r w:rsidR="00B77446" w:rsidRPr="00CA52B5">
        <w:rPr>
          <w:sz w:val="22"/>
          <w:szCs w:val="22"/>
        </w:rPr>
        <w:t>adequate</w:t>
      </w:r>
      <w:r w:rsidR="00B77446" w:rsidRPr="00CA52B5">
        <w:rPr>
          <w:sz w:val="22"/>
          <w:szCs w:val="22"/>
        </w:rPr>
        <w:t xml:space="preserve"> </w:t>
      </w:r>
      <w:r w:rsidR="00E44C37" w:rsidRPr="00CA52B5">
        <w:rPr>
          <w:sz w:val="22"/>
          <w:szCs w:val="22"/>
        </w:rPr>
        <w:t>serum 25(OH)D.</w:t>
      </w:r>
    </w:p>
    <w:p w14:paraId="0EBBC4CA" w14:textId="77777777" w:rsidR="00E44C37" w:rsidRPr="00CA52B5" w:rsidRDefault="00AB6579" w:rsidP="00E44C37">
      <w:pPr>
        <w:jc w:val="both"/>
        <w:rPr>
          <w:b/>
          <w:bCs/>
          <w:color w:val="000000"/>
          <w:sz w:val="22"/>
          <w:szCs w:val="22"/>
        </w:rPr>
      </w:pPr>
      <w:r w:rsidRPr="00CA52B5">
        <w:rPr>
          <w:b/>
          <w:bCs/>
          <w:color w:val="000000"/>
          <w:sz w:val="22"/>
          <w:szCs w:val="22"/>
        </w:rPr>
        <w:t xml:space="preserve">Study </w:t>
      </w:r>
      <w:r w:rsidR="00E44C37" w:rsidRPr="00CA52B5">
        <w:rPr>
          <w:b/>
          <w:bCs/>
          <w:color w:val="000000"/>
          <w:sz w:val="22"/>
          <w:szCs w:val="22"/>
        </w:rPr>
        <w:t>Aim</w:t>
      </w:r>
    </w:p>
    <w:p w14:paraId="547923A4" w14:textId="77777777" w:rsidR="00E44C37" w:rsidRPr="00CA52B5" w:rsidRDefault="00E44C37" w:rsidP="00E44C3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A52B5">
        <w:rPr>
          <w:color w:val="000000"/>
          <w:sz w:val="22"/>
          <w:szCs w:val="22"/>
        </w:rPr>
        <w:t xml:space="preserve">To assess whether increased serum 25(OH)D levels result in an improved response to EPO, measured by a reduction in mean EPO usage. </w:t>
      </w:r>
    </w:p>
    <w:p w14:paraId="46593580" w14:textId="77777777" w:rsidR="00E44C37" w:rsidRPr="00CA52B5" w:rsidRDefault="00E44C37" w:rsidP="00E44C37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CA52B5">
        <w:rPr>
          <w:b/>
          <w:color w:val="000000"/>
          <w:sz w:val="22"/>
          <w:szCs w:val="22"/>
        </w:rPr>
        <w:t>Method</w:t>
      </w:r>
    </w:p>
    <w:p w14:paraId="6766510E" w14:textId="126FFB22" w:rsidR="00E44C37" w:rsidRPr="00CA52B5" w:rsidRDefault="00E44C37" w:rsidP="00E44C37">
      <w:pPr>
        <w:jc w:val="both"/>
        <w:rPr>
          <w:color w:val="000000"/>
          <w:sz w:val="22"/>
          <w:szCs w:val="22"/>
        </w:rPr>
      </w:pPr>
      <w:r w:rsidRPr="00CA52B5">
        <w:rPr>
          <w:color w:val="000000"/>
          <w:sz w:val="22"/>
          <w:szCs w:val="22"/>
        </w:rPr>
        <w:t xml:space="preserve">Data from all 350 patients receiving in-centre haemodialysis across Coventry and Warwickshire </w:t>
      </w:r>
      <w:r w:rsidR="00AB6579" w:rsidRPr="00CA52B5">
        <w:rPr>
          <w:color w:val="000000"/>
          <w:sz w:val="22"/>
          <w:szCs w:val="22"/>
        </w:rPr>
        <w:t xml:space="preserve">was </w:t>
      </w:r>
      <w:r w:rsidRPr="00CA52B5">
        <w:rPr>
          <w:color w:val="000000"/>
          <w:sz w:val="22"/>
          <w:szCs w:val="22"/>
        </w:rPr>
        <w:t>included in this study. Retrospective data looking at total monthly EPO dose received and serum haemoglobin was collected for 12 months prior to the introduction of colecalciferol</w:t>
      </w:r>
      <w:r w:rsidR="00AB6579" w:rsidRPr="00CA52B5">
        <w:rPr>
          <w:color w:val="000000"/>
          <w:sz w:val="22"/>
          <w:szCs w:val="22"/>
        </w:rPr>
        <w:t xml:space="preserve"> (T-12 to T-1)</w:t>
      </w:r>
      <w:r w:rsidRPr="00CA52B5">
        <w:rPr>
          <w:color w:val="000000"/>
          <w:sz w:val="22"/>
          <w:szCs w:val="22"/>
        </w:rPr>
        <w:t>. The same data was collected prospectively for 15 months post introduction of colecalciferol</w:t>
      </w:r>
      <w:r w:rsidR="00AB6579" w:rsidRPr="00CA52B5">
        <w:rPr>
          <w:color w:val="000000"/>
          <w:sz w:val="22"/>
          <w:szCs w:val="22"/>
        </w:rPr>
        <w:t xml:space="preserve"> (T0-T15)</w:t>
      </w:r>
      <w:r w:rsidRPr="00CA52B5">
        <w:rPr>
          <w:color w:val="000000"/>
          <w:sz w:val="22"/>
          <w:szCs w:val="22"/>
        </w:rPr>
        <w:t xml:space="preserve">. The 15 month prospective observational period was chosen to allow </w:t>
      </w:r>
      <w:r w:rsidR="00AB6579" w:rsidRPr="00CA52B5">
        <w:rPr>
          <w:color w:val="000000"/>
          <w:sz w:val="22"/>
          <w:szCs w:val="22"/>
        </w:rPr>
        <w:t xml:space="preserve">collection of </w:t>
      </w:r>
      <w:r w:rsidRPr="00CA52B5">
        <w:rPr>
          <w:color w:val="000000"/>
          <w:sz w:val="22"/>
          <w:szCs w:val="22"/>
        </w:rPr>
        <w:t>12 months of da</w:t>
      </w:r>
      <w:r w:rsidR="00B47579" w:rsidRPr="00CA52B5">
        <w:rPr>
          <w:color w:val="000000"/>
          <w:sz w:val="22"/>
          <w:szCs w:val="22"/>
        </w:rPr>
        <w:t xml:space="preserve">ta </w:t>
      </w:r>
      <w:r w:rsidR="00AB6579" w:rsidRPr="00CA52B5">
        <w:rPr>
          <w:color w:val="000000"/>
          <w:sz w:val="22"/>
          <w:szCs w:val="22"/>
        </w:rPr>
        <w:t xml:space="preserve">after </w:t>
      </w:r>
      <w:r w:rsidR="00B47579" w:rsidRPr="00CA52B5">
        <w:rPr>
          <w:color w:val="000000"/>
          <w:sz w:val="22"/>
          <w:szCs w:val="22"/>
        </w:rPr>
        <w:t>vitamin D repletion had</w:t>
      </w:r>
      <w:r w:rsidRPr="00CA52B5">
        <w:rPr>
          <w:color w:val="000000"/>
          <w:sz w:val="22"/>
          <w:szCs w:val="22"/>
        </w:rPr>
        <w:t xml:space="preserve"> been achieved (3 months to achieve repletion, followed by 12 months post repletion). </w:t>
      </w:r>
      <w:r w:rsidR="000E3541" w:rsidRPr="00CA52B5">
        <w:rPr>
          <w:color w:val="000000"/>
          <w:sz w:val="22"/>
          <w:szCs w:val="22"/>
        </w:rPr>
        <w:t>Monthly serum calcium (corrected for albumin) and 3 monthly s</w:t>
      </w:r>
      <w:r w:rsidR="000E3541" w:rsidRPr="00CA52B5">
        <w:rPr>
          <w:sz w:val="22"/>
          <w:szCs w:val="22"/>
        </w:rPr>
        <w:t>erum 25(OH)D was measured throughout the 15 month prospective follow up period. All aspects of the study received NHS ethical approval</w:t>
      </w:r>
      <w:r w:rsidR="00AD6729" w:rsidRPr="00CA52B5">
        <w:rPr>
          <w:sz w:val="22"/>
          <w:szCs w:val="22"/>
        </w:rPr>
        <w:t xml:space="preserve"> </w:t>
      </w:r>
      <w:r w:rsidR="00AD6729" w:rsidRPr="00CA52B5">
        <w:rPr>
          <w:sz w:val="22"/>
          <w:szCs w:val="22"/>
        </w:rPr>
        <w:t xml:space="preserve">(reference numbers 14/NS/1012 and </w:t>
      </w:r>
      <w:r w:rsidR="00AD6729" w:rsidRPr="00CA52B5">
        <w:rPr>
          <w:spacing w:val="-3"/>
          <w:sz w:val="22"/>
          <w:szCs w:val="22"/>
          <w:lang w:val="en-US"/>
        </w:rPr>
        <w:t>14/EE/10</w:t>
      </w:r>
      <w:r w:rsidR="00AD6729" w:rsidRPr="00CA52B5">
        <w:rPr>
          <w:sz w:val="22"/>
          <w:szCs w:val="22"/>
        </w:rPr>
        <w:t>).</w:t>
      </w:r>
      <w:r w:rsidR="00AD6729" w:rsidRPr="00CA52B5">
        <w:rPr>
          <w:color w:val="000000"/>
          <w:sz w:val="22"/>
          <w:szCs w:val="22"/>
        </w:rPr>
        <w:t xml:space="preserve"> </w:t>
      </w:r>
      <w:r w:rsidRPr="00CA52B5">
        <w:rPr>
          <w:color w:val="000000"/>
          <w:sz w:val="22"/>
          <w:szCs w:val="22"/>
        </w:rPr>
        <w:t xml:space="preserve">The primary outcome measure </w:t>
      </w:r>
      <w:r w:rsidR="00AB6579" w:rsidRPr="00CA52B5">
        <w:rPr>
          <w:color w:val="000000"/>
          <w:sz w:val="22"/>
          <w:szCs w:val="22"/>
        </w:rPr>
        <w:t xml:space="preserve">was </w:t>
      </w:r>
      <w:r w:rsidRPr="00CA52B5">
        <w:rPr>
          <w:color w:val="000000"/>
          <w:sz w:val="22"/>
          <w:szCs w:val="22"/>
        </w:rPr>
        <w:t xml:space="preserve">the reduction of mean </w:t>
      </w:r>
      <w:r w:rsidR="000E3541" w:rsidRPr="00CA52B5">
        <w:rPr>
          <w:color w:val="000000"/>
          <w:sz w:val="22"/>
          <w:szCs w:val="22"/>
        </w:rPr>
        <w:t xml:space="preserve">total monthly </w:t>
      </w:r>
      <w:r w:rsidRPr="00CA52B5">
        <w:rPr>
          <w:color w:val="000000"/>
          <w:sz w:val="22"/>
          <w:szCs w:val="22"/>
        </w:rPr>
        <w:t>EPO dose needed to maintain haemoglobin within the target range of 100-120g/L according to UHCW renal anaemia guidelines.</w:t>
      </w:r>
      <w:r w:rsidR="003C0FEB" w:rsidRPr="00CA52B5">
        <w:rPr>
          <w:color w:val="000000"/>
          <w:sz w:val="22"/>
          <w:szCs w:val="22"/>
        </w:rPr>
        <w:t xml:space="preserve"> </w:t>
      </w:r>
      <w:r w:rsidRPr="00CA52B5">
        <w:rPr>
          <w:sz w:val="22"/>
          <w:szCs w:val="22"/>
          <w:lang w:val="en-US"/>
        </w:rPr>
        <w:t>Wilcoxon signed rank test</w:t>
      </w:r>
      <w:r w:rsidRPr="00CA52B5">
        <w:rPr>
          <w:sz w:val="22"/>
          <w:szCs w:val="22"/>
        </w:rPr>
        <w:t xml:space="preserve"> </w:t>
      </w:r>
      <w:r w:rsidR="003C0FEB" w:rsidRPr="00CA52B5">
        <w:rPr>
          <w:sz w:val="22"/>
          <w:szCs w:val="22"/>
        </w:rPr>
        <w:t>was used</w:t>
      </w:r>
      <w:r w:rsidRPr="00CA52B5">
        <w:rPr>
          <w:sz w:val="22"/>
          <w:szCs w:val="22"/>
        </w:rPr>
        <w:t xml:space="preserve"> to test the null hypothesis that there is no difference in EPO dose after vitamin D supplementation is introduced. </w:t>
      </w:r>
    </w:p>
    <w:p w14:paraId="5B4072F5" w14:textId="77777777" w:rsidR="00E44C37" w:rsidRPr="00CA52B5" w:rsidRDefault="00E44C37" w:rsidP="00E44C37">
      <w:pPr>
        <w:jc w:val="both"/>
        <w:rPr>
          <w:b/>
          <w:sz w:val="22"/>
          <w:szCs w:val="22"/>
        </w:rPr>
      </w:pPr>
      <w:r w:rsidRPr="00CA52B5">
        <w:rPr>
          <w:b/>
          <w:sz w:val="22"/>
          <w:szCs w:val="22"/>
        </w:rPr>
        <w:t>Results</w:t>
      </w:r>
    </w:p>
    <w:p w14:paraId="5286F7EB" w14:textId="1237D15A" w:rsidR="000E3541" w:rsidRPr="00CA52B5" w:rsidRDefault="00E44C37" w:rsidP="000E3541">
      <w:pPr>
        <w:jc w:val="both"/>
        <w:rPr>
          <w:noProof/>
          <w:sz w:val="22"/>
          <w:szCs w:val="22"/>
        </w:rPr>
      </w:pPr>
      <w:r w:rsidRPr="00CA52B5">
        <w:rPr>
          <w:noProof/>
          <w:sz w:val="22"/>
          <w:szCs w:val="22"/>
        </w:rPr>
        <w:t xml:space="preserve">EPO dosage data was analysed </w:t>
      </w:r>
      <w:r w:rsidR="000E3541" w:rsidRPr="00CA52B5">
        <w:rPr>
          <w:noProof/>
          <w:sz w:val="22"/>
          <w:szCs w:val="22"/>
        </w:rPr>
        <w:t>for all patients at</w:t>
      </w:r>
      <w:r w:rsidR="00B47579" w:rsidRPr="00CA52B5">
        <w:rPr>
          <w:noProof/>
          <w:sz w:val="22"/>
          <w:szCs w:val="22"/>
        </w:rPr>
        <w:t xml:space="preserve"> all monthly</w:t>
      </w:r>
      <w:r w:rsidR="000E3541" w:rsidRPr="00CA52B5">
        <w:rPr>
          <w:noProof/>
          <w:sz w:val="22"/>
          <w:szCs w:val="22"/>
        </w:rPr>
        <w:t xml:space="preserve"> </w:t>
      </w:r>
      <w:r w:rsidR="00B47579" w:rsidRPr="00CA52B5">
        <w:rPr>
          <w:noProof/>
          <w:sz w:val="22"/>
          <w:szCs w:val="22"/>
        </w:rPr>
        <w:t>timepoints</w:t>
      </w:r>
      <w:r w:rsidR="000E3541" w:rsidRPr="00CA52B5">
        <w:rPr>
          <w:noProof/>
          <w:sz w:val="22"/>
          <w:szCs w:val="22"/>
        </w:rPr>
        <w:t xml:space="preserve"> </w:t>
      </w:r>
      <w:r w:rsidRPr="00CA52B5">
        <w:rPr>
          <w:noProof/>
          <w:sz w:val="22"/>
          <w:szCs w:val="22"/>
        </w:rPr>
        <w:t xml:space="preserve">where </w:t>
      </w:r>
      <w:r w:rsidR="000E3541" w:rsidRPr="00CA52B5">
        <w:rPr>
          <w:noProof/>
          <w:sz w:val="22"/>
          <w:szCs w:val="22"/>
        </w:rPr>
        <w:t xml:space="preserve">their serum </w:t>
      </w:r>
      <w:r w:rsidRPr="00CA52B5">
        <w:rPr>
          <w:noProof/>
          <w:sz w:val="22"/>
          <w:szCs w:val="22"/>
        </w:rPr>
        <w:t>haemoglobin levels fell between 100-120g/L</w:t>
      </w:r>
      <w:r w:rsidR="00C04DCD">
        <w:rPr>
          <w:noProof/>
          <w:sz w:val="22"/>
          <w:szCs w:val="22"/>
        </w:rPr>
        <w:t xml:space="preserve"> (n=264)</w:t>
      </w:r>
      <w:r w:rsidRPr="00CA52B5">
        <w:rPr>
          <w:noProof/>
          <w:sz w:val="22"/>
          <w:szCs w:val="22"/>
        </w:rPr>
        <w:t>.</w:t>
      </w:r>
      <w:r w:rsidR="005E7ED3" w:rsidRPr="00CA52B5">
        <w:rPr>
          <w:noProof/>
          <w:sz w:val="22"/>
          <w:szCs w:val="22"/>
        </w:rPr>
        <w:t xml:space="preserve"> </w:t>
      </w:r>
      <w:r w:rsidR="005E7ED3" w:rsidRPr="00CA52B5">
        <w:rPr>
          <w:sz w:val="22"/>
          <w:szCs w:val="22"/>
        </w:rPr>
        <w:t>Data showed that the total EPO use fell following vitamin D supplementation</w:t>
      </w:r>
      <w:r w:rsidR="005E7ED3" w:rsidRPr="00CA52B5">
        <w:rPr>
          <w:noProof/>
          <w:sz w:val="22"/>
          <w:szCs w:val="22"/>
        </w:rPr>
        <w:t xml:space="preserve">. Total monthly EPO (mcg) received during the 12 months prior to the introduction of vitamin D supplementation (T-12 to T-1) was compared to total monthly EPO (mcg) received during the 12 months post vitamin D repletion (T4 to T15). In months T-12 to T-1 mean EPO use was 141.30mcg (median 112.1mcg) which was reduced to 139.34 mcg (median 95.0mcg) post vitamin D repletion </w:t>
      </w:r>
      <w:r w:rsidR="005E7ED3" w:rsidRPr="00CA52B5">
        <w:rPr>
          <w:i/>
          <w:noProof/>
          <w:sz w:val="22"/>
          <w:szCs w:val="22"/>
        </w:rPr>
        <w:t>(p = 0.0258)</w:t>
      </w:r>
      <w:r w:rsidR="005E7ED3" w:rsidRPr="00CA52B5">
        <w:rPr>
          <w:i/>
          <w:noProof/>
          <w:sz w:val="22"/>
          <w:szCs w:val="22"/>
        </w:rPr>
        <w:t>.</w:t>
      </w:r>
      <w:r w:rsidRPr="00CA52B5">
        <w:rPr>
          <w:noProof/>
          <w:sz w:val="22"/>
          <w:szCs w:val="22"/>
        </w:rPr>
        <w:t xml:space="preserve"> </w:t>
      </w:r>
      <w:r w:rsidR="00D10193" w:rsidRPr="00CA52B5">
        <w:rPr>
          <w:sz w:val="22"/>
          <w:szCs w:val="22"/>
        </w:rPr>
        <w:t>Mean serum 25(OH)D increased from 27.41</w:t>
      </w:r>
      <w:r w:rsidR="006E4D1C">
        <w:rPr>
          <w:sz w:val="22"/>
          <w:szCs w:val="22"/>
        </w:rPr>
        <w:t>±25.28nmol/L at T0 to 120±27.09</w:t>
      </w:r>
      <w:bookmarkStart w:id="0" w:name="_GoBack"/>
      <w:bookmarkEnd w:id="0"/>
      <w:r w:rsidR="00D10193" w:rsidRPr="00CA52B5">
        <w:rPr>
          <w:sz w:val="22"/>
          <w:szCs w:val="22"/>
        </w:rPr>
        <w:t xml:space="preserve">nmol/L at T15 </w:t>
      </w:r>
      <w:r w:rsidR="00D10193" w:rsidRPr="00CA52B5">
        <w:rPr>
          <w:i/>
          <w:sz w:val="22"/>
          <w:szCs w:val="22"/>
        </w:rPr>
        <w:t>(P &lt; 0.0001)</w:t>
      </w:r>
      <w:r w:rsidR="00D10193" w:rsidRPr="00CA52B5">
        <w:rPr>
          <w:i/>
          <w:sz w:val="22"/>
          <w:szCs w:val="22"/>
          <w:lang w:val="en-US"/>
        </w:rPr>
        <w:t>.</w:t>
      </w:r>
      <w:r w:rsidR="00D10193" w:rsidRPr="00CA52B5">
        <w:rPr>
          <w:sz w:val="22"/>
          <w:szCs w:val="22"/>
          <w:lang w:val="en-US"/>
        </w:rPr>
        <w:t xml:space="preserve"> Vitamin D repletion (serum 25(OH)D ≥75nmol/L) was achieved </w:t>
      </w:r>
      <w:r w:rsidR="00AB6579" w:rsidRPr="00CA52B5">
        <w:rPr>
          <w:sz w:val="22"/>
          <w:szCs w:val="22"/>
          <w:lang w:val="en-US"/>
        </w:rPr>
        <w:t xml:space="preserve">in </w:t>
      </w:r>
      <w:r w:rsidR="00D10193" w:rsidRPr="00CA52B5">
        <w:rPr>
          <w:sz w:val="22"/>
          <w:szCs w:val="22"/>
          <w:lang w:val="en-US"/>
        </w:rPr>
        <w:t xml:space="preserve">76.5% of patients by T3. Mean serum 25(OH)D continued to increase from T3 to T6 and was adequately maintained throughout the </w:t>
      </w:r>
      <w:r w:rsidR="005E7ED3" w:rsidRPr="00CA52B5">
        <w:rPr>
          <w:sz w:val="22"/>
          <w:szCs w:val="22"/>
          <w:lang w:val="en-US"/>
        </w:rPr>
        <w:t>duration of the study</w:t>
      </w:r>
      <w:r w:rsidR="00D10193" w:rsidRPr="00CA52B5">
        <w:rPr>
          <w:sz w:val="22"/>
          <w:szCs w:val="22"/>
          <w:lang w:val="en-US"/>
        </w:rPr>
        <w:t xml:space="preserve">. </w:t>
      </w:r>
    </w:p>
    <w:p w14:paraId="1EE1E730" w14:textId="77777777" w:rsidR="000E3541" w:rsidRPr="00CA52B5" w:rsidRDefault="00D10193" w:rsidP="00E44C37">
      <w:pPr>
        <w:jc w:val="both"/>
        <w:rPr>
          <w:b/>
          <w:noProof/>
          <w:sz w:val="22"/>
          <w:szCs w:val="22"/>
        </w:rPr>
      </w:pPr>
      <w:r w:rsidRPr="00CA52B5">
        <w:rPr>
          <w:b/>
          <w:noProof/>
          <w:sz w:val="22"/>
          <w:szCs w:val="22"/>
        </w:rPr>
        <w:t>Conclusion</w:t>
      </w:r>
    </w:p>
    <w:p w14:paraId="5B6ED6BB" w14:textId="39F66E64" w:rsidR="00B43E3E" w:rsidRPr="00CA52B5" w:rsidRDefault="00B47579" w:rsidP="005E7ED3">
      <w:pPr>
        <w:jc w:val="both"/>
        <w:rPr>
          <w:sz w:val="22"/>
          <w:szCs w:val="22"/>
        </w:rPr>
      </w:pPr>
      <w:r w:rsidRPr="00CA52B5">
        <w:rPr>
          <w:rFonts w:eastAsia="AdvT143"/>
          <w:sz w:val="22"/>
          <w:szCs w:val="22"/>
        </w:rPr>
        <w:t>H</w:t>
      </w:r>
      <w:r w:rsidR="00D10193" w:rsidRPr="00CA52B5">
        <w:rPr>
          <w:rFonts w:eastAsia="AdvT143"/>
          <w:sz w:val="22"/>
          <w:szCs w:val="22"/>
        </w:rPr>
        <w:t xml:space="preserve">ypovitaminosis D is prevalent in the haemodialysis population in Coventry and this is likely to reflect UK haemodialysis patients. </w:t>
      </w:r>
      <w:r w:rsidR="005E7ED3" w:rsidRPr="00CA52B5">
        <w:rPr>
          <w:sz w:val="22"/>
          <w:szCs w:val="22"/>
        </w:rPr>
        <w:t xml:space="preserve">The </w:t>
      </w:r>
      <w:r w:rsidR="005E7ED3" w:rsidRPr="00CA52B5">
        <w:rPr>
          <w:sz w:val="22"/>
          <w:szCs w:val="22"/>
        </w:rPr>
        <w:t>vitamin D supplementation guideline developed at UHCW</w:t>
      </w:r>
      <w:r w:rsidR="00CA52B5" w:rsidRPr="00CA52B5">
        <w:rPr>
          <w:sz w:val="22"/>
          <w:szCs w:val="22"/>
        </w:rPr>
        <w:t xml:space="preserve"> for</w:t>
      </w:r>
      <w:r w:rsidR="005E7ED3" w:rsidRPr="00CA52B5">
        <w:rPr>
          <w:sz w:val="22"/>
          <w:szCs w:val="22"/>
        </w:rPr>
        <w:t xml:space="preserve"> all haemodialysis patients, is both safe and effective.</w:t>
      </w:r>
      <w:r w:rsidR="00CA52B5" w:rsidRPr="00CA52B5">
        <w:rPr>
          <w:sz w:val="22"/>
          <w:szCs w:val="22"/>
        </w:rPr>
        <w:t xml:space="preserve"> </w:t>
      </w:r>
      <w:r w:rsidR="00B43E3E" w:rsidRPr="00CA52B5">
        <w:rPr>
          <w:rFonts w:eastAsia="AdvT143"/>
          <w:sz w:val="22"/>
          <w:szCs w:val="22"/>
        </w:rPr>
        <w:t xml:space="preserve">Complementing </w:t>
      </w:r>
      <w:r w:rsidR="00B43E3E" w:rsidRPr="00CA52B5">
        <w:rPr>
          <w:sz w:val="22"/>
          <w:szCs w:val="22"/>
        </w:rPr>
        <w:t xml:space="preserve">1,25(OH)D analogue treatment with colecalciferol may </w:t>
      </w:r>
      <w:r w:rsidRPr="00CA52B5">
        <w:rPr>
          <w:sz w:val="22"/>
          <w:szCs w:val="22"/>
        </w:rPr>
        <w:t xml:space="preserve">have a role in improving EPO response and </w:t>
      </w:r>
      <w:r w:rsidR="00AB6579" w:rsidRPr="00CA52B5">
        <w:rPr>
          <w:sz w:val="22"/>
          <w:szCs w:val="22"/>
        </w:rPr>
        <w:t xml:space="preserve">thus </w:t>
      </w:r>
      <w:r w:rsidR="00B43E3E" w:rsidRPr="00CA52B5">
        <w:rPr>
          <w:sz w:val="22"/>
          <w:szCs w:val="22"/>
        </w:rPr>
        <w:t xml:space="preserve">in </w:t>
      </w:r>
      <w:r w:rsidRPr="00CA52B5">
        <w:rPr>
          <w:sz w:val="22"/>
          <w:szCs w:val="22"/>
        </w:rPr>
        <w:t>the management of</w:t>
      </w:r>
      <w:r w:rsidR="00B43E3E" w:rsidRPr="00CA52B5">
        <w:rPr>
          <w:sz w:val="22"/>
          <w:szCs w:val="22"/>
        </w:rPr>
        <w:t xml:space="preserve"> </w:t>
      </w:r>
      <w:r w:rsidR="00D10193" w:rsidRPr="00CA52B5">
        <w:rPr>
          <w:sz w:val="22"/>
          <w:szCs w:val="22"/>
        </w:rPr>
        <w:t>renal anaemia</w:t>
      </w:r>
      <w:r w:rsidR="00B43E3E" w:rsidRPr="00CA52B5">
        <w:rPr>
          <w:sz w:val="22"/>
          <w:szCs w:val="22"/>
        </w:rPr>
        <w:t>.</w:t>
      </w:r>
    </w:p>
    <w:p w14:paraId="4630A9E9" w14:textId="77777777" w:rsidR="00B43E3E" w:rsidRPr="00CA52B5" w:rsidRDefault="00B43E3E" w:rsidP="00B43E3E">
      <w:pPr>
        <w:pStyle w:val="Default"/>
        <w:rPr>
          <w:sz w:val="22"/>
          <w:szCs w:val="22"/>
        </w:rPr>
      </w:pPr>
    </w:p>
    <w:p w14:paraId="53F331A6" w14:textId="77777777" w:rsidR="00B43E3E" w:rsidRPr="00CA52B5" w:rsidRDefault="00B43E3E" w:rsidP="00B43E3E">
      <w:pPr>
        <w:pStyle w:val="Default"/>
        <w:rPr>
          <w:sz w:val="22"/>
          <w:szCs w:val="22"/>
        </w:rPr>
      </w:pPr>
      <w:r w:rsidRPr="00CA52B5">
        <w:rPr>
          <w:sz w:val="22"/>
          <w:szCs w:val="22"/>
        </w:rPr>
        <w:t>This work was supported by the British Renal Society in collaboration with the British Kidney Patient Association</w:t>
      </w:r>
    </w:p>
    <w:p w14:paraId="33C49DA0" w14:textId="77777777" w:rsidR="001A5F6A" w:rsidRPr="00B47579" w:rsidRDefault="001A5F6A">
      <w:pPr>
        <w:rPr>
          <w:sz w:val="22"/>
          <w:szCs w:val="22"/>
        </w:rPr>
      </w:pPr>
    </w:p>
    <w:sectPr w:rsidR="001A5F6A" w:rsidRPr="00B475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T143">
    <w:altName w:val="IMPAC Gothic"/>
    <w:charset w:val="80"/>
    <w:family w:val="auto"/>
    <w:pitch w:val="default"/>
    <w:sig w:usb0="00000000" w:usb1="00000000" w:usb2="0000000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E3E"/>
    <w:rsid w:val="000C0652"/>
    <w:rsid w:val="000E3541"/>
    <w:rsid w:val="001A5F6A"/>
    <w:rsid w:val="0027470F"/>
    <w:rsid w:val="003C0FEB"/>
    <w:rsid w:val="005E7ED3"/>
    <w:rsid w:val="006E4D1C"/>
    <w:rsid w:val="00AA629A"/>
    <w:rsid w:val="00AB6579"/>
    <w:rsid w:val="00AD6729"/>
    <w:rsid w:val="00B43E3E"/>
    <w:rsid w:val="00B47579"/>
    <w:rsid w:val="00B77446"/>
    <w:rsid w:val="00BD0C53"/>
    <w:rsid w:val="00C04DCD"/>
    <w:rsid w:val="00C451A8"/>
    <w:rsid w:val="00CA52B5"/>
    <w:rsid w:val="00D10193"/>
    <w:rsid w:val="00D710E0"/>
    <w:rsid w:val="00DB331B"/>
    <w:rsid w:val="00DD7209"/>
    <w:rsid w:val="00E4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62A79"/>
  <w15:docId w15:val="{49ADCD3F-0FF0-490B-A4EC-22C096B1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3E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43E3E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AB65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5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57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5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57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5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579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99"/>
    <w:qFormat/>
    <w:rsid w:val="005E7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Huish, Sharon</dc:creator>
  <cp:keywords/>
  <dc:description/>
  <cp:lastModifiedBy>Huish, Sharon</cp:lastModifiedBy>
  <cp:revision>3</cp:revision>
  <dcterms:created xsi:type="dcterms:W3CDTF">2018-01-29T15:11:00Z</dcterms:created>
  <dcterms:modified xsi:type="dcterms:W3CDTF">2018-01-29T15:13:00Z</dcterms:modified>
</cp:coreProperties>
</file>