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D56FE" w14:textId="59A3E7F8" w:rsidR="00DA4096" w:rsidRDefault="00DA4096" w:rsidP="00DA4096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en-GB"/>
        </w:rPr>
      </w:pPr>
      <w:bookmarkStart w:id="0" w:name="_GoBack"/>
      <w:bookmarkEnd w:id="0"/>
      <w:r w:rsidRPr="00DA4096">
        <w:rPr>
          <w:rFonts w:ascii="Arial" w:hAnsi="Arial" w:cs="Arial"/>
          <w:b/>
        </w:rPr>
        <w:t>ACUTE KIDNEY INJURY</w:t>
      </w:r>
      <w:r w:rsidR="00E24BDB">
        <w:rPr>
          <w:rFonts w:ascii="Arial" w:hAnsi="Arial" w:cs="Arial"/>
          <w:b/>
        </w:rPr>
        <w:t xml:space="preserve"> </w:t>
      </w:r>
      <w:r w:rsidR="009408AD">
        <w:rPr>
          <w:rFonts w:ascii="Arial" w:hAnsi="Arial" w:cs="Arial"/>
          <w:b/>
        </w:rPr>
        <w:t xml:space="preserve">CALCULATED USING </w:t>
      </w:r>
      <w:r w:rsidR="00DA72E2">
        <w:rPr>
          <w:rFonts w:ascii="Arial" w:hAnsi="Arial" w:cs="Arial"/>
          <w:b/>
        </w:rPr>
        <w:t>ADMISSION SERUM CREATININE UNDERESTIMATES THE IMP</w:t>
      </w:r>
      <w:r w:rsidR="0029745F">
        <w:rPr>
          <w:rFonts w:ascii="Arial" w:hAnsi="Arial" w:cs="Arial"/>
          <w:b/>
        </w:rPr>
        <w:t>ACT ON 30-</w:t>
      </w:r>
      <w:r w:rsidR="00DA72E2">
        <w:rPr>
          <w:rFonts w:ascii="Arial" w:hAnsi="Arial" w:cs="Arial"/>
          <w:b/>
        </w:rPr>
        <w:t>DAY AND</w:t>
      </w:r>
      <w:r w:rsidR="0029745F">
        <w:rPr>
          <w:rFonts w:ascii="Arial" w:hAnsi="Arial" w:cs="Arial"/>
          <w:b/>
        </w:rPr>
        <w:t xml:space="preserve"> 1-</w:t>
      </w:r>
      <w:r w:rsidR="00DA72E2">
        <w:rPr>
          <w:rFonts w:ascii="Arial" w:hAnsi="Arial" w:cs="Arial"/>
          <w:b/>
        </w:rPr>
        <w:t>YEAR MORTALITY AFTER ACUTE STROKE.</w:t>
      </w:r>
      <w:r w:rsidR="00DA72E2" w:rsidRPr="00DA409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DA4096">
        <w:rPr>
          <w:rFonts w:ascii="Arial" w:eastAsia="Times New Roman" w:hAnsi="Arial" w:cs="Arial"/>
          <w:color w:val="000000"/>
          <w:lang w:eastAsia="en-GB"/>
        </w:rPr>
        <w:br/>
      </w:r>
      <w:r w:rsidRPr="0026662D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="00D779D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en-GB"/>
        </w:rPr>
        <w:t>Abstract</w:t>
      </w:r>
    </w:p>
    <w:p w14:paraId="5267217B" w14:textId="77777777" w:rsidR="00CD7F15" w:rsidRDefault="00DA4096" w:rsidP="00DA409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</w:pPr>
      <w:r w:rsidRPr="0026662D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Pr="0026662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en-GB"/>
        </w:rPr>
        <w:t>INTRODUCTION AND AIMS:</w:t>
      </w:r>
      <w:r w:rsidRPr="0026662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 </w:t>
      </w:r>
    </w:p>
    <w:p w14:paraId="54AF263D" w14:textId="20B1CB7E" w:rsidR="00DA4096" w:rsidRPr="00552CCB" w:rsidRDefault="00782C63" w:rsidP="00DA409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Acute kidney injury (AKI)</w:t>
      </w:r>
      <w:r w:rsidR="007E04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is associated with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poor outcomes</w:t>
      </w:r>
      <w:r w:rsidR="005B60C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in a number of conditions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. Diagn</w:t>
      </w:r>
      <w:r w:rsidR="005245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osing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AKI is challenged by reliance on changes in serum c</w:t>
      </w:r>
      <w:r w:rsidR="007E04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reatinine (SCr) from a </w:t>
      </w:r>
      <w:r w:rsidR="00CB5C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known </w:t>
      </w:r>
      <w:r w:rsidR="007E04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baseline</w:t>
      </w:r>
      <w:r w:rsidR="00CB5C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. </w:t>
      </w:r>
      <w:r w:rsidR="00CB5C66" w:rsidRPr="0026662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Kidney Disease Improving Global Outcomes (KDIGO</w:t>
      </w:r>
      <w:r w:rsidR="00CB5C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) recommends the use of preadmission </w:t>
      </w:r>
      <w:r w:rsidR="00837DE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SCr values as the gold </w:t>
      </w:r>
      <w:r w:rsidR="004161B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standard;</w:t>
      </w:r>
      <w:r w:rsidR="00837DE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h</w:t>
      </w:r>
      <w:r w:rsidR="007E04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owever </w:t>
      </w:r>
      <w:r w:rsidR="005D4C0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this</w:t>
      </w:r>
      <w:r w:rsidR="00837DE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data </w:t>
      </w:r>
      <w:r w:rsidR="007E04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can be missing in up to 50% of patients.</w:t>
      </w:r>
      <w:r w:rsidR="00837DE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Where preadmission SCr is missing</w:t>
      </w:r>
      <w:r w:rsidR="00552CC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, </w:t>
      </w:r>
      <w:r w:rsidR="00CB5C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KDIGO </w:t>
      </w:r>
      <w:r w:rsidR="007E04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suggest </w:t>
      </w:r>
      <w:r w:rsidR="00837DE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back-calculation of </w:t>
      </w:r>
      <w:r w:rsidR="007E04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baseline SCr by assuming a </w:t>
      </w:r>
      <w:r w:rsidR="00837DE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pre</w:t>
      </w:r>
      <w:r w:rsidR="00A476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admission </w:t>
      </w:r>
      <w:r w:rsidR="000A6D9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glomerular filtration rate (</w:t>
      </w:r>
      <w:r w:rsidR="007E04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GFR</w:t>
      </w:r>
      <w:r w:rsidR="000A6D9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)</w:t>
      </w:r>
      <w:r w:rsidR="007E04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of 75 mL/min/1.73m</w:t>
      </w:r>
      <w:r w:rsidR="007E0434" w:rsidRPr="007E04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vertAlign w:val="superscript"/>
          <w:lang w:eastAsia="en-GB"/>
        </w:rPr>
        <w:t>2</w:t>
      </w:r>
      <w:r w:rsidR="00837DE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. To date,</w:t>
      </w:r>
      <w:r w:rsidR="0029745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r w:rsidR="00837DE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there is limited evidence of </w:t>
      </w:r>
      <w:r w:rsidR="005D4C0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the </w:t>
      </w:r>
      <w:r w:rsidR="007E04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performance </w:t>
      </w:r>
      <w:r w:rsidR="00837DE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of surrogate methods in </w:t>
      </w:r>
      <w:r w:rsidR="007E04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AKI</w:t>
      </w:r>
      <w:r w:rsidR="00837DE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diagnosis</w:t>
      </w:r>
      <w:r w:rsidR="0029745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and first</w:t>
      </w:r>
      <w:r w:rsidR="00C97D3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SCr on admission appears to be </w:t>
      </w:r>
      <w:r w:rsidR="0029745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widely</w:t>
      </w:r>
      <w:r w:rsidR="00C97D3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used in AKI research</w:t>
      </w:r>
      <w:r w:rsidR="00837DE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. We therefore sought to determine</w:t>
      </w:r>
      <w:r w:rsidR="007E04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r w:rsidR="00837DE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AKI </w:t>
      </w:r>
      <w:r w:rsidR="007E04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incidence </w:t>
      </w:r>
      <w:r w:rsidR="00837DE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via</w:t>
      </w:r>
      <w:r w:rsidR="00552CC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different diagnostic methods using a cohort of acute stroke</w:t>
      </w:r>
      <w:r w:rsidR="007E04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admissions </w:t>
      </w:r>
      <w:r w:rsidR="00837DE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in the United Kingdom. We also </w:t>
      </w:r>
      <w:r w:rsidR="00F330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explored </w:t>
      </w:r>
      <w:r w:rsidR="00B76E9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predictors of AKI and </w:t>
      </w:r>
      <w:r w:rsidR="00F330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mortality</w:t>
      </w:r>
      <w:r w:rsidR="00552CC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.</w:t>
      </w:r>
    </w:p>
    <w:p w14:paraId="12A31367" w14:textId="77777777" w:rsidR="00CD7F15" w:rsidRDefault="00DA4096" w:rsidP="00DA409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</w:pPr>
      <w:r w:rsidRPr="0026662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en-GB"/>
        </w:rPr>
        <w:t>METHODS:</w:t>
      </w:r>
      <w:r w:rsidRPr="0026662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 </w:t>
      </w:r>
    </w:p>
    <w:p w14:paraId="5E5AD570" w14:textId="2F93B6CA" w:rsidR="00ED6D10" w:rsidRDefault="00BB3847" w:rsidP="00DA4096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Data was collected from </w:t>
      </w:r>
      <w:r w:rsidR="005D4C0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all stroke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admissions </w:t>
      </w:r>
      <w:r w:rsidR="00DA4096" w:rsidRPr="0026662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to a large tertiary centre between December 2012 and Septem</w:t>
      </w:r>
      <w:r w:rsidR="00552CC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ber 2015. Anonymised </w:t>
      </w:r>
      <w:r w:rsidR="00DA4096" w:rsidRPr="0026662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data from the Sentinel Stroke Natio</w:t>
      </w:r>
      <w:r w:rsidR="00552CC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nal Audit Programme (SSNAP) and </w:t>
      </w:r>
      <w:r w:rsidR="00DA4096" w:rsidRPr="0026662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electronic health records were combi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ned. AKI was defined as per </w:t>
      </w:r>
      <w:r w:rsidR="00552CC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KDIGO</w:t>
      </w:r>
      <w:r w:rsidR="00DA4096" w:rsidRPr="0026662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.</w:t>
      </w:r>
      <w:r w:rsidR="00ED6D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AKI rates were calculated using 1) preadmission SCr</w:t>
      </w:r>
      <w:r w:rsidR="005A1B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(AKI</w:t>
      </w:r>
      <w:r w:rsidR="005A1BFC" w:rsidRPr="005A1B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vertAlign w:val="superscript"/>
          <w:lang w:eastAsia="en-GB"/>
        </w:rPr>
        <w:t>pre</w:t>
      </w:r>
      <w:r w:rsidR="005A1B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)</w:t>
      </w:r>
      <w:r w:rsidR="00ED6D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, 2) first SCr on hospital admission</w:t>
      </w:r>
      <w:r w:rsidR="005A1B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(AKI</w:t>
      </w:r>
      <w:r w:rsidR="005A1BFC" w:rsidRPr="005A1B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vertAlign w:val="superscript"/>
          <w:lang w:eastAsia="en-GB"/>
        </w:rPr>
        <w:t>adm</w:t>
      </w:r>
      <w:r w:rsidR="005A1B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)</w:t>
      </w:r>
      <w:r w:rsidR="00ED6D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, 3) minimal SCr during hospital admission</w:t>
      </w:r>
      <w:r w:rsidR="005A1B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(AKI</w:t>
      </w:r>
      <w:r w:rsidR="005A1BFC" w:rsidRPr="005A1B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vertAlign w:val="superscript"/>
          <w:lang w:eastAsia="en-GB"/>
        </w:rPr>
        <w:t>low</w:t>
      </w:r>
      <w:r w:rsidR="005A1B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)</w:t>
      </w:r>
      <w:r w:rsidR="00ED6D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, 4) </w:t>
      </w:r>
      <w:r w:rsidR="00E24BD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back-calculated </w:t>
      </w:r>
      <w:r w:rsidR="00ED6D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SCr assuming a GFR of 75 mL/min/1.73m</w:t>
      </w:r>
      <w:r w:rsidR="00ED6D10" w:rsidRPr="00ED6D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vertAlign w:val="superscript"/>
          <w:lang w:eastAsia="en-GB"/>
        </w:rPr>
        <w:t>2</w:t>
      </w:r>
      <w:r w:rsidR="00ED6D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using the Modification of Diet in Renal Disease (MDRD</w:t>
      </w:r>
      <w:r w:rsidR="00FC3A9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) equation</w:t>
      </w:r>
      <w:r w:rsidR="005A1B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(AKI</w:t>
      </w:r>
      <w:r w:rsidR="005A1BFC" w:rsidRPr="005A1B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vertAlign w:val="superscript"/>
          <w:lang w:eastAsia="en-GB"/>
        </w:rPr>
        <w:t>MDRD</w:t>
      </w:r>
      <w:r w:rsidR="005A1B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)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and</w:t>
      </w:r>
      <w:r w:rsidR="00ED6D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5) </w:t>
      </w:r>
      <w:r w:rsidR="00E24BD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back-calculated</w:t>
      </w:r>
      <w:r w:rsidR="00ED6D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SCr assuming a GFR of 75 mL/min/1.73m</w:t>
      </w:r>
      <w:r w:rsidR="00ED6D10" w:rsidRPr="00ED6D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vertAlign w:val="superscript"/>
          <w:lang w:eastAsia="en-GB"/>
        </w:rPr>
        <w:t>2</w:t>
      </w:r>
      <w:r w:rsidR="00ED6D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using </w:t>
      </w:r>
      <w:r w:rsidR="00FC3A9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the Chronic Kidney Disease Epidemiology Collaboration (</w:t>
      </w:r>
      <w:r w:rsidR="00ED6D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CKD-EPI</w:t>
      </w:r>
      <w:r w:rsidR="00FC3A9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) equation</w:t>
      </w:r>
      <w:r w:rsidR="005A1B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(AKI</w:t>
      </w:r>
      <w:r w:rsidR="005A1BFC" w:rsidRPr="005A1B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vertAlign w:val="superscript"/>
          <w:lang w:eastAsia="en-GB"/>
        </w:rPr>
        <w:t>EPI</w:t>
      </w:r>
      <w:r w:rsidR="005A1B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)</w:t>
      </w:r>
      <w:r w:rsidR="00ED6D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.</w:t>
      </w:r>
    </w:p>
    <w:p w14:paraId="287C24E8" w14:textId="77777777" w:rsidR="00CD7F15" w:rsidRDefault="00DA4096" w:rsidP="00CD7F15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</w:pPr>
      <w:r w:rsidRPr="0026662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en-GB"/>
        </w:rPr>
        <w:t>RESULTS:</w:t>
      </w:r>
      <w:r w:rsidR="00E877A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</w:p>
    <w:p w14:paraId="78974B03" w14:textId="77777777" w:rsidR="000923DF" w:rsidRDefault="00E877AD" w:rsidP="00CD7F15">
      <w:pPr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Of </w:t>
      </w:r>
      <w:r w:rsidR="00DA4096" w:rsidRPr="0026662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14</w:t>
      </w:r>
      <w:r w:rsidR="00552CC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40 admissions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, </w:t>
      </w:r>
      <w:r w:rsidR="00A476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725</w:t>
      </w:r>
      <w:r w:rsidR="005D4C0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(50.3</w:t>
      </w:r>
      <w:r w:rsidR="000A6D9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%)</w:t>
      </w:r>
      <w:r w:rsidR="00A476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had a preadm</w:t>
      </w:r>
      <w:r w:rsidR="00BB38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i</w:t>
      </w:r>
      <w:r w:rsidR="00A476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s</w:t>
      </w:r>
      <w:r w:rsidR="00BB38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s</w:t>
      </w:r>
      <w:r w:rsidR="00A476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ion SCr</w:t>
      </w:r>
      <w:r w:rsidR="00BB38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.</w:t>
      </w:r>
      <w:r w:rsidR="00A476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r w:rsidR="0065177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Subjects with a preadmission SCr were older (</w:t>
      </w:r>
      <w:r w:rsidR="00CD7F1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74.83 ±14.09 vs 69.04 ±16.33, P&lt;0.001</w:t>
      </w:r>
      <w:r w:rsidR="0065177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), less were male (50.5% vs 57.6%, P=0.009) and had more comorbidities including</w:t>
      </w:r>
      <w:r w:rsidR="002E271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hypertension (52.1% vs 43.4%, P=0.001), diabetes (24.1 vs 16.7%, P=0.001) and</w:t>
      </w:r>
      <w:r w:rsidR="0065177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CKD</w:t>
      </w:r>
      <w:r w:rsidR="00D018A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r w:rsidR="005245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stage 3</w:t>
      </w:r>
      <w:r w:rsidR="00D018A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or greater</w:t>
      </w:r>
      <w:r w:rsidR="005245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(38.2% vs 25.8</w:t>
      </w:r>
      <w:r w:rsidR="00576D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%, P&lt;0.001</w:t>
      </w:r>
      <w:r w:rsidR="002E271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).</w:t>
      </w:r>
      <w:r w:rsidR="000A6D9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282 patients had one or no blood tests during admission, leaving 443 included in the final analysis. </w:t>
      </w:r>
      <w:r w:rsidR="005245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The r</w:t>
      </w:r>
      <w:r w:rsidR="002E271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ate</w:t>
      </w:r>
      <w:r w:rsidR="00047F7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of AKI</w:t>
      </w:r>
      <w:r w:rsidR="002E271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using preadmission SCr was 18.7%, compared with 19.9% using first S</w:t>
      </w:r>
      <w:r w:rsidR="00B76E9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Cr, 41.1% using </w:t>
      </w:r>
      <w:r w:rsidR="00D018A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minimal SCr, 37.0</w:t>
      </w:r>
      <w:r w:rsidR="000A6D9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% using back-calculated</w:t>
      </w:r>
      <w:r w:rsidR="00B76E9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r w:rsidR="000A6D9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MDRD GFR and 40.2% using back</w:t>
      </w:r>
      <w:r w:rsidR="00E12B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-</w:t>
      </w:r>
      <w:r w:rsidR="000A6D9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calculated</w:t>
      </w:r>
      <w:r w:rsidR="00B76E9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CKD-EPI GFR. Misclassification rates were correspondin</w:t>
      </w:r>
      <w:r w:rsidR="005D4C0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gly lowest with first SCr (17.4</w:t>
      </w:r>
      <w:r w:rsidR="00E12B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%) and highest with com</w:t>
      </w:r>
      <w:r w:rsidR="00B76E9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puted </w:t>
      </w:r>
      <w:r w:rsidR="005D4C0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CKD-EPI GFR (34.8</w:t>
      </w:r>
      <w:r w:rsidR="00B76E9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%).</w:t>
      </w:r>
      <w:r w:rsidR="005D4C0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In a multivariable regression analysis, pre-existing CKD was the strongest risk factor for AKI (</w:t>
      </w:r>
      <w:r w:rsidR="005D4C07" w:rsidRPr="00536E1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OR </w:t>
      </w:r>
      <w:r w:rsidR="00D018AD">
        <w:rPr>
          <w:rFonts w:ascii="Arial" w:hAnsi="Arial" w:cs="Arial"/>
          <w:sz w:val="21"/>
          <w:szCs w:val="21"/>
        </w:rPr>
        <w:t>2.78, 95% CI 1.69-4.57</w:t>
      </w:r>
      <w:r w:rsidR="005D4C07">
        <w:rPr>
          <w:rFonts w:ascii="Arial" w:hAnsi="Arial" w:cs="Arial"/>
          <w:sz w:val="21"/>
          <w:szCs w:val="21"/>
        </w:rPr>
        <w:t>; P&lt;0.001).</w:t>
      </w:r>
      <w:r w:rsidR="00CD7F15">
        <w:rPr>
          <w:rFonts w:ascii="Arial" w:hAnsi="Arial" w:cs="Arial"/>
          <w:sz w:val="21"/>
          <w:szCs w:val="21"/>
        </w:rPr>
        <w:t xml:space="preserve"> </w:t>
      </w:r>
    </w:p>
    <w:p w14:paraId="7156DBC3" w14:textId="107EFD7B" w:rsidR="00D4770E" w:rsidRDefault="000923DF" w:rsidP="00D4770E">
      <w:pPr>
        <w:rPr>
          <w:rFonts w:ascii="Arial" w:hAnsi="Arial" w:cs="Arial"/>
          <w:sz w:val="21"/>
          <w:szCs w:val="21"/>
          <w:lang w:val="en-GB"/>
        </w:rPr>
      </w:pPr>
      <w:r w:rsidRPr="000923DF">
        <w:rPr>
          <w:rFonts w:ascii="Arial" w:hAnsi="Arial" w:cs="Arial"/>
          <w:sz w:val="21"/>
          <w:szCs w:val="21"/>
        </w:rPr>
        <w:t>Preadmission SCr used to diagnose AKI</w:t>
      </w:r>
      <w:r w:rsidR="005A1BFC">
        <w:rPr>
          <w:rFonts w:ascii="Arial" w:hAnsi="Arial" w:cs="Arial"/>
          <w:sz w:val="21"/>
          <w:szCs w:val="21"/>
        </w:rPr>
        <w:t xml:space="preserve"> (AKI</w:t>
      </w:r>
      <w:r w:rsidR="005A1BFC" w:rsidRPr="005A1BFC">
        <w:rPr>
          <w:rFonts w:ascii="Arial" w:hAnsi="Arial" w:cs="Arial"/>
          <w:sz w:val="21"/>
          <w:szCs w:val="21"/>
          <w:vertAlign w:val="superscript"/>
        </w:rPr>
        <w:t>pre</w:t>
      </w:r>
      <w:r w:rsidR="005A1BFC">
        <w:rPr>
          <w:rFonts w:ascii="Arial" w:hAnsi="Arial" w:cs="Arial"/>
          <w:sz w:val="21"/>
          <w:szCs w:val="21"/>
        </w:rPr>
        <w:t>)</w:t>
      </w:r>
      <w:r w:rsidRPr="000923DF">
        <w:rPr>
          <w:rFonts w:ascii="Arial" w:hAnsi="Arial" w:cs="Arial"/>
          <w:sz w:val="21"/>
          <w:szCs w:val="21"/>
        </w:rPr>
        <w:t xml:space="preserve"> was associated with increased 30-day mortality </w:t>
      </w:r>
      <w:r w:rsidRPr="000923DF">
        <w:rPr>
          <w:rFonts w:ascii="Arial" w:hAnsi="Arial" w:cs="Arial"/>
          <w:sz w:val="21"/>
          <w:szCs w:val="21"/>
          <w:lang w:val="en-GB"/>
        </w:rPr>
        <w:t>(</w:t>
      </w:r>
      <w:r w:rsidR="0027567E">
        <w:rPr>
          <w:rFonts w:ascii="Arial" w:hAnsi="Arial" w:cs="Arial"/>
          <w:sz w:val="21"/>
          <w:szCs w:val="21"/>
          <w:lang w:val="en-GB"/>
        </w:rPr>
        <w:t>28.9</w:t>
      </w:r>
      <w:r w:rsidR="008A2A77">
        <w:rPr>
          <w:rFonts w:ascii="Arial" w:hAnsi="Arial" w:cs="Arial"/>
          <w:sz w:val="21"/>
          <w:szCs w:val="21"/>
          <w:lang w:val="en-GB"/>
        </w:rPr>
        <w:t>% v</w:t>
      </w:r>
      <w:r w:rsidR="0027567E">
        <w:rPr>
          <w:rFonts w:ascii="Arial" w:hAnsi="Arial" w:cs="Arial"/>
          <w:sz w:val="21"/>
          <w:szCs w:val="21"/>
          <w:lang w:val="en-GB"/>
        </w:rPr>
        <w:t>s</w:t>
      </w:r>
      <w:r w:rsidR="008A2A77">
        <w:rPr>
          <w:rFonts w:ascii="Arial" w:hAnsi="Arial" w:cs="Arial"/>
          <w:sz w:val="21"/>
          <w:szCs w:val="21"/>
          <w:lang w:val="en-GB"/>
        </w:rPr>
        <w:t xml:space="preserve"> </w:t>
      </w:r>
      <w:r w:rsidR="0027567E">
        <w:rPr>
          <w:rFonts w:ascii="Arial" w:hAnsi="Arial" w:cs="Arial"/>
          <w:sz w:val="21"/>
          <w:szCs w:val="21"/>
          <w:lang w:val="en-GB"/>
        </w:rPr>
        <w:t>13.9%:</w:t>
      </w:r>
      <w:r w:rsidR="008A2A77">
        <w:rPr>
          <w:rFonts w:ascii="Arial" w:hAnsi="Arial" w:cs="Arial"/>
          <w:sz w:val="21"/>
          <w:szCs w:val="21"/>
          <w:lang w:val="en-GB"/>
        </w:rPr>
        <w:t xml:space="preserve"> P</w:t>
      </w:r>
      <w:r w:rsidR="0027567E">
        <w:rPr>
          <w:rFonts w:ascii="Arial" w:hAnsi="Arial" w:cs="Arial"/>
          <w:sz w:val="21"/>
          <w:szCs w:val="21"/>
          <w:lang w:val="en-GB"/>
        </w:rPr>
        <w:t>=0.001</w:t>
      </w:r>
      <w:r w:rsidR="008A2A77">
        <w:rPr>
          <w:rFonts w:ascii="Arial" w:hAnsi="Arial" w:cs="Arial"/>
          <w:sz w:val="21"/>
          <w:szCs w:val="21"/>
          <w:lang w:val="en-GB"/>
        </w:rPr>
        <w:t xml:space="preserve">; </w:t>
      </w:r>
      <w:r w:rsidRPr="000923DF">
        <w:rPr>
          <w:rFonts w:ascii="Arial" w:hAnsi="Arial" w:cs="Arial"/>
          <w:sz w:val="21"/>
          <w:szCs w:val="21"/>
          <w:lang w:val="en-GB"/>
        </w:rPr>
        <w:t xml:space="preserve">OR </w:t>
      </w:r>
      <w:r w:rsidR="0029745F">
        <w:rPr>
          <w:rFonts w:ascii="Arial" w:hAnsi="Arial" w:cs="Arial"/>
          <w:sz w:val="21"/>
          <w:szCs w:val="21"/>
        </w:rPr>
        <w:t>2.64; 95% CI 1.36-5.12</w:t>
      </w:r>
      <w:r w:rsidRPr="000923DF">
        <w:rPr>
          <w:rFonts w:ascii="Arial" w:hAnsi="Arial" w:cs="Arial"/>
          <w:sz w:val="21"/>
          <w:szCs w:val="21"/>
        </w:rPr>
        <w:t>: P=0.004</w:t>
      </w:r>
      <w:r w:rsidRPr="000923DF">
        <w:rPr>
          <w:rFonts w:ascii="Arial" w:hAnsi="Arial" w:cs="Arial"/>
          <w:sz w:val="21"/>
          <w:szCs w:val="21"/>
          <w:lang w:val="en-GB"/>
        </w:rPr>
        <w:t>)</w:t>
      </w:r>
      <w:r>
        <w:rPr>
          <w:rFonts w:ascii="Arial" w:hAnsi="Arial" w:cs="Arial"/>
          <w:sz w:val="21"/>
          <w:szCs w:val="21"/>
          <w:lang w:val="en-GB"/>
        </w:rPr>
        <w:t xml:space="preserve"> after multiple adjustments. AKI calculated by admission SCr</w:t>
      </w:r>
      <w:r w:rsidR="005A1BFC">
        <w:rPr>
          <w:rFonts w:ascii="Arial" w:hAnsi="Arial" w:cs="Arial"/>
          <w:sz w:val="21"/>
          <w:szCs w:val="21"/>
          <w:lang w:val="en-GB"/>
        </w:rPr>
        <w:t xml:space="preserve"> (AKI</w:t>
      </w:r>
      <w:r w:rsidR="005A1BFC" w:rsidRPr="005A1BFC">
        <w:rPr>
          <w:rFonts w:ascii="Arial" w:hAnsi="Arial" w:cs="Arial"/>
          <w:sz w:val="21"/>
          <w:szCs w:val="21"/>
          <w:vertAlign w:val="superscript"/>
          <w:lang w:val="en-GB"/>
        </w:rPr>
        <w:t>adm</w:t>
      </w:r>
      <w:r w:rsidR="005A1BFC">
        <w:rPr>
          <w:rFonts w:ascii="Arial" w:hAnsi="Arial" w:cs="Arial"/>
          <w:sz w:val="21"/>
          <w:szCs w:val="21"/>
          <w:lang w:val="en-GB"/>
        </w:rPr>
        <w:t>)</w:t>
      </w:r>
      <w:r>
        <w:rPr>
          <w:rFonts w:ascii="Arial" w:hAnsi="Arial" w:cs="Arial"/>
          <w:sz w:val="21"/>
          <w:szCs w:val="21"/>
          <w:lang w:val="en-GB"/>
        </w:rPr>
        <w:t xml:space="preserve"> </w:t>
      </w:r>
      <w:r w:rsidR="00D4770E">
        <w:rPr>
          <w:rFonts w:ascii="Arial" w:hAnsi="Arial" w:cs="Arial"/>
          <w:sz w:val="21"/>
          <w:szCs w:val="21"/>
          <w:lang w:val="en-GB"/>
        </w:rPr>
        <w:t xml:space="preserve">was </w:t>
      </w:r>
      <w:r>
        <w:rPr>
          <w:rFonts w:ascii="Arial" w:hAnsi="Arial" w:cs="Arial"/>
          <w:sz w:val="21"/>
          <w:szCs w:val="21"/>
          <w:lang w:val="en-GB"/>
        </w:rPr>
        <w:t>also associated with increased 30-day mortality</w:t>
      </w:r>
      <w:r w:rsidRPr="000923DF">
        <w:rPr>
          <w:rFonts w:ascii="Arial" w:hAnsi="Arial" w:cs="Arial"/>
          <w:sz w:val="21"/>
          <w:szCs w:val="21"/>
          <w:lang w:val="en-GB"/>
        </w:rPr>
        <w:t xml:space="preserve"> (</w:t>
      </w:r>
      <w:r w:rsidR="00D4770E">
        <w:rPr>
          <w:rFonts w:ascii="Arial" w:hAnsi="Arial" w:cs="Arial"/>
          <w:sz w:val="21"/>
          <w:szCs w:val="21"/>
          <w:lang w:val="en-GB"/>
        </w:rPr>
        <w:t xml:space="preserve">adjusted </w:t>
      </w:r>
      <w:r w:rsidRPr="000923DF">
        <w:rPr>
          <w:rFonts w:ascii="Arial" w:hAnsi="Arial" w:cs="Arial"/>
          <w:sz w:val="21"/>
          <w:szCs w:val="21"/>
          <w:lang w:val="en-GB"/>
        </w:rPr>
        <w:t xml:space="preserve">OR </w:t>
      </w:r>
      <w:r w:rsidR="0029745F">
        <w:rPr>
          <w:rFonts w:ascii="Arial" w:hAnsi="Arial" w:cs="Arial"/>
          <w:sz w:val="21"/>
          <w:szCs w:val="21"/>
          <w:lang w:val="en-GB"/>
        </w:rPr>
        <w:t>2.10</w:t>
      </w:r>
      <w:r w:rsidRPr="000923DF">
        <w:rPr>
          <w:rFonts w:ascii="Arial" w:hAnsi="Arial" w:cs="Arial"/>
          <w:sz w:val="21"/>
          <w:szCs w:val="21"/>
          <w:lang w:val="en-GB"/>
        </w:rPr>
        <w:t>; 95% CI</w:t>
      </w:r>
      <w:r w:rsidR="0029745F">
        <w:rPr>
          <w:rFonts w:ascii="Arial" w:hAnsi="Arial" w:cs="Arial"/>
          <w:sz w:val="21"/>
          <w:szCs w:val="21"/>
          <w:lang w:val="en-GB"/>
        </w:rPr>
        <w:t xml:space="preserve"> 1.10-4.03</w:t>
      </w:r>
      <w:r w:rsidRPr="000923DF">
        <w:rPr>
          <w:rFonts w:ascii="Arial" w:hAnsi="Arial" w:cs="Arial"/>
          <w:sz w:val="21"/>
          <w:szCs w:val="21"/>
          <w:lang w:val="en-GB"/>
        </w:rPr>
        <w:t>: P=</w:t>
      </w:r>
      <w:r w:rsidRPr="000923DF">
        <w:rPr>
          <w:rFonts w:ascii="Arial" w:hAnsi="Arial" w:cs="Arial"/>
          <w:sz w:val="21"/>
          <w:szCs w:val="21"/>
        </w:rPr>
        <w:t>0.026</w:t>
      </w:r>
      <w:r w:rsidRPr="000923DF">
        <w:rPr>
          <w:rFonts w:ascii="Arial" w:hAnsi="Arial" w:cs="Arial"/>
          <w:sz w:val="21"/>
          <w:szCs w:val="21"/>
          <w:lang w:val="en-GB"/>
        </w:rPr>
        <w:t>)</w:t>
      </w:r>
      <w:r w:rsidR="00C97D37">
        <w:rPr>
          <w:rFonts w:ascii="Arial" w:hAnsi="Arial" w:cs="Arial"/>
          <w:sz w:val="21"/>
          <w:szCs w:val="21"/>
          <w:lang w:val="en-GB"/>
        </w:rPr>
        <w:t>. A</w:t>
      </w:r>
      <w:r w:rsidR="005A1BFC">
        <w:rPr>
          <w:rFonts w:ascii="Arial" w:hAnsi="Arial" w:cs="Arial"/>
          <w:sz w:val="21"/>
          <w:szCs w:val="21"/>
          <w:lang w:val="en-GB"/>
        </w:rPr>
        <w:t xml:space="preserve"> further model was</w:t>
      </w:r>
      <w:r w:rsidR="00D4770E">
        <w:rPr>
          <w:rFonts w:ascii="Arial" w:hAnsi="Arial" w:cs="Arial"/>
          <w:sz w:val="21"/>
          <w:szCs w:val="21"/>
          <w:lang w:val="en-GB"/>
        </w:rPr>
        <w:t xml:space="preserve"> constructed entering in both</w:t>
      </w:r>
      <w:r w:rsidR="005A1BFC">
        <w:rPr>
          <w:rFonts w:ascii="Arial" w:hAnsi="Arial" w:cs="Arial"/>
          <w:sz w:val="21"/>
          <w:szCs w:val="21"/>
          <w:lang w:val="en-GB"/>
        </w:rPr>
        <w:t xml:space="preserve"> </w:t>
      </w:r>
      <w:r w:rsidR="005A1BFC" w:rsidRPr="005A1BFC">
        <w:rPr>
          <w:rFonts w:ascii="Arial" w:hAnsi="Arial" w:cs="Arial"/>
          <w:sz w:val="21"/>
          <w:szCs w:val="21"/>
          <w:lang w:val="en-GB"/>
        </w:rPr>
        <w:t>AKI</w:t>
      </w:r>
      <w:r w:rsidR="005A1BFC" w:rsidRPr="005A1BFC">
        <w:rPr>
          <w:rFonts w:ascii="Arial" w:hAnsi="Arial" w:cs="Arial"/>
          <w:sz w:val="21"/>
          <w:szCs w:val="21"/>
          <w:vertAlign w:val="superscript"/>
          <w:lang w:val="en-GB"/>
        </w:rPr>
        <w:t>pre</w:t>
      </w:r>
      <w:r w:rsidR="005A1BFC">
        <w:rPr>
          <w:rFonts w:ascii="Arial" w:hAnsi="Arial" w:cs="Arial"/>
          <w:sz w:val="21"/>
          <w:szCs w:val="21"/>
          <w:lang w:val="en-GB"/>
        </w:rPr>
        <w:t xml:space="preserve"> </w:t>
      </w:r>
      <w:r w:rsidR="00D4770E" w:rsidRPr="005A1BFC">
        <w:rPr>
          <w:rFonts w:ascii="Arial" w:hAnsi="Arial" w:cs="Arial"/>
          <w:sz w:val="21"/>
          <w:szCs w:val="21"/>
          <w:lang w:val="en-GB"/>
        </w:rPr>
        <w:t>and</w:t>
      </w:r>
      <w:r w:rsidR="005A1BFC">
        <w:rPr>
          <w:rFonts w:ascii="Arial" w:hAnsi="Arial" w:cs="Arial"/>
          <w:sz w:val="21"/>
          <w:szCs w:val="21"/>
          <w:lang w:val="en-GB"/>
        </w:rPr>
        <w:t xml:space="preserve"> AKI</w:t>
      </w:r>
      <w:r w:rsidR="005A1BFC" w:rsidRPr="005A1BFC">
        <w:rPr>
          <w:rFonts w:ascii="Arial" w:hAnsi="Arial" w:cs="Arial"/>
          <w:sz w:val="21"/>
          <w:szCs w:val="21"/>
          <w:vertAlign w:val="superscript"/>
          <w:lang w:val="en-GB"/>
        </w:rPr>
        <w:t>adm</w:t>
      </w:r>
      <w:r w:rsidR="00D4770E">
        <w:rPr>
          <w:rFonts w:ascii="Arial" w:hAnsi="Arial" w:cs="Arial"/>
          <w:sz w:val="21"/>
          <w:szCs w:val="21"/>
          <w:lang w:val="en-GB"/>
        </w:rPr>
        <w:t xml:space="preserve"> and in all cases only </w:t>
      </w:r>
      <w:r w:rsidR="005A1BFC">
        <w:rPr>
          <w:rFonts w:ascii="Arial" w:hAnsi="Arial" w:cs="Arial"/>
          <w:sz w:val="21"/>
          <w:szCs w:val="21"/>
          <w:lang w:val="en-GB"/>
        </w:rPr>
        <w:t>AKI</w:t>
      </w:r>
      <w:r w:rsidR="005A1BFC">
        <w:rPr>
          <w:rFonts w:ascii="Arial" w:hAnsi="Arial" w:cs="Arial"/>
          <w:sz w:val="21"/>
          <w:szCs w:val="21"/>
          <w:vertAlign w:val="superscript"/>
          <w:lang w:val="en-GB"/>
        </w:rPr>
        <w:t>pre</w:t>
      </w:r>
      <w:r w:rsidR="005A1BFC">
        <w:rPr>
          <w:rFonts w:ascii="Arial" w:hAnsi="Arial" w:cs="Arial"/>
          <w:sz w:val="21"/>
          <w:szCs w:val="21"/>
          <w:lang w:val="en-GB"/>
        </w:rPr>
        <w:t xml:space="preserve"> was retained. </w:t>
      </w:r>
    </w:p>
    <w:p w14:paraId="018F5B87" w14:textId="5DC504D7" w:rsidR="003E004E" w:rsidRPr="0029745F" w:rsidRDefault="005A1BFC" w:rsidP="00CD7F15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Having an episode of AKI was associated with decreased survival </w:t>
      </w:r>
      <w:r w:rsidR="00FD3C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at 1 year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(Figures 1 and 2) </w:t>
      </w:r>
      <w:r w:rsidRPr="00C97D3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(</w:t>
      </w:r>
      <w:r w:rsidR="00E77C0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AKI</w:t>
      </w:r>
      <w:r w:rsidR="00E77C0D" w:rsidRPr="00E77C0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vertAlign w:val="superscript"/>
          <w:lang w:eastAsia="en-GB"/>
        </w:rPr>
        <w:t>pre</w:t>
      </w:r>
      <w:r w:rsidR="00E77C0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r w:rsidR="0027567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50.6% vs 26.9%: </w:t>
      </w:r>
      <w:r w:rsidR="008A2A7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P</w:t>
      </w:r>
      <w:r w:rsidR="0027567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&lt;0.001</w:t>
      </w:r>
      <w:r w:rsidR="008A2A7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; </w:t>
      </w:r>
      <w:r w:rsidRPr="00C97D3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Log rank test=19.73; P&lt;0.001 and </w:t>
      </w:r>
      <w:r w:rsidR="00E77C0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AKI</w:t>
      </w:r>
      <w:r w:rsidR="00E77C0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vertAlign w:val="superscript"/>
          <w:lang w:eastAsia="en-GB"/>
        </w:rPr>
        <w:t xml:space="preserve">adm </w:t>
      </w:r>
      <w:r w:rsidR="000F18D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43.2</w:t>
      </w:r>
      <w:r w:rsidR="008A2A7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% v</w:t>
      </w:r>
      <w:r w:rsidR="000F18D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s 28.5</w:t>
      </w:r>
      <w:r w:rsidR="008A2A7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%</w:t>
      </w:r>
      <w:r w:rsidR="000F18D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:</w:t>
      </w:r>
      <w:r w:rsidR="008A2A7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P</w:t>
      </w:r>
      <w:r w:rsidR="000F18D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&lt;</w:t>
      </w:r>
      <w:r w:rsidR="008A2A7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0.0</w:t>
      </w:r>
      <w:r w:rsidR="000F18D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01</w:t>
      </w:r>
      <w:r w:rsidR="008A2A7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; </w:t>
      </w:r>
      <w:r w:rsidRPr="00C97D3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Log rank test=6.93; </w:t>
      </w:r>
      <w:r w:rsidRPr="00C97D37">
        <w:rPr>
          <w:rFonts w:ascii="Arial" w:hAnsi="Arial" w:cs="Arial"/>
          <w:sz w:val="21"/>
          <w:szCs w:val="21"/>
        </w:rPr>
        <w:t>P=0.008</w:t>
      </w:r>
      <w:r w:rsidRPr="00C97D3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respectively).</w:t>
      </w:r>
      <w:r w:rsidR="00CC2C1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r w:rsidR="00D4770E" w:rsidRPr="003E00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In multivariable Cox regression analys</w:t>
      </w:r>
      <w:r w:rsidR="00FD3C86" w:rsidRPr="003E00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e</w:t>
      </w:r>
      <w:r w:rsidR="00D4770E" w:rsidRPr="003E00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s, both AKI</w:t>
      </w:r>
      <w:r w:rsidR="00FD3C86" w:rsidRPr="003E00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vertAlign w:val="superscript"/>
          <w:lang w:eastAsia="en-GB"/>
        </w:rPr>
        <w:t>pre</w:t>
      </w:r>
      <w:r w:rsidR="00FD3C86" w:rsidRPr="003E00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and AKI</w:t>
      </w:r>
      <w:r w:rsidR="00FD3C86" w:rsidRPr="003E00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vertAlign w:val="superscript"/>
          <w:lang w:eastAsia="en-GB"/>
        </w:rPr>
        <w:t>adm</w:t>
      </w:r>
      <w:r w:rsidR="00D4770E" w:rsidRPr="003E00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were associated with increased 1-year mortality (adjusted HR 1.90, 95% CI 1.32-2.76; P=0.001 and </w:t>
      </w:r>
      <w:r w:rsidR="00D4770E" w:rsidRPr="003E004E">
        <w:rPr>
          <w:rFonts w:ascii="Arial" w:hAnsi="Arial" w:cs="Arial"/>
          <w:sz w:val="21"/>
          <w:szCs w:val="21"/>
        </w:rPr>
        <w:t>1.47</w:t>
      </w:r>
      <w:r w:rsidR="0029745F" w:rsidRPr="003E004E">
        <w:rPr>
          <w:rFonts w:ascii="Arial" w:hAnsi="Arial" w:cs="Arial"/>
          <w:sz w:val="21"/>
          <w:szCs w:val="21"/>
        </w:rPr>
        <w:t>; 95% CI 1.01-2.15: P=0.046</w:t>
      </w:r>
      <w:r w:rsidR="00D4770E" w:rsidRPr="003E00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).</w:t>
      </w:r>
      <w:r w:rsidRPr="003E00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Again, additional</w:t>
      </w:r>
      <w:r w:rsidR="0029745F" w:rsidRPr="003E00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modelling entering in both</w:t>
      </w:r>
      <w:r w:rsidRPr="003E00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r w:rsidRPr="003E004E">
        <w:rPr>
          <w:rFonts w:ascii="Arial" w:hAnsi="Arial" w:cs="Arial"/>
          <w:sz w:val="21"/>
          <w:szCs w:val="21"/>
          <w:lang w:val="en-GB"/>
        </w:rPr>
        <w:t>AKI</w:t>
      </w:r>
      <w:r w:rsidRPr="003E004E">
        <w:rPr>
          <w:rFonts w:ascii="Arial" w:hAnsi="Arial" w:cs="Arial"/>
          <w:sz w:val="21"/>
          <w:szCs w:val="21"/>
          <w:vertAlign w:val="superscript"/>
          <w:lang w:val="en-GB"/>
        </w:rPr>
        <w:t>pre</w:t>
      </w:r>
      <w:r w:rsidRPr="003E004E">
        <w:rPr>
          <w:rFonts w:ascii="Arial" w:hAnsi="Arial" w:cs="Arial"/>
          <w:sz w:val="21"/>
          <w:szCs w:val="21"/>
          <w:lang w:val="en-GB"/>
        </w:rPr>
        <w:t xml:space="preserve"> and AKI</w:t>
      </w:r>
      <w:r w:rsidRPr="003E004E">
        <w:rPr>
          <w:rFonts w:ascii="Arial" w:hAnsi="Arial" w:cs="Arial"/>
          <w:sz w:val="21"/>
          <w:szCs w:val="21"/>
          <w:vertAlign w:val="superscript"/>
          <w:lang w:val="en-GB"/>
        </w:rPr>
        <w:t>adm</w:t>
      </w:r>
      <w:r w:rsidR="0029745F" w:rsidRPr="003E00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resulted in </w:t>
      </w:r>
      <w:r w:rsidR="00FD3C86" w:rsidRPr="003E00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only AKI</w:t>
      </w:r>
      <w:r w:rsidR="00FD3C86" w:rsidRPr="003E00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vertAlign w:val="superscript"/>
          <w:lang w:eastAsia="en-GB"/>
        </w:rPr>
        <w:t>pre</w:t>
      </w:r>
      <w:r w:rsidR="0029745F" w:rsidRPr="003E00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 being retained.</w:t>
      </w:r>
    </w:p>
    <w:p w14:paraId="55AAE7B9" w14:textId="77777777" w:rsidR="0029745F" w:rsidRDefault="0029745F" w:rsidP="0029745F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</w:pPr>
      <w:r w:rsidRPr="0026662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en-GB"/>
        </w:rPr>
        <w:t>CONCLUSIONS:</w:t>
      </w:r>
      <w:r w:rsidRPr="0026662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 </w:t>
      </w:r>
    </w:p>
    <w:p w14:paraId="188890EE" w14:textId="703522DF" w:rsidR="0029745F" w:rsidRDefault="0029745F" w:rsidP="0029745F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lastRenderedPageBreak/>
        <w:t xml:space="preserve">Using first SCr on admission to diagnose AKI we demonstrate a comparable incidence to using preadmission SCr. Other surrogate methods produced high AKI misclassification rates and should </w:t>
      </w:r>
      <w:r w:rsidR="00FD3C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>probably not be used in stroke patients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. AKI is a common complication following acute stroke and is associated with increased 30-day and 1-year mortality. AKI-associated mortality appears to be underestimated using admission SCr to calculate AKI compared with preadmission SCr. </w:t>
      </w:r>
      <w:r w:rsidR="005A1B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Given that this method is commonly used to deal with missing preadmission SCr values in AKI research, this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  <w:t xml:space="preserve">urgently requires further exploration. </w:t>
      </w:r>
    </w:p>
    <w:p w14:paraId="77DC3359" w14:textId="77777777" w:rsidR="0029745F" w:rsidRDefault="0029745F" w:rsidP="00CD7F15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</w:pPr>
    </w:p>
    <w:p w14:paraId="139BD589" w14:textId="77777777" w:rsidR="00C97D37" w:rsidRDefault="00C97D37" w:rsidP="00CD7F15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</w:pPr>
    </w:p>
    <w:p w14:paraId="62179575" w14:textId="77777777" w:rsidR="00C97D37" w:rsidRDefault="00C97D37" w:rsidP="00CD7F15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n-GB"/>
        </w:rPr>
      </w:pPr>
    </w:p>
    <w:p w14:paraId="583BDBF3" w14:textId="77777777" w:rsidR="0029745F" w:rsidRPr="00CD7F15" w:rsidRDefault="0029745F" w:rsidP="00CD7F15">
      <w:pPr>
        <w:rPr>
          <w:rFonts w:ascii="Arial" w:hAnsi="Arial" w:cs="Arial"/>
          <w:sz w:val="21"/>
          <w:szCs w:val="21"/>
        </w:rPr>
      </w:pPr>
    </w:p>
    <w:p w14:paraId="31B4C244" w14:textId="5A79495D" w:rsidR="00D7215B" w:rsidRDefault="005B4ED1" w:rsidP="00D72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4D928" wp14:editId="62019A6B">
                <wp:simplePos x="0" y="0"/>
                <wp:positionH relativeFrom="column">
                  <wp:posOffset>1428750</wp:posOffset>
                </wp:positionH>
                <wp:positionV relativeFrom="paragraph">
                  <wp:posOffset>0</wp:posOffset>
                </wp:positionV>
                <wp:extent cx="1552575" cy="219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D3A91" id="Rectangle 8" o:spid="_x0000_s1026" style="position:absolute;margin-left:112.5pt;margin-top:0;width:122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6BDEA" wp14:editId="31725801">
                <wp:simplePos x="0" y="0"/>
                <wp:positionH relativeFrom="column">
                  <wp:posOffset>3552825</wp:posOffset>
                </wp:positionH>
                <wp:positionV relativeFrom="paragraph">
                  <wp:posOffset>209550</wp:posOffset>
                </wp:positionV>
                <wp:extent cx="1552575" cy="219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91355" id="Rectangle 9" o:spid="_x0000_s1026" style="position:absolute;margin-left:279.75pt;margin-top:16.5pt;width:122.2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" fillcolor="window" strokecolor="window" strokeweight="2pt"/>
            </w:pict>
          </mc:Fallback>
        </mc:AlternateContent>
      </w:r>
      <w:r w:rsidR="00C97D37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65E84" wp14:editId="7A005451">
                <wp:simplePos x="0" y="0"/>
                <wp:positionH relativeFrom="column">
                  <wp:posOffset>3800475</wp:posOffset>
                </wp:positionH>
                <wp:positionV relativeFrom="paragraph">
                  <wp:posOffset>672465</wp:posOffset>
                </wp:positionV>
                <wp:extent cx="1552575" cy="219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F8555" id="Rectangle 5" o:spid="_x0000_s1026" style="position:absolute;margin-left:299.25pt;margin-top:52.95pt;width:122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" fillcolor="window" strokecolor="window" strokeweight="2pt"/>
            </w:pict>
          </mc:Fallback>
        </mc:AlternateContent>
      </w:r>
      <w:r w:rsidR="004161BD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E4DDFBB" wp14:editId="4440A409">
            <wp:extent cx="4714875" cy="377490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84" cy="377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DACA" w14:textId="27F989F2" w:rsidR="00D7215B" w:rsidRPr="00330FFB" w:rsidRDefault="0029745F" w:rsidP="00DA4096">
      <w:pPr>
        <w:rPr>
          <w:rFonts w:ascii="Arial" w:eastAsia="Times New Roman" w:hAnsi="Arial" w:cs="Arial"/>
          <w:bCs/>
          <w:color w:val="000000"/>
          <w:sz w:val="21"/>
          <w:szCs w:val="21"/>
          <w:shd w:val="clear" w:color="auto" w:fill="FFFFFF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en-GB"/>
        </w:rPr>
        <w:t>Figure 1</w:t>
      </w:r>
      <w:r w:rsidR="00D7215B" w:rsidRPr="00330FFB">
        <w:rPr>
          <w:rFonts w:ascii="Arial" w:eastAsia="Times New Roman" w:hAnsi="Arial" w:cs="Arial"/>
          <w:bCs/>
          <w:color w:val="000000"/>
          <w:sz w:val="21"/>
          <w:szCs w:val="21"/>
          <w:shd w:val="clear" w:color="auto" w:fill="FFFFFF"/>
          <w:lang w:eastAsia="en-GB"/>
        </w:rPr>
        <w:t>. K</w:t>
      </w:r>
      <w:r w:rsidR="00D7215B">
        <w:rPr>
          <w:rFonts w:ascii="Arial" w:eastAsia="Times New Roman" w:hAnsi="Arial" w:cs="Arial"/>
          <w:bCs/>
          <w:color w:val="000000"/>
          <w:sz w:val="21"/>
          <w:szCs w:val="21"/>
          <w:shd w:val="clear" w:color="auto" w:fill="FFFFFF"/>
          <w:lang w:eastAsia="en-GB"/>
        </w:rPr>
        <w:t>aplan-Meier survival curve at 365</w:t>
      </w:r>
      <w:r w:rsidR="00D7215B" w:rsidRPr="00330FFB">
        <w:rPr>
          <w:rFonts w:ascii="Arial" w:eastAsia="Times New Roman" w:hAnsi="Arial" w:cs="Arial"/>
          <w:bCs/>
          <w:color w:val="000000"/>
          <w:sz w:val="21"/>
          <w:szCs w:val="21"/>
          <w:shd w:val="clear" w:color="auto" w:fill="FFFFFF"/>
          <w:lang w:eastAsia="en-GB"/>
        </w:rPr>
        <w:t xml:space="preserve"> days</w:t>
      </w:r>
      <w:r w:rsidR="00D7215B">
        <w:rPr>
          <w:rFonts w:ascii="Arial" w:eastAsia="Times New Roman" w:hAnsi="Arial" w:cs="Arial"/>
          <w:bCs/>
          <w:color w:val="000000"/>
          <w:sz w:val="21"/>
          <w:szCs w:val="21"/>
          <w:shd w:val="clear" w:color="auto" w:fill="FFFFFF"/>
          <w:lang w:eastAsia="en-GB"/>
        </w:rPr>
        <w:t xml:space="preserve"> using preadmission SCr to diagnose AKI</w:t>
      </w:r>
      <w:r w:rsidR="00D7215B" w:rsidRPr="00330FFB">
        <w:rPr>
          <w:rFonts w:ascii="Arial" w:eastAsia="Times New Roman" w:hAnsi="Arial" w:cs="Arial"/>
          <w:bCs/>
          <w:color w:val="000000"/>
          <w:sz w:val="21"/>
          <w:szCs w:val="21"/>
          <w:shd w:val="clear" w:color="auto" w:fill="FFFFFF"/>
          <w:lang w:eastAsia="en-GB"/>
        </w:rPr>
        <w:t>.</w:t>
      </w:r>
    </w:p>
    <w:p w14:paraId="34CCAD79" w14:textId="3E024867" w:rsidR="00330FFB" w:rsidRDefault="005B4ED1" w:rsidP="00DA4096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2C320" wp14:editId="4FFB356A">
                <wp:simplePos x="0" y="0"/>
                <wp:positionH relativeFrom="column">
                  <wp:posOffset>3686175</wp:posOffset>
                </wp:positionH>
                <wp:positionV relativeFrom="paragraph">
                  <wp:posOffset>216535</wp:posOffset>
                </wp:positionV>
                <wp:extent cx="1552575" cy="219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18234" id="Rectangle 4" o:spid="_x0000_s1026" style="position:absolute;margin-left:290.25pt;margin-top:17.05pt;width:122.2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" fillcolor="window" strokecolor="window" strokeweight="2pt"/>
            </w:pict>
          </mc:Fallback>
        </mc:AlternateContent>
      </w:r>
      <w:r w:rsidR="00C97D37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6BD8EA" wp14:editId="78A07A05">
                <wp:simplePos x="0" y="0"/>
                <wp:positionH relativeFrom="column">
                  <wp:posOffset>3724275</wp:posOffset>
                </wp:positionH>
                <wp:positionV relativeFrom="paragraph">
                  <wp:posOffset>673735</wp:posOffset>
                </wp:positionV>
                <wp:extent cx="1552575" cy="219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B97B7" id="Rectangle 6" o:spid="_x0000_s1026" style="position:absolute;margin-left:293.25pt;margin-top:53.05pt;width:122.2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" fillcolor="window" strokecolor="window" strokeweight="2pt"/>
            </w:pict>
          </mc:Fallback>
        </mc:AlternateContent>
      </w:r>
      <w:r w:rsidR="00C97D37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80346C" wp14:editId="131C2749">
                <wp:simplePos x="0" y="0"/>
                <wp:positionH relativeFrom="column">
                  <wp:posOffset>3762375</wp:posOffset>
                </wp:positionH>
                <wp:positionV relativeFrom="paragraph">
                  <wp:posOffset>197485</wp:posOffset>
                </wp:positionV>
                <wp:extent cx="1552575" cy="2190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54788" id="Rectangle 3" o:spid="_x0000_s1026" style="position:absolute;margin-left:296.25pt;margin-top:15.55pt;width:122.2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" fillcolor="window" strokecolor="window" strokeweight="2pt"/>
            </w:pict>
          </mc:Fallback>
        </mc:AlternateContent>
      </w:r>
      <w:r w:rsidR="00C97D37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4CC28" wp14:editId="7AD673CE">
                <wp:simplePos x="0" y="0"/>
                <wp:positionH relativeFrom="column">
                  <wp:posOffset>1638300</wp:posOffset>
                </wp:positionH>
                <wp:positionV relativeFrom="paragraph">
                  <wp:posOffset>-2540</wp:posOffset>
                </wp:positionV>
                <wp:extent cx="155257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A496F" id="Rectangle 2" o:spid="_x0000_s1026" style="position:absolute;margin-left:129pt;margin-top:-.2pt;width:122.2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" fillcolor="window" strokecolor="window" strokeweight="2pt"/>
            </w:pict>
          </mc:Fallback>
        </mc:AlternateContent>
      </w:r>
      <w:r w:rsidR="00C97D37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DDDF696" wp14:editId="3BD30CE7">
            <wp:extent cx="4794397" cy="38385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457" cy="384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F4A9" w14:textId="728DE3C5" w:rsidR="003365D5" w:rsidRPr="005B4ED1" w:rsidRDefault="00C97D37">
      <w:pPr>
        <w:rPr>
          <w:rFonts w:ascii="Arial" w:eastAsia="Times New Roman" w:hAnsi="Arial" w:cs="Arial"/>
          <w:bCs/>
          <w:color w:val="000000"/>
          <w:sz w:val="21"/>
          <w:szCs w:val="21"/>
          <w:shd w:val="clear" w:color="auto" w:fill="FFFFFF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en-GB"/>
        </w:rPr>
        <w:t>Figure 2</w:t>
      </w:r>
      <w:r w:rsidRPr="00330FFB">
        <w:rPr>
          <w:rFonts w:ascii="Arial" w:eastAsia="Times New Roman" w:hAnsi="Arial" w:cs="Arial"/>
          <w:bCs/>
          <w:color w:val="000000"/>
          <w:sz w:val="21"/>
          <w:szCs w:val="21"/>
          <w:shd w:val="clear" w:color="auto" w:fill="FFFFFF"/>
          <w:lang w:eastAsia="en-GB"/>
        </w:rPr>
        <w:t>. K</w:t>
      </w:r>
      <w:r>
        <w:rPr>
          <w:rFonts w:ascii="Arial" w:eastAsia="Times New Roman" w:hAnsi="Arial" w:cs="Arial"/>
          <w:bCs/>
          <w:color w:val="000000"/>
          <w:sz w:val="21"/>
          <w:szCs w:val="21"/>
          <w:shd w:val="clear" w:color="auto" w:fill="FFFFFF"/>
          <w:lang w:eastAsia="en-GB"/>
        </w:rPr>
        <w:t>aplan-Meier survival curve at 365</w:t>
      </w:r>
      <w:r w:rsidRPr="00330FFB">
        <w:rPr>
          <w:rFonts w:ascii="Arial" w:eastAsia="Times New Roman" w:hAnsi="Arial" w:cs="Arial"/>
          <w:bCs/>
          <w:color w:val="000000"/>
          <w:sz w:val="21"/>
          <w:szCs w:val="21"/>
          <w:shd w:val="clear" w:color="auto" w:fill="FFFFFF"/>
          <w:lang w:eastAsia="en-GB"/>
        </w:rPr>
        <w:t xml:space="preserve"> days</w:t>
      </w:r>
      <w:r>
        <w:rPr>
          <w:rFonts w:ascii="Arial" w:eastAsia="Times New Roman" w:hAnsi="Arial" w:cs="Arial"/>
          <w:bCs/>
          <w:color w:val="000000"/>
          <w:sz w:val="21"/>
          <w:szCs w:val="21"/>
          <w:shd w:val="clear" w:color="auto" w:fill="FFFFFF"/>
          <w:lang w:eastAsia="en-GB"/>
        </w:rPr>
        <w:t xml:space="preserve"> using admission SCr to diagnose AKI</w:t>
      </w:r>
      <w:r w:rsidRPr="00330FFB">
        <w:rPr>
          <w:rFonts w:ascii="Arial" w:eastAsia="Times New Roman" w:hAnsi="Arial" w:cs="Arial"/>
          <w:bCs/>
          <w:color w:val="000000"/>
          <w:sz w:val="21"/>
          <w:szCs w:val="21"/>
          <w:shd w:val="clear" w:color="auto" w:fill="FFFFFF"/>
          <w:lang w:eastAsia="en-GB"/>
        </w:rPr>
        <w:t>.</w:t>
      </w:r>
    </w:p>
    <w:sectPr w:rsidR="003365D5" w:rsidRPr="005B4ED1" w:rsidSect="0011600D">
      <w:pgSz w:w="11906" w:h="16838"/>
      <w:pgMar w:top="426" w:right="849" w:bottom="170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F33035" w16cid:durableId="1E020823"/>
  <w16cid:commentId w16cid:paraId="5D8D1554" w16cid:durableId="1E020824"/>
  <w16cid:commentId w16cid:paraId="08781A93" w16cid:durableId="1E020825"/>
  <w16cid:commentId w16cid:paraId="02A031D4" w16cid:durableId="1E020826"/>
  <w16cid:commentId w16cid:paraId="56A43CE0" w16cid:durableId="1E020827"/>
  <w16cid:commentId w16cid:paraId="75C03351" w16cid:durableId="1E020828"/>
  <w16cid:commentId w16cid:paraId="697DA861" w16cid:durableId="1E020829"/>
  <w16cid:commentId w16cid:paraId="14B1781E" w16cid:durableId="1E02082A"/>
  <w16cid:commentId w16cid:paraId="7759D96F" w16cid:durableId="1E02082B"/>
  <w16cid:commentId w16cid:paraId="4CF75C8D" w16cid:durableId="1E02082C"/>
  <w16cid:commentId w16cid:paraId="48A67659" w16cid:durableId="1E02082D"/>
  <w16cid:commentId w16cid:paraId="3517081A" w16cid:durableId="1E0208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96"/>
    <w:rsid w:val="00047F73"/>
    <w:rsid w:val="000658FE"/>
    <w:rsid w:val="000923DF"/>
    <w:rsid w:val="000A6D93"/>
    <w:rsid w:val="000F18D8"/>
    <w:rsid w:val="0011600D"/>
    <w:rsid w:val="001A4F9B"/>
    <w:rsid w:val="002444AA"/>
    <w:rsid w:val="0027567E"/>
    <w:rsid w:val="0029745F"/>
    <w:rsid w:val="002E2714"/>
    <w:rsid w:val="00327366"/>
    <w:rsid w:val="00330FFB"/>
    <w:rsid w:val="003365D5"/>
    <w:rsid w:val="003E004E"/>
    <w:rsid w:val="003E2E33"/>
    <w:rsid w:val="00406432"/>
    <w:rsid w:val="004161BD"/>
    <w:rsid w:val="004C0016"/>
    <w:rsid w:val="004F5BFD"/>
    <w:rsid w:val="00524569"/>
    <w:rsid w:val="00536E1F"/>
    <w:rsid w:val="00552CCB"/>
    <w:rsid w:val="0056651D"/>
    <w:rsid w:val="00576DD6"/>
    <w:rsid w:val="005A1BFC"/>
    <w:rsid w:val="005B4ED1"/>
    <w:rsid w:val="005B60C2"/>
    <w:rsid w:val="005D4C07"/>
    <w:rsid w:val="005E6C2C"/>
    <w:rsid w:val="0063563B"/>
    <w:rsid w:val="00651773"/>
    <w:rsid w:val="006A225D"/>
    <w:rsid w:val="00733813"/>
    <w:rsid w:val="00782C63"/>
    <w:rsid w:val="007B602A"/>
    <w:rsid w:val="007E0434"/>
    <w:rsid w:val="00837DEB"/>
    <w:rsid w:val="00857AF1"/>
    <w:rsid w:val="008A2A77"/>
    <w:rsid w:val="008F7F25"/>
    <w:rsid w:val="009408AD"/>
    <w:rsid w:val="0098469B"/>
    <w:rsid w:val="009C2908"/>
    <w:rsid w:val="009D159F"/>
    <w:rsid w:val="00A32D2F"/>
    <w:rsid w:val="00A47610"/>
    <w:rsid w:val="00B37D00"/>
    <w:rsid w:val="00B76E96"/>
    <w:rsid w:val="00BB3847"/>
    <w:rsid w:val="00BE01B8"/>
    <w:rsid w:val="00C97D37"/>
    <w:rsid w:val="00CB5C66"/>
    <w:rsid w:val="00CC2C1F"/>
    <w:rsid w:val="00CD7F15"/>
    <w:rsid w:val="00D018AD"/>
    <w:rsid w:val="00D07EB7"/>
    <w:rsid w:val="00D4770E"/>
    <w:rsid w:val="00D52A4B"/>
    <w:rsid w:val="00D5566A"/>
    <w:rsid w:val="00D62EEA"/>
    <w:rsid w:val="00D7215B"/>
    <w:rsid w:val="00D779D1"/>
    <w:rsid w:val="00DA4096"/>
    <w:rsid w:val="00DA72E2"/>
    <w:rsid w:val="00E12B50"/>
    <w:rsid w:val="00E24BDB"/>
    <w:rsid w:val="00E56051"/>
    <w:rsid w:val="00E70BCC"/>
    <w:rsid w:val="00E77C0D"/>
    <w:rsid w:val="00E877AD"/>
    <w:rsid w:val="00ED6D10"/>
    <w:rsid w:val="00F06ACF"/>
    <w:rsid w:val="00F33071"/>
    <w:rsid w:val="00F54DFA"/>
    <w:rsid w:val="00FC3A9A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1820A"/>
  <w15:docId w15:val="{F5BBCC8B-508F-4482-B5C5-3BA50AD2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09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71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6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0C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0C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Alice Higgins</cp:lastModifiedBy>
  <cp:revision>2</cp:revision>
  <dcterms:created xsi:type="dcterms:W3CDTF">2018-05-03T08:44:00Z</dcterms:created>
  <dcterms:modified xsi:type="dcterms:W3CDTF">2018-05-03T08:44:00Z</dcterms:modified>
</cp:coreProperties>
</file>