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062A3" w14:textId="4A0DCC79" w:rsidR="00F840F6" w:rsidRDefault="00BD3EEA">
      <w:pPr>
        <w:rPr>
          <w:rFonts w:ascii="Times New Roman" w:hAnsi="Times New Roman" w:cs="Times New Roman"/>
        </w:rPr>
      </w:pPr>
      <w:r>
        <w:rPr>
          <w:rFonts w:ascii="Times New Roman" w:hAnsi="Times New Roman" w:cs="Times New Roman"/>
        </w:rPr>
        <w:t>Abstract – poster presentation</w:t>
      </w:r>
      <w:bookmarkStart w:id="0" w:name="_GoBack"/>
      <w:bookmarkEnd w:id="0"/>
    </w:p>
    <w:p w14:paraId="0E6A1015" w14:textId="25058F62" w:rsidR="00BD3EEA" w:rsidRDefault="00BD3EEA">
      <w:pPr>
        <w:rPr>
          <w:rFonts w:ascii="Times New Roman" w:hAnsi="Times New Roman" w:cs="Times New Roman"/>
        </w:rPr>
      </w:pPr>
      <w:r>
        <w:rPr>
          <w:rFonts w:ascii="Times New Roman" w:hAnsi="Times New Roman" w:cs="Times New Roman"/>
        </w:rPr>
        <w:t>Should we use Salbutamol in acute hyperkalaemia</w:t>
      </w:r>
      <w:r w:rsidR="007E5F32">
        <w:rPr>
          <w:rFonts w:ascii="Times New Roman" w:hAnsi="Times New Roman" w:cs="Times New Roman"/>
        </w:rPr>
        <w:t>?</w:t>
      </w:r>
    </w:p>
    <w:p w14:paraId="7B5FB325" w14:textId="56CBE671" w:rsidR="00BD3EEA" w:rsidRDefault="00BD3EEA">
      <w:pPr>
        <w:rPr>
          <w:rFonts w:ascii="Times New Roman" w:hAnsi="Times New Roman" w:cs="Times New Roman"/>
          <w:b/>
        </w:rPr>
      </w:pPr>
      <w:r w:rsidRPr="00BD3EEA">
        <w:rPr>
          <w:rFonts w:ascii="Times New Roman" w:hAnsi="Times New Roman" w:cs="Times New Roman"/>
          <w:b/>
        </w:rPr>
        <w:t>Problem</w:t>
      </w:r>
    </w:p>
    <w:p w14:paraId="6754576A" w14:textId="3CA81059" w:rsidR="00BD3EEA" w:rsidRPr="00BD3EEA" w:rsidRDefault="00BD3EEA">
      <w:pPr>
        <w:rPr>
          <w:rFonts w:ascii="Times New Roman" w:hAnsi="Times New Roman" w:cs="Times New Roman"/>
        </w:rPr>
      </w:pPr>
      <w:r>
        <w:rPr>
          <w:rFonts w:ascii="Times New Roman" w:hAnsi="Times New Roman" w:cs="Times New Roman"/>
        </w:rPr>
        <w:t>Salbutamol features as an adjunct in treatment of acute hyperkalaemia</w:t>
      </w:r>
      <w:r w:rsidR="007E5F32">
        <w:rPr>
          <w:rFonts w:ascii="Times New Roman" w:hAnsi="Times New Roman" w:cs="Times New Roman"/>
        </w:rPr>
        <w:t xml:space="preserve"> in</w:t>
      </w:r>
      <w:r>
        <w:rPr>
          <w:rFonts w:ascii="Times New Roman" w:hAnsi="Times New Roman" w:cs="Times New Roman"/>
        </w:rPr>
        <w:t xml:space="preserve"> guidelines and review articles but the dose (2.5-20mg) and route (nebulised or intravenous) varies. When treating acute hyperkalaemia caused by a variety of aetiologies it is hard to be sure how much and how to give it. </w:t>
      </w:r>
    </w:p>
    <w:p w14:paraId="4F1C905D" w14:textId="34740CC0" w:rsidR="00BD3EEA" w:rsidRDefault="00BD3EEA">
      <w:pPr>
        <w:rPr>
          <w:rFonts w:ascii="Times New Roman" w:hAnsi="Times New Roman" w:cs="Times New Roman"/>
          <w:b/>
        </w:rPr>
      </w:pPr>
      <w:r w:rsidRPr="00BD3EEA">
        <w:rPr>
          <w:rFonts w:ascii="Times New Roman" w:hAnsi="Times New Roman" w:cs="Times New Roman"/>
          <w:b/>
        </w:rPr>
        <w:t>Purpose</w:t>
      </w:r>
    </w:p>
    <w:p w14:paraId="6319F2AC" w14:textId="4D6D81B8" w:rsidR="00BD3EEA" w:rsidRPr="00BD3EEA" w:rsidRDefault="00BD3EEA">
      <w:pPr>
        <w:rPr>
          <w:rFonts w:ascii="Times New Roman" w:hAnsi="Times New Roman" w:cs="Times New Roman"/>
        </w:rPr>
      </w:pPr>
      <w:r>
        <w:rPr>
          <w:rFonts w:ascii="Times New Roman" w:hAnsi="Times New Roman" w:cs="Times New Roman"/>
        </w:rPr>
        <w:t>To examine the evidence for</w:t>
      </w:r>
      <w:r w:rsidR="007E5F32">
        <w:rPr>
          <w:rFonts w:ascii="Times New Roman" w:hAnsi="Times New Roman" w:cs="Times New Roman"/>
        </w:rPr>
        <w:t xml:space="preserve"> the safety and effectiveness of</w:t>
      </w:r>
      <w:r>
        <w:rPr>
          <w:rFonts w:ascii="Times New Roman" w:hAnsi="Times New Roman" w:cs="Times New Roman"/>
        </w:rPr>
        <w:t xml:space="preserve"> Salbutamol</w:t>
      </w:r>
      <w:r w:rsidR="007E5F32">
        <w:rPr>
          <w:rFonts w:ascii="Times New Roman" w:hAnsi="Times New Roman" w:cs="Times New Roman"/>
        </w:rPr>
        <w:t xml:space="preserve"> as an adjunct to acute hyperkalaemia management</w:t>
      </w:r>
      <w:r>
        <w:rPr>
          <w:rFonts w:ascii="Times New Roman" w:hAnsi="Times New Roman" w:cs="Times New Roman"/>
        </w:rPr>
        <w:t xml:space="preserve"> at </w:t>
      </w:r>
      <w:r w:rsidR="007E5F32">
        <w:rPr>
          <w:rFonts w:ascii="Times New Roman" w:hAnsi="Times New Roman" w:cs="Times New Roman"/>
        </w:rPr>
        <w:t xml:space="preserve">different doses and routes of administration.  </w:t>
      </w:r>
    </w:p>
    <w:p w14:paraId="5E149BF4" w14:textId="7D1646FB" w:rsidR="00BD3EEA" w:rsidRDefault="00BD3EEA">
      <w:pPr>
        <w:rPr>
          <w:rFonts w:ascii="Times New Roman" w:hAnsi="Times New Roman" w:cs="Times New Roman"/>
          <w:b/>
        </w:rPr>
      </w:pPr>
      <w:r w:rsidRPr="00BD3EEA">
        <w:rPr>
          <w:rFonts w:ascii="Times New Roman" w:hAnsi="Times New Roman" w:cs="Times New Roman"/>
          <w:b/>
        </w:rPr>
        <w:t>Design</w:t>
      </w:r>
    </w:p>
    <w:p w14:paraId="5AAE14E7" w14:textId="30EDF71E" w:rsidR="007E5F32" w:rsidRDefault="007E5F32">
      <w:pPr>
        <w:rPr>
          <w:rFonts w:ascii="Times New Roman" w:hAnsi="Times New Roman" w:cs="Times New Roman"/>
        </w:rPr>
      </w:pPr>
      <w:r>
        <w:rPr>
          <w:rFonts w:ascii="Times New Roman" w:hAnsi="Times New Roman" w:cs="Times New Roman"/>
        </w:rPr>
        <w:t xml:space="preserve">A systematic literature review with critical appraisal of papers. </w:t>
      </w:r>
    </w:p>
    <w:p w14:paraId="342DFCF6" w14:textId="7727434E" w:rsidR="007E5F32" w:rsidRPr="007E5F32" w:rsidRDefault="007E5F32">
      <w:pPr>
        <w:rPr>
          <w:rFonts w:ascii="Times New Roman" w:hAnsi="Times New Roman" w:cs="Times New Roman"/>
        </w:rPr>
      </w:pPr>
      <w:r>
        <w:rPr>
          <w:rFonts w:ascii="Times New Roman" w:hAnsi="Times New Roman" w:cs="Times New Roman"/>
        </w:rPr>
        <w:t xml:space="preserve">Inclusion - </w:t>
      </w:r>
      <w:r w:rsidRPr="007E5F32">
        <w:rPr>
          <w:rFonts w:ascii="Times New Roman" w:hAnsi="Times New Roman" w:cs="Times New Roman"/>
        </w:rPr>
        <w:t>Original research article using MDI, IV or nebulised salbutamol in adult patients with hyperkalaemia in combination with other drugs or on its own</w:t>
      </w:r>
      <w:r w:rsidRPr="007E5F32">
        <w:rPr>
          <w:rFonts w:ascii="Times New Roman" w:hAnsi="Times New Roman" w:cs="Times New Roman"/>
        </w:rPr>
        <w:t>.</w:t>
      </w:r>
    </w:p>
    <w:p w14:paraId="5D8BCA5F" w14:textId="4F823741" w:rsidR="007E5F32" w:rsidRPr="007E5F32" w:rsidRDefault="007E5F32">
      <w:pPr>
        <w:rPr>
          <w:rFonts w:ascii="Times New Roman" w:hAnsi="Times New Roman" w:cs="Times New Roman"/>
        </w:rPr>
      </w:pPr>
      <w:r w:rsidRPr="007E5F32">
        <w:rPr>
          <w:rFonts w:ascii="Times New Roman" w:hAnsi="Times New Roman" w:cs="Times New Roman"/>
        </w:rPr>
        <w:t>Exclusion -</w:t>
      </w:r>
      <w:r w:rsidRPr="007E5F32">
        <w:rPr>
          <w:rFonts w:ascii="Times New Roman" w:hAnsi="Times New Roman" w:cs="Times New Roman"/>
        </w:rPr>
        <w:t xml:space="preserve"> Non-human, paediatric, physiological models/ normal potassium at baseline</w:t>
      </w:r>
    </w:p>
    <w:p w14:paraId="697A7F08" w14:textId="608DD311" w:rsidR="00BD3EEA" w:rsidRDefault="00BD3EEA">
      <w:pPr>
        <w:rPr>
          <w:rFonts w:ascii="Times New Roman" w:hAnsi="Times New Roman" w:cs="Times New Roman"/>
          <w:b/>
        </w:rPr>
      </w:pPr>
      <w:r w:rsidRPr="007E5F32">
        <w:rPr>
          <w:rFonts w:ascii="Times New Roman" w:hAnsi="Times New Roman" w:cs="Times New Roman"/>
          <w:b/>
        </w:rPr>
        <w:t>Findings</w:t>
      </w:r>
    </w:p>
    <w:p w14:paraId="77D7E80B" w14:textId="175BD9AD" w:rsidR="007E5F32" w:rsidRPr="000842EA" w:rsidRDefault="007E5F32">
      <w:pPr>
        <w:rPr>
          <w:rFonts w:ascii="Times New Roman" w:hAnsi="Times New Roman" w:cs="Times New Roman"/>
        </w:rPr>
      </w:pPr>
      <w:r>
        <w:rPr>
          <w:rFonts w:ascii="Times New Roman" w:hAnsi="Times New Roman" w:cs="Times New Roman"/>
        </w:rPr>
        <w:t>13 original papers analysed.</w:t>
      </w:r>
      <w:r w:rsidR="000842EA">
        <w:rPr>
          <w:rFonts w:ascii="Times New Roman" w:hAnsi="Times New Roman" w:cs="Times New Roman"/>
        </w:rPr>
        <w:t xml:space="preserve"> </w:t>
      </w:r>
      <w:r w:rsidR="007F30D2">
        <w:rPr>
          <w:rFonts w:ascii="Times New Roman" w:hAnsi="Times New Roman" w:cs="Times New Roman"/>
        </w:rPr>
        <w:t>6</w:t>
      </w:r>
      <w:r w:rsidR="000842EA">
        <w:rPr>
          <w:rFonts w:ascii="Times New Roman" w:hAnsi="Times New Roman" w:cs="Times New Roman"/>
        </w:rPr>
        <w:t>/13</w:t>
      </w:r>
      <w:r w:rsidR="007F30D2">
        <w:rPr>
          <w:rFonts w:ascii="Times New Roman" w:hAnsi="Times New Roman" w:cs="Times New Roman"/>
        </w:rPr>
        <w:t xml:space="preserve"> studies used IV salbutamol, 6/13 used nebulised salbutamol and 1/13 used salbutamol administered via MDI. </w:t>
      </w:r>
      <w:r>
        <w:rPr>
          <w:rFonts w:ascii="Times New Roman" w:hAnsi="Times New Roman" w:cs="Times New Roman"/>
        </w:rPr>
        <w:t xml:space="preserve"> </w:t>
      </w:r>
      <w:r w:rsidR="0083486D">
        <w:rPr>
          <w:rFonts w:ascii="Times New Roman" w:hAnsi="Times New Roman" w:cs="Times New Roman"/>
        </w:rPr>
        <w:t xml:space="preserve">Internal validity </w:t>
      </w:r>
      <w:r w:rsidR="007F30D2">
        <w:rPr>
          <w:rFonts w:ascii="Times New Roman" w:hAnsi="Times New Roman" w:cs="Times New Roman"/>
        </w:rPr>
        <w:t xml:space="preserve">was </w:t>
      </w:r>
      <w:r w:rsidR="0083486D">
        <w:rPr>
          <w:rFonts w:ascii="Times New Roman" w:hAnsi="Times New Roman" w:cs="Times New Roman"/>
        </w:rPr>
        <w:t xml:space="preserve">poor – all single centre studies with small numbers and significant sources of bias. Vague inclusion criteria and only 6/13 were randomised and even when randomisation had occurred it is not clearly described. Blinding occurred in 2/13. Limitations of generalisability and applicability – most studies are on Haemodialysis patients with chronic hyperkalaemia. These patients not necessarily representative of those presenting with rapidly developing hyperkalaemia. Outcome measures are predominantly lowering of serum potassium and do not look at clinically important end points – arrhythmia or death. </w:t>
      </w:r>
      <w:r w:rsidR="000842EA">
        <w:rPr>
          <w:rFonts w:ascii="Times New Roman" w:hAnsi="Times New Roman" w:cs="Times New Roman"/>
        </w:rPr>
        <w:t>No studies demonstrated harm or death and no case reports of harm caused by salbutamol in this context were found.</w:t>
      </w:r>
    </w:p>
    <w:p w14:paraId="0B553B30" w14:textId="696DF037" w:rsidR="00BD3EEA" w:rsidRDefault="00BD3EEA">
      <w:pPr>
        <w:rPr>
          <w:rFonts w:ascii="Times New Roman" w:hAnsi="Times New Roman" w:cs="Times New Roman"/>
          <w:b/>
        </w:rPr>
      </w:pPr>
      <w:r w:rsidRPr="00BD3EEA">
        <w:rPr>
          <w:rFonts w:ascii="Times New Roman" w:hAnsi="Times New Roman" w:cs="Times New Roman"/>
          <w:b/>
        </w:rPr>
        <w:t>Conclusion</w:t>
      </w:r>
    </w:p>
    <w:p w14:paraId="39A56963" w14:textId="30BCCA3B" w:rsidR="000842EA" w:rsidRPr="000842EA" w:rsidRDefault="000842EA">
      <w:pPr>
        <w:rPr>
          <w:rFonts w:ascii="Times New Roman" w:hAnsi="Times New Roman" w:cs="Times New Roman"/>
        </w:rPr>
      </w:pPr>
      <w:r>
        <w:rPr>
          <w:rFonts w:ascii="Times New Roman" w:hAnsi="Times New Roman" w:cs="Times New Roman"/>
        </w:rPr>
        <w:t xml:space="preserve">The evidence for this </w:t>
      </w:r>
      <w:proofErr w:type="gramStart"/>
      <w:r>
        <w:rPr>
          <w:rFonts w:ascii="Times New Roman" w:hAnsi="Times New Roman" w:cs="Times New Roman"/>
        </w:rPr>
        <w:t>well established</w:t>
      </w:r>
      <w:proofErr w:type="gramEnd"/>
      <w:r>
        <w:rPr>
          <w:rFonts w:ascii="Times New Roman" w:hAnsi="Times New Roman" w:cs="Times New Roman"/>
        </w:rPr>
        <w:t xml:space="preserve"> point of medical dogma is of low quality and </w:t>
      </w:r>
      <w:r w:rsidR="007F30D2">
        <w:rPr>
          <w:rFonts w:ascii="Times New Roman" w:hAnsi="Times New Roman" w:cs="Times New Roman"/>
        </w:rPr>
        <w:t xml:space="preserve">poor generalisability to patients presenting with acute hyperkalaemia especially those with AKI or acute hyperkalaemia for other reasons. </w:t>
      </w:r>
    </w:p>
    <w:p w14:paraId="067D9BC1" w14:textId="55A714C5" w:rsidR="00BD3EEA" w:rsidRDefault="00BD3EEA">
      <w:pPr>
        <w:rPr>
          <w:rFonts w:ascii="Times New Roman" w:hAnsi="Times New Roman" w:cs="Times New Roman"/>
          <w:b/>
        </w:rPr>
      </w:pPr>
      <w:r w:rsidRPr="00BD3EEA">
        <w:rPr>
          <w:rFonts w:ascii="Times New Roman" w:hAnsi="Times New Roman" w:cs="Times New Roman"/>
          <w:b/>
        </w:rPr>
        <w:t>Relevance</w:t>
      </w:r>
    </w:p>
    <w:p w14:paraId="05D4B385" w14:textId="082BBE88" w:rsidR="007F30D2" w:rsidRPr="007F30D2" w:rsidRDefault="007F30D2">
      <w:pPr>
        <w:rPr>
          <w:rFonts w:ascii="Times New Roman" w:hAnsi="Times New Roman" w:cs="Times New Roman"/>
        </w:rPr>
      </w:pPr>
      <w:r>
        <w:rPr>
          <w:rFonts w:ascii="Times New Roman" w:hAnsi="Times New Roman" w:cs="Times New Roman"/>
        </w:rPr>
        <w:t>In the acute setting the use of salbutamol as an adjunct to hyperkalaemia management has limited evidence for either good or harm. Further studies are needed and case reports of Salbutamol use in this setting would be helpful to further elucidate its appropriate use.</w:t>
      </w:r>
    </w:p>
    <w:sectPr w:rsidR="007F30D2" w:rsidRPr="007F30D2" w:rsidSect="00BD3EEA">
      <w:pgSz w:w="11906" w:h="16838"/>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EA"/>
    <w:rsid w:val="000842EA"/>
    <w:rsid w:val="00755D44"/>
    <w:rsid w:val="007E5F32"/>
    <w:rsid w:val="007F30D2"/>
    <w:rsid w:val="0083486D"/>
    <w:rsid w:val="00BD3EEA"/>
    <w:rsid w:val="00F84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6F47D"/>
  <w15:chartTrackingRefBased/>
  <w15:docId w15:val="{826CEC1A-898C-4063-AD6A-04EEFD91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dc:creator>
  <cp:keywords/>
  <dc:description/>
  <cp:lastModifiedBy>Natalie</cp:lastModifiedBy>
  <cp:revision>1</cp:revision>
  <dcterms:created xsi:type="dcterms:W3CDTF">2018-01-31T21:47:00Z</dcterms:created>
  <dcterms:modified xsi:type="dcterms:W3CDTF">2018-01-31T22:38:00Z</dcterms:modified>
</cp:coreProperties>
</file>