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B0EA2" w14:textId="6216C358" w:rsidR="00CF5281" w:rsidRPr="002732F8" w:rsidRDefault="00C76A63" w:rsidP="000E0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2F8">
        <w:rPr>
          <w:rFonts w:ascii="Times New Roman" w:hAnsi="Times New Roman" w:cs="Times New Roman"/>
          <w:b/>
          <w:sz w:val="24"/>
          <w:szCs w:val="24"/>
        </w:rPr>
        <w:t>Associations of</w:t>
      </w:r>
      <w:r w:rsidR="007A2265" w:rsidRPr="00273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2A5" w:rsidRPr="002732F8">
        <w:rPr>
          <w:rFonts w:ascii="Times New Roman" w:hAnsi="Times New Roman" w:cs="Times New Roman"/>
          <w:b/>
          <w:sz w:val="24"/>
          <w:szCs w:val="24"/>
        </w:rPr>
        <w:t>Cardio-</w:t>
      </w:r>
      <w:r w:rsidR="007A2265" w:rsidRPr="002732F8">
        <w:rPr>
          <w:rFonts w:ascii="Times New Roman" w:hAnsi="Times New Roman" w:cs="Times New Roman"/>
          <w:b/>
          <w:sz w:val="24"/>
          <w:szCs w:val="24"/>
        </w:rPr>
        <w:t>Renal Bioma</w:t>
      </w:r>
      <w:r w:rsidRPr="002732F8">
        <w:rPr>
          <w:rFonts w:ascii="Times New Roman" w:hAnsi="Times New Roman" w:cs="Times New Roman"/>
          <w:b/>
          <w:sz w:val="24"/>
          <w:szCs w:val="24"/>
        </w:rPr>
        <w:t>rkers</w:t>
      </w:r>
      <w:r w:rsidR="006C6270" w:rsidRPr="002732F8">
        <w:rPr>
          <w:rFonts w:ascii="Times New Roman" w:hAnsi="Times New Roman" w:cs="Times New Roman"/>
          <w:b/>
          <w:sz w:val="24"/>
          <w:szCs w:val="24"/>
        </w:rPr>
        <w:t xml:space="preserve"> in Chronic K</w:t>
      </w:r>
      <w:r w:rsidR="00206354" w:rsidRPr="002732F8">
        <w:rPr>
          <w:rFonts w:ascii="Times New Roman" w:hAnsi="Times New Roman" w:cs="Times New Roman"/>
          <w:b/>
          <w:sz w:val="24"/>
          <w:szCs w:val="24"/>
        </w:rPr>
        <w:t xml:space="preserve">idney Disease </w:t>
      </w:r>
      <w:r w:rsidR="00C32400" w:rsidRPr="002732F8">
        <w:rPr>
          <w:rFonts w:ascii="Times New Roman" w:hAnsi="Times New Roman" w:cs="Times New Roman"/>
          <w:b/>
          <w:sz w:val="24"/>
          <w:szCs w:val="24"/>
        </w:rPr>
        <w:t>p</w:t>
      </w:r>
      <w:r w:rsidR="00D71B78" w:rsidRPr="002732F8">
        <w:rPr>
          <w:rFonts w:ascii="Times New Roman" w:hAnsi="Times New Roman" w:cs="Times New Roman"/>
          <w:b/>
          <w:sz w:val="24"/>
          <w:szCs w:val="24"/>
        </w:rPr>
        <w:t>atients with Non</w:t>
      </w:r>
      <w:r w:rsidR="00206354" w:rsidRPr="002732F8">
        <w:rPr>
          <w:rFonts w:ascii="Times New Roman" w:hAnsi="Times New Roman" w:cs="Times New Roman"/>
          <w:b/>
          <w:sz w:val="24"/>
          <w:szCs w:val="24"/>
        </w:rPr>
        <w:t>-Alcoholic Fatty Liver D</w:t>
      </w:r>
      <w:r w:rsidR="006C6270" w:rsidRPr="002732F8">
        <w:rPr>
          <w:rFonts w:ascii="Times New Roman" w:hAnsi="Times New Roman" w:cs="Times New Roman"/>
          <w:b/>
          <w:sz w:val="24"/>
          <w:szCs w:val="24"/>
        </w:rPr>
        <w:t>isease</w:t>
      </w:r>
    </w:p>
    <w:p w14:paraId="52ED4B38" w14:textId="062C7D85" w:rsidR="006C6270" w:rsidRPr="002732F8" w:rsidRDefault="007A2265" w:rsidP="000E0DB3">
      <w:pPr>
        <w:spacing w:after="0"/>
        <w:jc w:val="both"/>
        <w:rPr>
          <w:rFonts w:ascii="Times New Roman" w:hAnsi="Times New Roman" w:cs="Times New Roman"/>
        </w:rPr>
      </w:pPr>
      <w:r w:rsidRPr="002732F8">
        <w:rPr>
          <w:rFonts w:ascii="Times New Roman" w:hAnsi="Times New Roman" w:cs="Times New Roman"/>
          <w:b/>
        </w:rPr>
        <w:t>Introduction:</w:t>
      </w:r>
      <w:r w:rsidRPr="002732F8">
        <w:rPr>
          <w:rFonts w:ascii="Times New Roman" w:hAnsi="Times New Roman" w:cs="Times New Roman"/>
        </w:rPr>
        <w:t xml:space="preserve"> </w:t>
      </w:r>
      <w:r w:rsidR="00C62FAD" w:rsidRPr="002732F8">
        <w:rPr>
          <w:rFonts w:ascii="Times New Roman" w:hAnsi="Times New Roman" w:cs="Times New Roman"/>
        </w:rPr>
        <w:t>Non-Alcoholic Fatty Liver Disease (</w:t>
      </w:r>
      <w:r w:rsidR="006732A5" w:rsidRPr="002732F8">
        <w:rPr>
          <w:rFonts w:ascii="Times New Roman" w:hAnsi="Times New Roman" w:cs="Times New Roman"/>
        </w:rPr>
        <w:t>NAFLD</w:t>
      </w:r>
      <w:r w:rsidR="00C62FAD" w:rsidRPr="002732F8">
        <w:rPr>
          <w:rFonts w:ascii="Times New Roman" w:hAnsi="Times New Roman" w:cs="Times New Roman"/>
        </w:rPr>
        <w:t>)</w:t>
      </w:r>
      <w:r w:rsidR="006732A5" w:rsidRPr="002732F8">
        <w:rPr>
          <w:rFonts w:ascii="Times New Roman" w:hAnsi="Times New Roman" w:cs="Times New Roman"/>
        </w:rPr>
        <w:t xml:space="preserve"> and </w:t>
      </w:r>
      <w:r w:rsidR="00C62FAD" w:rsidRPr="002732F8">
        <w:rPr>
          <w:rFonts w:ascii="Times New Roman" w:hAnsi="Times New Roman" w:cs="Times New Roman"/>
        </w:rPr>
        <w:t>Chronic Kidney Disease (</w:t>
      </w:r>
      <w:r w:rsidR="006732A5" w:rsidRPr="002732F8">
        <w:rPr>
          <w:rFonts w:ascii="Times New Roman" w:hAnsi="Times New Roman" w:cs="Times New Roman"/>
        </w:rPr>
        <w:t>CKD</w:t>
      </w:r>
      <w:r w:rsidR="00C62FAD" w:rsidRPr="002732F8">
        <w:rPr>
          <w:rFonts w:ascii="Times New Roman" w:hAnsi="Times New Roman" w:cs="Times New Roman"/>
        </w:rPr>
        <w:t>)</w:t>
      </w:r>
      <w:r w:rsidR="006732A5" w:rsidRPr="002732F8">
        <w:rPr>
          <w:rFonts w:ascii="Times New Roman" w:hAnsi="Times New Roman" w:cs="Times New Roman"/>
        </w:rPr>
        <w:t xml:space="preserve"> </w:t>
      </w:r>
      <w:r w:rsidR="007B491B" w:rsidRPr="002732F8">
        <w:rPr>
          <w:rFonts w:ascii="Times New Roman" w:hAnsi="Times New Roman" w:cs="Times New Roman"/>
        </w:rPr>
        <w:t xml:space="preserve">are </w:t>
      </w:r>
      <w:r w:rsidR="000031C2" w:rsidRPr="002732F8">
        <w:rPr>
          <w:rFonts w:ascii="Times New Roman" w:hAnsi="Times New Roman" w:cs="Times New Roman"/>
        </w:rPr>
        <w:t xml:space="preserve">both </w:t>
      </w:r>
      <w:r w:rsidR="007B491B" w:rsidRPr="002732F8">
        <w:rPr>
          <w:rFonts w:ascii="Times New Roman" w:hAnsi="Times New Roman" w:cs="Times New Roman"/>
        </w:rPr>
        <w:t xml:space="preserve">associated with increased risk </w:t>
      </w:r>
      <w:r w:rsidR="000031C2" w:rsidRPr="002732F8">
        <w:rPr>
          <w:rFonts w:ascii="Times New Roman" w:hAnsi="Times New Roman" w:cs="Times New Roman"/>
        </w:rPr>
        <w:t>of c</w:t>
      </w:r>
      <w:r w:rsidR="005A0D88" w:rsidRPr="002732F8">
        <w:rPr>
          <w:rFonts w:ascii="Times New Roman" w:hAnsi="Times New Roman" w:cs="Times New Roman"/>
        </w:rPr>
        <w:t>ardiovascular disease</w:t>
      </w:r>
      <w:r w:rsidR="008B4B7B" w:rsidRPr="002732F8">
        <w:rPr>
          <w:rFonts w:ascii="Times New Roman" w:hAnsi="Times New Roman" w:cs="Times New Roman"/>
        </w:rPr>
        <w:t>(CVD)</w:t>
      </w:r>
      <w:r w:rsidR="005A0D88" w:rsidRPr="002732F8">
        <w:rPr>
          <w:rFonts w:ascii="Times New Roman" w:hAnsi="Times New Roman" w:cs="Times New Roman"/>
        </w:rPr>
        <w:t xml:space="preserve">. </w:t>
      </w:r>
      <w:r w:rsidR="007B491B" w:rsidRPr="002732F8">
        <w:rPr>
          <w:rFonts w:ascii="Times New Roman" w:hAnsi="Times New Roman" w:cs="Times New Roman"/>
        </w:rPr>
        <w:t xml:space="preserve">Novel </w:t>
      </w:r>
      <w:r w:rsidRPr="002732F8">
        <w:rPr>
          <w:rFonts w:ascii="Times New Roman" w:hAnsi="Times New Roman" w:cs="Times New Roman"/>
        </w:rPr>
        <w:t xml:space="preserve">biomarkers </w:t>
      </w:r>
      <w:r w:rsidR="007B491B" w:rsidRPr="002732F8">
        <w:rPr>
          <w:rFonts w:ascii="Times New Roman" w:hAnsi="Times New Roman" w:cs="Times New Roman"/>
        </w:rPr>
        <w:t>may</w:t>
      </w:r>
      <w:r w:rsidRPr="002732F8">
        <w:rPr>
          <w:rFonts w:ascii="Times New Roman" w:hAnsi="Times New Roman" w:cs="Times New Roman"/>
        </w:rPr>
        <w:t xml:space="preserve"> </w:t>
      </w:r>
      <w:r w:rsidR="006C6270" w:rsidRPr="002732F8">
        <w:rPr>
          <w:rFonts w:ascii="Times New Roman" w:hAnsi="Times New Roman" w:cs="Times New Roman"/>
        </w:rPr>
        <w:t>aid</w:t>
      </w:r>
      <w:r w:rsidRPr="002732F8">
        <w:rPr>
          <w:rFonts w:ascii="Times New Roman" w:hAnsi="Times New Roman" w:cs="Times New Roman"/>
        </w:rPr>
        <w:t xml:space="preserve"> </w:t>
      </w:r>
      <w:r w:rsidR="006C6270" w:rsidRPr="002732F8">
        <w:rPr>
          <w:rFonts w:ascii="Times New Roman" w:hAnsi="Times New Roman" w:cs="Times New Roman"/>
        </w:rPr>
        <w:t xml:space="preserve">early diagnosis and </w:t>
      </w:r>
      <w:r w:rsidR="009B5B04" w:rsidRPr="002732F8">
        <w:rPr>
          <w:rFonts w:ascii="Times New Roman" w:hAnsi="Times New Roman" w:cs="Times New Roman"/>
        </w:rPr>
        <w:t>guid</w:t>
      </w:r>
      <w:r w:rsidR="007B491B" w:rsidRPr="002732F8">
        <w:rPr>
          <w:rFonts w:ascii="Times New Roman" w:hAnsi="Times New Roman" w:cs="Times New Roman"/>
        </w:rPr>
        <w:t xml:space="preserve">e </w:t>
      </w:r>
      <w:r w:rsidR="00BD3994" w:rsidRPr="002732F8">
        <w:rPr>
          <w:rFonts w:ascii="Times New Roman" w:hAnsi="Times New Roman" w:cs="Times New Roman"/>
        </w:rPr>
        <w:t>prognosis</w:t>
      </w:r>
      <w:r w:rsidRPr="002732F8">
        <w:rPr>
          <w:rFonts w:ascii="Times New Roman" w:hAnsi="Times New Roman" w:cs="Times New Roman"/>
        </w:rPr>
        <w:t>.</w:t>
      </w:r>
      <w:r w:rsidR="00A75A6A" w:rsidRPr="002732F8">
        <w:rPr>
          <w:rFonts w:ascii="Times New Roman" w:hAnsi="Times New Roman" w:cs="Times New Roman"/>
        </w:rPr>
        <w:t xml:space="preserve"> </w:t>
      </w:r>
      <w:r w:rsidR="007B491B" w:rsidRPr="002732F8">
        <w:rPr>
          <w:rFonts w:ascii="Times New Roman" w:hAnsi="Times New Roman" w:cs="Times New Roman"/>
        </w:rPr>
        <w:t xml:space="preserve">We studied </w:t>
      </w:r>
      <w:r w:rsidR="006C6270" w:rsidRPr="002732F8">
        <w:rPr>
          <w:rFonts w:ascii="Times New Roman" w:hAnsi="Times New Roman" w:cs="Times New Roman"/>
        </w:rPr>
        <w:t xml:space="preserve">the </w:t>
      </w:r>
      <w:r w:rsidR="00C76A63" w:rsidRPr="002732F8">
        <w:rPr>
          <w:rFonts w:ascii="Times New Roman" w:hAnsi="Times New Roman" w:cs="Times New Roman"/>
        </w:rPr>
        <w:t xml:space="preserve">associations </w:t>
      </w:r>
      <w:r w:rsidR="006C6270" w:rsidRPr="002732F8">
        <w:rPr>
          <w:rFonts w:ascii="Times New Roman" w:hAnsi="Times New Roman" w:cs="Times New Roman"/>
        </w:rPr>
        <w:t xml:space="preserve">of </w:t>
      </w:r>
      <w:r w:rsidR="006732A5" w:rsidRPr="002732F8">
        <w:rPr>
          <w:rFonts w:ascii="Times New Roman" w:hAnsi="Times New Roman" w:cs="Times New Roman"/>
        </w:rPr>
        <w:t>Cardio-R</w:t>
      </w:r>
      <w:r w:rsidR="00BB313E" w:rsidRPr="002732F8">
        <w:rPr>
          <w:rFonts w:ascii="Times New Roman" w:hAnsi="Times New Roman" w:cs="Times New Roman"/>
        </w:rPr>
        <w:t xml:space="preserve">enal </w:t>
      </w:r>
      <w:r w:rsidR="003E1111" w:rsidRPr="002732F8">
        <w:rPr>
          <w:rFonts w:ascii="Times New Roman" w:hAnsi="Times New Roman" w:cs="Times New Roman"/>
        </w:rPr>
        <w:t>b</w:t>
      </w:r>
      <w:r w:rsidR="006C6270" w:rsidRPr="002732F8">
        <w:rPr>
          <w:rFonts w:ascii="Times New Roman" w:hAnsi="Times New Roman" w:cs="Times New Roman"/>
        </w:rPr>
        <w:t>iomarkers</w:t>
      </w:r>
      <w:r w:rsidR="00702EA2" w:rsidRPr="002732F8">
        <w:rPr>
          <w:rFonts w:ascii="Times New Roman" w:hAnsi="Times New Roman" w:cs="Times New Roman"/>
        </w:rPr>
        <w:t xml:space="preserve"> </w:t>
      </w:r>
      <w:r w:rsidR="006C6270" w:rsidRPr="002732F8">
        <w:rPr>
          <w:rFonts w:ascii="Times New Roman" w:hAnsi="Times New Roman" w:cs="Times New Roman"/>
        </w:rPr>
        <w:t xml:space="preserve">in </w:t>
      </w:r>
      <w:r w:rsidR="00C76A63" w:rsidRPr="002732F8">
        <w:rPr>
          <w:rFonts w:ascii="Times New Roman" w:hAnsi="Times New Roman" w:cs="Times New Roman"/>
        </w:rPr>
        <w:t xml:space="preserve">a cohort </w:t>
      </w:r>
      <w:r w:rsidR="000031C2" w:rsidRPr="002732F8">
        <w:rPr>
          <w:rFonts w:ascii="Times New Roman" w:hAnsi="Times New Roman" w:cs="Times New Roman"/>
        </w:rPr>
        <w:t xml:space="preserve">of non-dialysis dependent </w:t>
      </w:r>
      <w:r w:rsidR="006732A5" w:rsidRPr="002732F8">
        <w:rPr>
          <w:rFonts w:ascii="Times New Roman" w:hAnsi="Times New Roman" w:cs="Times New Roman"/>
        </w:rPr>
        <w:t xml:space="preserve">CKD </w:t>
      </w:r>
      <w:r w:rsidR="000031C2" w:rsidRPr="002732F8">
        <w:rPr>
          <w:rFonts w:ascii="Times New Roman" w:hAnsi="Times New Roman" w:cs="Times New Roman"/>
        </w:rPr>
        <w:t xml:space="preserve">(NDD-CKD) </w:t>
      </w:r>
      <w:r w:rsidR="006732A5" w:rsidRPr="002732F8">
        <w:rPr>
          <w:rFonts w:ascii="Times New Roman" w:hAnsi="Times New Roman" w:cs="Times New Roman"/>
        </w:rPr>
        <w:t xml:space="preserve">patients with </w:t>
      </w:r>
      <w:r w:rsidR="00973A15" w:rsidRPr="002732F8">
        <w:rPr>
          <w:rFonts w:ascii="Times New Roman" w:hAnsi="Times New Roman" w:cs="Times New Roman"/>
        </w:rPr>
        <w:t>NAF</w:t>
      </w:r>
      <w:r w:rsidR="007B491B" w:rsidRPr="002732F8">
        <w:rPr>
          <w:rFonts w:ascii="Times New Roman" w:hAnsi="Times New Roman" w:cs="Times New Roman"/>
        </w:rPr>
        <w:t>L</w:t>
      </w:r>
      <w:r w:rsidR="00973A15" w:rsidRPr="002732F8">
        <w:rPr>
          <w:rFonts w:ascii="Times New Roman" w:hAnsi="Times New Roman" w:cs="Times New Roman"/>
        </w:rPr>
        <w:t>D</w:t>
      </w:r>
      <w:r w:rsidR="006C6270" w:rsidRPr="002732F8">
        <w:rPr>
          <w:rFonts w:ascii="Times New Roman" w:hAnsi="Times New Roman" w:cs="Times New Roman"/>
        </w:rPr>
        <w:t>.</w:t>
      </w:r>
    </w:p>
    <w:p w14:paraId="334387DA" w14:textId="77777777" w:rsidR="000E0DB3" w:rsidRPr="002732F8" w:rsidRDefault="000E0DB3" w:rsidP="000E0DB3">
      <w:pPr>
        <w:spacing w:after="0"/>
        <w:jc w:val="both"/>
        <w:rPr>
          <w:rFonts w:ascii="Times New Roman" w:hAnsi="Times New Roman" w:cs="Times New Roman"/>
          <w:b/>
        </w:rPr>
      </w:pPr>
    </w:p>
    <w:p w14:paraId="17D24A27" w14:textId="5CA14E3E" w:rsidR="009D5E57" w:rsidRPr="002732F8" w:rsidRDefault="002D2326" w:rsidP="000E0DB3">
      <w:pPr>
        <w:spacing w:after="0"/>
        <w:jc w:val="both"/>
        <w:rPr>
          <w:rFonts w:ascii="Times New Roman" w:hAnsi="Times New Roman" w:cs="Times New Roman"/>
        </w:rPr>
      </w:pPr>
      <w:r w:rsidRPr="002732F8">
        <w:rPr>
          <w:rFonts w:ascii="Times New Roman" w:hAnsi="Times New Roman" w:cs="Times New Roman"/>
          <w:b/>
        </w:rPr>
        <w:t>Methods:</w:t>
      </w:r>
      <w:r w:rsidRPr="002732F8">
        <w:rPr>
          <w:rFonts w:ascii="Times New Roman" w:hAnsi="Times New Roman" w:cs="Times New Roman"/>
        </w:rPr>
        <w:t xml:space="preserve"> </w:t>
      </w:r>
      <w:r w:rsidR="000031C2" w:rsidRPr="002732F8">
        <w:rPr>
          <w:rFonts w:ascii="Times New Roman" w:hAnsi="Times New Roman" w:cs="Times New Roman"/>
        </w:rPr>
        <w:t xml:space="preserve">Patients with </w:t>
      </w:r>
      <w:r w:rsidR="00717086" w:rsidRPr="002732F8">
        <w:rPr>
          <w:rFonts w:ascii="Times New Roman" w:hAnsi="Times New Roman" w:cs="Times New Roman"/>
        </w:rPr>
        <w:t xml:space="preserve">and without ultrasound characteristics of </w:t>
      </w:r>
      <w:r w:rsidR="000031C2" w:rsidRPr="002732F8">
        <w:rPr>
          <w:rFonts w:ascii="Times New Roman" w:hAnsi="Times New Roman" w:cs="Times New Roman"/>
        </w:rPr>
        <w:t>NA</w:t>
      </w:r>
      <w:r w:rsidR="00717086" w:rsidRPr="002732F8">
        <w:rPr>
          <w:rFonts w:ascii="Times New Roman" w:hAnsi="Times New Roman" w:cs="Times New Roman"/>
        </w:rPr>
        <w:t xml:space="preserve">FLD were </w:t>
      </w:r>
      <w:proofErr w:type="gramStart"/>
      <w:r w:rsidR="00717086" w:rsidRPr="002732F8">
        <w:rPr>
          <w:rFonts w:ascii="Times New Roman" w:hAnsi="Times New Roman" w:cs="Times New Roman"/>
        </w:rPr>
        <w:t>identified</w:t>
      </w:r>
      <w:proofErr w:type="gramEnd"/>
      <w:r w:rsidR="00717086" w:rsidRPr="002732F8">
        <w:rPr>
          <w:rFonts w:ascii="Times New Roman" w:hAnsi="Times New Roman" w:cs="Times New Roman"/>
        </w:rPr>
        <w:t xml:space="preserve"> within the</w:t>
      </w:r>
      <w:r w:rsidR="006732A5" w:rsidRPr="002732F8">
        <w:rPr>
          <w:rFonts w:ascii="Times New Roman" w:hAnsi="Times New Roman" w:cs="Times New Roman"/>
        </w:rPr>
        <w:t xml:space="preserve"> Salford Kidney Study(SKS)</w:t>
      </w:r>
      <w:r w:rsidR="00717086" w:rsidRPr="002732F8">
        <w:rPr>
          <w:rFonts w:ascii="Times New Roman" w:hAnsi="Times New Roman" w:cs="Times New Roman"/>
        </w:rPr>
        <w:t>, a large single-centre NDD-CKD cohort study.</w:t>
      </w:r>
      <w:r w:rsidR="006732A5" w:rsidRPr="002732F8">
        <w:rPr>
          <w:rFonts w:ascii="Times New Roman" w:hAnsi="Times New Roman" w:cs="Times New Roman"/>
        </w:rPr>
        <w:t xml:space="preserve"> </w:t>
      </w:r>
    </w:p>
    <w:p w14:paraId="746B929C" w14:textId="3A9936F8" w:rsidR="002D2326" w:rsidRPr="002732F8" w:rsidRDefault="009D5E57" w:rsidP="000E0DB3">
      <w:pPr>
        <w:spacing w:after="0"/>
        <w:jc w:val="both"/>
        <w:rPr>
          <w:rFonts w:ascii="Times New Roman" w:hAnsi="Times New Roman" w:cs="Times New Roman"/>
        </w:rPr>
      </w:pPr>
      <w:r w:rsidRPr="002732F8">
        <w:rPr>
          <w:rFonts w:ascii="Times New Roman" w:hAnsi="Times New Roman" w:cs="Times New Roman"/>
        </w:rPr>
        <w:t xml:space="preserve">Available cardio-renal biomarker (KIM-1, NGAL, MPO, Anti ApoA1, NTproBNP and </w:t>
      </w:r>
      <w:proofErr w:type="spellStart"/>
      <w:r w:rsidRPr="002732F8">
        <w:rPr>
          <w:rFonts w:ascii="Times New Roman" w:hAnsi="Times New Roman" w:cs="Times New Roman"/>
        </w:rPr>
        <w:t>HsTNT</w:t>
      </w:r>
      <w:proofErr w:type="spellEnd"/>
      <w:r w:rsidRPr="002732F8">
        <w:rPr>
          <w:rFonts w:ascii="Times New Roman" w:hAnsi="Times New Roman" w:cs="Times New Roman"/>
        </w:rPr>
        <w:t xml:space="preserve">) results at SKS baseline were used in this study. </w:t>
      </w:r>
      <w:r w:rsidR="006732A5" w:rsidRPr="002732F8">
        <w:rPr>
          <w:rFonts w:ascii="Times New Roman" w:hAnsi="Times New Roman" w:cs="Times New Roman"/>
        </w:rPr>
        <w:t xml:space="preserve">Associations of </w:t>
      </w:r>
      <w:r w:rsidR="003E1111" w:rsidRPr="002732F8">
        <w:rPr>
          <w:rFonts w:ascii="Times New Roman" w:hAnsi="Times New Roman" w:cs="Times New Roman"/>
        </w:rPr>
        <w:t>biomarkers</w:t>
      </w:r>
      <w:r w:rsidR="00E8676F" w:rsidRPr="002732F8">
        <w:rPr>
          <w:rFonts w:ascii="Times New Roman" w:hAnsi="Times New Roman" w:cs="Times New Roman"/>
        </w:rPr>
        <w:t xml:space="preserve"> </w:t>
      </w:r>
      <w:r w:rsidR="00973A15" w:rsidRPr="002732F8">
        <w:rPr>
          <w:rFonts w:ascii="Times New Roman" w:hAnsi="Times New Roman" w:cs="Times New Roman"/>
        </w:rPr>
        <w:t xml:space="preserve">with NAFLD and </w:t>
      </w:r>
      <w:r w:rsidR="00717086" w:rsidRPr="002732F8">
        <w:rPr>
          <w:rFonts w:ascii="Times New Roman" w:hAnsi="Times New Roman" w:cs="Times New Roman"/>
        </w:rPr>
        <w:t xml:space="preserve">major </w:t>
      </w:r>
      <w:r w:rsidR="00973A15" w:rsidRPr="002732F8">
        <w:rPr>
          <w:rFonts w:ascii="Times New Roman" w:hAnsi="Times New Roman" w:cs="Times New Roman"/>
        </w:rPr>
        <w:t>outcomes</w:t>
      </w:r>
      <w:r w:rsidR="00BA302A" w:rsidRPr="002732F8">
        <w:rPr>
          <w:rFonts w:ascii="Times New Roman" w:hAnsi="Times New Roman" w:cs="Times New Roman"/>
        </w:rPr>
        <w:t xml:space="preserve"> </w:t>
      </w:r>
      <w:r w:rsidR="00973A15" w:rsidRPr="002732F8">
        <w:rPr>
          <w:rFonts w:ascii="Times New Roman" w:hAnsi="Times New Roman" w:cs="Times New Roman"/>
        </w:rPr>
        <w:t xml:space="preserve">(MACE, </w:t>
      </w:r>
      <w:r w:rsidR="00717086" w:rsidRPr="002732F8">
        <w:rPr>
          <w:rFonts w:ascii="Times New Roman" w:hAnsi="Times New Roman" w:cs="Times New Roman"/>
        </w:rPr>
        <w:t>m</w:t>
      </w:r>
      <w:r w:rsidR="00973A15" w:rsidRPr="002732F8">
        <w:rPr>
          <w:rFonts w:ascii="Times New Roman" w:hAnsi="Times New Roman" w:cs="Times New Roman"/>
        </w:rPr>
        <w:t xml:space="preserve">ortality and </w:t>
      </w:r>
      <w:r w:rsidR="00717086" w:rsidRPr="002732F8">
        <w:rPr>
          <w:rFonts w:ascii="Times New Roman" w:hAnsi="Times New Roman" w:cs="Times New Roman"/>
        </w:rPr>
        <w:t>ESKD</w:t>
      </w:r>
      <w:r w:rsidR="00F049E2" w:rsidRPr="002732F8">
        <w:rPr>
          <w:rFonts w:ascii="Times New Roman" w:hAnsi="Times New Roman" w:cs="Times New Roman"/>
        </w:rPr>
        <w:t>) w</w:t>
      </w:r>
      <w:r w:rsidR="00717086" w:rsidRPr="002732F8">
        <w:rPr>
          <w:rFonts w:ascii="Times New Roman" w:hAnsi="Times New Roman" w:cs="Times New Roman"/>
        </w:rPr>
        <w:t>ere</w:t>
      </w:r>
      <w:r w:rsidR="00F049E2" w:rsidRPr="002732F8">
        <w:rPr>
          <w:rFonts w:ascii="Times New Roman" w:hAnsi="Times New Roman" w:cs="Times New Roman"/>
        </w:rPr>
        <w:t xml:space="preserve"> studied using Cox-Regression analysis.</w:t>
      </w:r>
    </w:p>
    <w:p w14:paraId="642B095B" w14:textId="77777777" w:rsidR="00314CE9" w:rsidRPr="002732F8" w:rsidRDefault="00314CE9" w:rsidP="000E0DB3">
      <w:pPr>
        <w:spacing w:after="0"/>
        <w:jc w:val="both"/>
        <w:rPr>
          <w:rFonts w:ascii="Times New Roman" w:hAnsi="Times New Roman" w:cs="Times New Roman"/>
          <w:b/>
        </w:rPr>
      </w:pPr>
    </w:p>
    <w:p w14:paraId="603BB3B2" w14:textId="4464A56C" w:rsidR="00404670" w:rsidRPr="002732F8" w:rsidRDefault="00611981" w:rsidP="000E0DB3">
      <w:pPr>
        <w:spacing w:after="0"/>
        <w:jc w:val="both"/>
        <w:rPr>
          <w:rFonts w:ascii="Times New Roman" w:hAnsi="Times New Roman" w:cs="Times New Roman"/>
        </w:rPr>
      </w:pPr>
      <w:r w:rsidRPr="002732F8">
        <w:rPr>
          <w:rFonts w:ascii="Times New Roman" w:hAnsi="Times New Roman" w:cs="Times New Roman"/>
          <w:b/>
        </w:rPr>
        <w:t>Results:</w:t>
      </w:r>
      <w:r w:rsidRPr="002732F8">
        <w:rPr>
          <w:rFonts w:ascii="Times New Roman" w:hAnsi="Times New Roman" w:cs="Times New Roman"/>
        </w:rPr>
        <w:t xml:space="preserve"> Of the 3061 patients </w:t>
      </w:r>
      <w:r w:rsidR="00E17322" w:rsidRPr="002732F8">
        <w:rPr>
          <w:rFonts w:ascii="Times New Roman" w:hAnsi="Times New Roman" w:cs="Times New Roman"/>
        </w:rPr>
        <w:t>registered</w:t>
      </w:r>
      <w:r w:rsidRPr="002732F8">
        <w:rPr>
          <w:rFonts w:ascii="Times New Roman" w:hAnsi="Times New Roman" w:cs="Times New Roman"/>
        </w:rPr>
        <w:t xml:space="preserve"> in SKS,</w:t>
      </w:r>
      <w:r w:rsidR="00E17322" w:rsidRPr="002732F8">
        <w:rPr>
          <w:rFonts w:ascii="Times New Roman" w:hAnsi="Times New Roman" w:cs="Times New Roman"/>
        </w:rPr>
        <w:t xml:space="preserve"> </w:t>
      </w:r>
      <w:r w:rsidR="00E8676F" w:rsidRPr="002732F8">
        <w:rPr>
          <w:rFonts w:ascii="Times New Roman" w:hAnsi="Times New Roman" w:cs="Times New Roman"/>
        </w:rPr>
        <w:t>630 patients</w:t>
      </w:r>
      <w:r w:rsidR="00B60B40" w:rsidRPr="002732F8">
        <w:rPr>
          <w:rFonts w:ascii="Times New Roman" w:hAnsi="Times New Roman" w:cs="Times New Roman"/>
        </w:rPr>
        <w:t xml:space="preserve"> (NAFLD-137, </w:t>
      </w:r>
      <w:r w:rsidR="00E8676F" w:rsidRPr="002732F8">
        <w:rPr>
          <w:rFonts w:ascii="Times New Roman" w:hAnsi="Times New Roman" w:cs="Times New Roman"/>
        </w:rPr>
        <w:t xml:space="preserve">Normal-493) had </w:t>
      </w:r>
      <w:r w:rsidR="00717086" w:rsidRPr="002732F8">
        <w:rPr>
          <w:rFonts w:ascii="Times New Roman" w:hAnsi="Times New Roman" w:cs="Times New Roman"/>
        </w:rPr>
        <w:t xml:space="preserve">had liver US, complete </w:t>
      </w:r>
      <w:proofErr w:type="gramStart"/>
      <w:r w:rsidR="00717086" w:rsidRPr="002732F8">
        <w:rPr>
          <w:rFonts w:ascii="Times New Roman" w:hAnsi="Times New Roman" w:cs="Times New Roman"/>
        </w:rPr>
        <w:t>datasets</w:t>
      </w:r>
      <w:proofErr w:type="gramEnd"/>
      <w:r w:rsidR="00717086" w:rsidRPr="002732F8">
        <w:rPr>
          <w:rFonts w:ascii="Times New Roman" w:hAnsi="Times New Roman" w:cs="Times New Roman"/>
        </w:rPr>
        <w:t xml:space="preserve"> and analysis of </w:t>
      </w:r>
      <w:r w:rsidR="00E8676F" w:rsidRPr="002732F8">
        <w:rPr>
          <w:rFonts w:ascii="Times New Roman" w:hAnsi="Times New Roman" w:cs="Times New Roman"/>
        </w:rPr>
        <w:t xml:space="preserve">baseline CRBM. Demographics and </w:t>
      </w:r>
      <w:r w:rsidR="00717086" w:rsidRPr="002732F8">
        <w:rPr>
          <w:rFonts w:ascii="Times New Roman" w:hAnsi="Times New Roman" w:cs="Times New Roman"/>
        </w:rPr>
        <w:t>m</w:t>
      </w:r>
      <w:r w:rsidR="00E8676F" w:rsidRPr="002732F8">
        <w:rPr>
          <w:rFonts w:ascii="Times New Roman" w:hAnsi="Times New Roman" w:cs="Times New Roman"/>
        </w:rPr>
        <w:t>edian values</w:t>
      </w:r>
      <w:r w:rsidR="00DA238D" w:rsidRPr="002732F8">
        <w:rPr>
          <w:rFonts w:ascii="Times New Roman" w:hAnsi="Times New Roman" w:cs="Times New Roman"/>
        </w:rPr>
        <w:t xml:space="preserve"> </w:t>
      </w:r>
      <w:r w:rsidR="00717086" w:rsidRPr="002732F8">
        <w:rPr>
          <w:rFonts w:ascii="Times New Roman" w:hAnsi="Times New Roman" w:cs="Times New Roman"/>
        </w:rPr>
        <w:t xml:space="preserve">(with IQR) </w:t>
      </w:r>
      <w:r w:rsidR="00DA238D" w:rsidRPr="002732F8">
        <w:rPr>
          <w:rFonts w:ascii="Times New Roman" w:hAnsi="Times New Roman" w:cs="Times New Roman"/>
        </w:rPr>
        <w:t xml:space="preserve">of </w:t>
      </w:r>
      <w:r w:rsidR="003E1111" w:rsidRPr="002732F8">
        <w:rPr>
          <w:rFonts w:ascii="Times New Roman" w:hAnsi="Times New Roman" w:cs="Times New Roman"/>
        </w:rPr>
        <w:t>biomarkers</w:t>
      </w:r>
      <w:r w:rsidR="00206354" w:rsidRPr="002732F8">
        <w:rPr>
          <w:rFonts w:ascii="Times New Roman" w:hAnsi="Times New Roman" w:cs="Times New Roman"/>
        </w:rPr>
        <w:t xml:space="preserve"> are</w:t>
      </w:r>
      <w:r w:rsidR="00DA238D" w:rsidRPr="002732F8">
        <w:rPr>
          <w:rFonts w:ascii="Times New Roman" w:hAnsi="Times New Roman" w:cs="Times New Roman"/>
        </w:rPr>
        <w:t xml:space="preserve"> expressed in the Table</w:t>
      </w:r>
      <w:r w:rsidR="003D622A" w:rsidRPr="002732F8">
        <w:rPr>
          <w:rFonts w:ascii="Times New Roman" w:hAnsi="Times New Roman" w:cs="Times New Roman"/>
        </w:rPr>
        <w:t>-1</w:t>
      </w:r>
      <w:r w:rsidR="002E34A8" w:rsidRPr="002732F8">
        <w:rPr>
          <w:rFonts w:ascii="Times New Roman" w:hAnsi="Times New Roman" w:cs="Times New Roman"/>
        </w:rPr>
        <w:t>.</w:t>
      </w:r>
      <w:r w:rsidR="00404670" w:rsidRPr="002732F8">
        <w:rPr>
          <w:rFonts w:ascii="Times New Roman" w:hAnsi="Times New Roman" w:cs="Times New Roman"/>
        </w:rPr>
        <w:t>In a Mult</w:t>
      </w:r>
      <w:r w:rsidR="004D55AA" w:rsidRPr="002732F8">
        <w:rPr>
          <w:rFonts w:ascii="Times New Roman" w:hAnsi="Times New Roman" w:cs="Times New Roman"/>
        </w:rPr>
        <w:t>ivariable Cox-Regression Model adjusted</w:t>
      </w:r>
      <w:r w:rsidR="00404670" w:rsidRPr="002732F8">
        <w:rPr>
          <w:rFonts w:ascii="Times New Roman" w:hAnsi="Times New Roman" w:cs="Times New Roman"/>
        </w:rPr>
        <w:t xml:space="preserve"> for </w:t>
      </w:r>
      <w:r w:rsidR="00717086" w:rsidRPr="002732F8">
        <w:rPr>
          <w:rFonts w:ascii="Times New Roman" w:hAnsi="Times New Roman" w:cs="Times New Roman"/>
        </w:rPr>
        <w:t>a</w:t>
      </w:r>
      <w:r w:rsidR="00404670" w:rsidRPr="002732F8">
        <w:rPr>
          <w:rFonts w:ascii="Times New Roman" w:hAnsi="Times New Roman" w:cs="Times New Roman"/>
        </w:rPr>
        <w:t xml:space="preserve">ge, </w:t>
      </w:r>
      <w:bookmarkStart w:id="0" w:name="_GoBack"/>
      <w:bookmarkEnd w:id="0"/>
      <w:r w:rsidR="00717086" w:rsidRPr="002732F8">
        <w:rPr>
          <w:rFonts w:ascii="Times New Roman" w:hAnsi="Times New Roman" w:cs="Times New Roman"/>
        </w:rPr>
        <w:t>g</w:t>
      </w:r>
      <w:r w:rsidR="00404670" w:rsidRPr="002732F8">
        <w:rPr>
          <w:rFonts w:ascii="Times New Roman" w:hAnsi="Times New Roman" w:cs="Times New Roman"/>
        </w:rPr>
        <w:t xml:space="preserve">ender, </w:t>
      </w:r>
      <w:r w:rsidR="00A66ABC" w:rsidRPr="002732F8">
        <w:rPr>
          <w:rFonts w:ascii="Times New Roman" w:hAnsi="Times New Roman" w:cs="Times New Roman"/>
        </w:rPr>
        <w:t xml:space="preserve">NAFLD Status and baseline </w:t>
      </w:r>
      <w:r w:rsidR="00404670" w:rsidRPr="002732F8">
        <w:rPr>
          <w:rFonts w:ascii="Times New Roman" w:hAnsi="Times New Roman" w:cs="Times New Roman"/>
        </w:rPr>
        <w:t xml:space="preserve">history of </w:t>
      </w:r>
      <w:r w:rsidR="00717086" w:rsidRPr="002732F8">
        <w:rPr>
          <w:rFonts w:ascii="Times New Roman" w:hAnsi="Times New Roman" w:cs="Times New Roman"/>
        </w:rPr>
        <w:t>c</w:t>
      </w:r>
      <w:r w:rsidR="00404670" w:rsidRPr="002732F8">
        <w:rPr>
          <w:rFonts w:ascii="Times New Roman" w:hAnsi="Times New Roman" w:cs="Times New Roman"/>
        </w:rPr>
        <w:t xml:space="preserve">ardiovascular risk factors, </w:t>
      </w:r>
      <w:proofErr w:type="spellStart"/>
      <w:r w:rsidR="00404670" w:rsidRPr="002732F8">
        <w:rPr>
          <w:rFonts w:ascii="Times New Roman" w:hAnsi="Times New Roman" w:cs="Times New Roman"/>
        </w:rPr>
        <w:t>TropT</w:t>
      </w:r>
      <w:proofErr w:type="spellEnd"/>
      <w:r w:rsidR="004D55AA" w:rsidRPr="002732F8">
        <w:rPr>
          <w:rFonts w:ascii="Times New Roman" w:hAnsi="Times New Roman" w:cs="Times New Roman"/>
        </w:rPr>
        <w:t xml:space="preserve"> </w:t>
      </w:r>
      <w:r w:rsidR="002F39C6" w:rsidRPr="002732F8">
        <w:rPr>
          <w:rFonts w:ascii="Times New Roman" w:hAnsi="Times New Roman" w:cs="Times New Roman"/>
        </w:rPr>
        <w:t>(</w:t>
      </w:r>
      <w:r w:rsidR="004D55AA" w:rsidRPr="002732F8">
        <w:rPr>
          <w:rFonts w:ascii="Times New Roman" w:hAnsi="Times New Roman" w:cs="Times New Roman"/>
        </w:rPr>
        <w:t>HR:1.008, P=0.021)</w:t>
      </w:r>
      <w:r w:rsidR="00404670" w:rsidRPr="002732F8">
        <w:rPr>
          <w:rFonts w:ascii="Times New Roman" w:hAnsi="Times New Roman" w:cs="Times New Roman"/>
        </w:rPr>
        <w:t>,</w:t>
      </w:r>
      <w:r w:rsidR="004D55AA" w:rsidRPr="002732F8">
        <w:rPr>
          <w:rFonts w:ascii="Times New Roman" w:hAnsi="Times New Roman" w:cs="Times New Roman"/>
        </w:rPr>
        <w:t xml:space="preserve"> NGAL (HR:1.003,</w:t>
      </w:r>
      <w:r w:rsidR="00702EA2" w:rsidRPr="002732F8">
        <w:rPr>
          <w:rFonts w:ascii="Times New Roman" w:hAnsi="Times New Roman" w:cs="Times New Roman"/>
        </w:rPr>
        <w:t xml:space="preserve"> </w:t>
      </w:r>
      <w:r w:rsidR="00404670" w:rsidRPr="002732F8">
        <w:rPr>
          <w:rFonts w:ascii="Times New Roman" w:hAnsi="Times New Roman" w:cs="Times New Roman"/>
        </w:rPr>
        <w:t>P&lt;0.001) and K</w:t>
      </w:r>
      <w:r w:rsidR="004D55AA" w:rsidRPr="002732F8">
        <w:rPr>
          <w:rFonts w:ascii="Times New Roman" w:hAnsi="Times New Roman" w:cs="Times New Roman"/>
        </w:rPr>
        <w:t>IM-1(HR-1.001,</w:t>
      </w:r>
      <w:r w:rsidR="000620A0" w:rsidRPr="002732F8">
        <w:rPr>
          <w:rFonts w:ascii="Times New Roman" w:hAnsi="Times New Roman" w:cs="Times New Roman"/>
        </w:rPr>
        <w:t xml:space="preserve"> </w:t>
      </w:r>
      <w:r w:rsidR="00404670" w:rsidRPr="002732F8">
        <w:rPr>
          <w:rFonts w:ascii="Times New Roman" w:hAnsi="Times New Roman" w:cs="Times New Roman"/>
        </w:rPr>
        <w:t xml:space="preserve">P=0.005) showed associations with MACE. All </w:t>
      </w:r>
      <w:r w:rsidR="003E1111" w:rsidRPr="002732F8">
        <w:rPr>
          <w:rFonts w:ascii="Times New Roman" w:hAnsi="Times New Roman" w:cs="Times New Roman"/>
        </w:rPr>
        <w:t>biomarkers</w:t>
      </w:r>
      <w:r w:rsidR="00404670" w:rsidRPr="002732F8">
        <w:rPr>
          <w:rFonts w:ascii="Times New Roman" w:hAnsi="Times New Roman" w:cs="Times New Roman"/>
        </w:rPr>
        <w:t xml:space="preserve"> except Anti Apo-A1 showed a positive association with </w:t>
      </w:r>
      <w:r w:rsidR="003E1111" w:rsidRPr="002732F8">
        <w:rPr>
          <w:rFonts w:ascii="Times New Roman" w:hAnsi="Times New Roman" w:cs="Times New Roman"/>
        </w:rPr>
        <w:t>m</w:t>
      </w:r>
      <w:r w:rsidR="00404670" w:rsidRPr="002732F8">
        <w:rPr>
          <w:rFonts w:ascii="Times New Roman" w:hAnsi="Times New Roman" w:cs="Times New Roman"/>
        </w:rPr>
        <w:t xml:space="preserve">ortality with Trop T </w:t>
      </w:r>
      <w:r w:rsidR="004D55AA" w:rsidRPr="002732F8">
        <w:rPr>
          <w:rFonts w:ascii="Times New Roman" w:hAnsi="Times New Roman" w:cs="Times New Roman"/>
        </w:rPr>
        <w:t>showing a strong association HR 1.012</w:t>
      </w:r>
      <w:r w:rsidR="00404670" w:rsidRPr="002732F8">
        <w:rPr>
          <w:rFonts w:ascii="Times New Roman" w:hAnsi="Times New Roman" w:cs="Times New Roman"/>
        </w:rPr>
        <w:t xml:space="preserve">, </w:t>
      </w:r>
      <w:r w:rsidR="000620A0" w:rsidRPr="002732F8">
        <w:rPr>
          <w:rFonts w:ascii="Times New Roman" w:hAnsi="Times New Roman" w:cs="Times New Roman"/>
        </w:rPr>
        <w:t>P&lt;0.</w:t>
      </w:r>
      <w:r w:rsidR="00404670" w:rsidRPr="002732F8">
        <w:rPr>
          <w:rFonts w:ascii="Times New Roman" w:hAnsi="Times New Roman" w:cs="Times New Roman"/>
        </w:rPr>
        <w:t>001</w:t>
      </w:r>
      <w:r w:rsidR="002F39C6" w:rsidRPr="002732F8">
        <w:rPr>
          <w:rFonts w:ascii="Times New Roman" w:hAnsi="Times New Roman" w:cs="Times New Roman"/>
        </w:rPr>
        <w:t>. Higher KIM-1 and NGAL were associated with progression to ES</w:t>
      </w:r>
      <w:r w:rsidR="003E1111" w:rsidRPr="002732F8">
        <w:rPr>
          <w:rFonts w:ascii="Times New Roman" w:hAnsi="Times New Roman" w:cs="Times New Roman"/>
        </w:rPr>
        <w:t>KD</w:t>
      </w:r>
      <w:r w:rsidR="003D622A" w:rsidRPr="002732F8">
        <w:rPr>
          <w:rFonts w:ascii="Times New Roman" w:hAnsi="Times New Roman" w:cs="Times New Roman"/>
        </w:rPr>
        <w:t>. (Table-2)</w:t>
      </w:r>
    </w:p>
    <w:p w14:paraId="097C4E7E" w14:textId="77777777" w:rsidR="00314CE9" w:rsidRPr="002732F8" w:rsidRDefault="00314CE9" w:rsidP="000E0D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6F527B" w14:textId="6212E231" w:rsidR="00DE16C8" w:rsidRPr="002732F8" w:rsidRDefault="002F39C6" w:rsidP="000E0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32F8">
        <w:rPr>
          <w:rFonts w:ascii="Times New Roman" w:hAnsi="Times New Roman" w:cs="Times New Roman"/>
          <w:b/>
        </w:rPr>
        <w:t>Conclusions:</w:t>
      </w:r>
      <w:r w:rsidRPr="002732F8">
        <w:rPr>
          <w:rFonts w:ascii="Times New Roman" w:hAnsi="Times New Roman" w:cs="Times New Roman"/>
        </w:rPr>
        <w:t xml:space="preserve"> The </w:t>
      </w:r>
      <w:r w:rsidR="003E1111" w:rsidRPr="002732F8">
        <w:rPr>
          <w:rFonts w:ascii="Times New Roman" w:hAnsi="Times New Roman" w:cs="Times New Roman"/>
        </w:rPr>
        <w:t xml:space="preserve">biomarker associations </w:t>
      </w:r>
      <w:r w:rsidRPr="002732F8">
        <w:rPr>
          <w:rFonts w:ascii="Times New Roman" w:hAnsi="Times New Roman" w:cs="Times New Roman"/>
        </w:rPr>
        <w:t xml:space="preserve">were very much reflective of the renal and cardiac status of the patient group. A strong independent association </w:t>
      </w:r>
      <w:r w:rsidR="00A66ABC" w:rsidRPr="002732F8">
        <w:rPr>
          <w:rFonts w:ascii="Times New Roman" w:hAnsi="Times New Roman" w:cs="Times New Roman"/>
        </w:rPr>
        <w:t xml:space="preserve">of biomarkers </w:t>
      </w:r>
      <w:r w:rsidR="004D55AA" w:rsidRPr="002732F8">
        <w:rPr>
          <w:rFonts w:ascii="Times New Roman" w:hAnsi="Times New Roman" w:cs="Times New Roman"/>
        </w:rPr>
        <w:t>wa</w:t>
      </w:r>
      <w:r w:rsidRPr="002732F8">
        <w:rPr>
          <w:rFonts w:ascii="Times New Roman" w:hAnsi="Times New Roman" w:cs="Times New Roman"/>
        </w:rPr>
        <w:t xml:space="preserve">s </w:t>
      </w:r>
      <w:proofErr w:type="gramStart"/>
      <w:r w:rsidRPr="002732F8">
        <w:rPr>
          <w:rFonts w:ascii="Times New Roman" w:hAnsi="Times New Roman" w:cs="Times New Roman"/>
        </w:rPr>
        <w:t>observed</w:t>
      </w:r>
      <w:proofErr w:type="gramEnd"/>
      <w:r w:rsidRPr="002732F8">
        <w:rPr>
          <w:rFonts w:ascii="Times New Roman" w:hAnsi="Times New Roman" w:cs="Times New Roman"/>
        </w:rPr>
        <w:t xml:space="preserve"> with outcomes</w:t>
      </w:r>
      <w:r w:rsidR="004D55AA" w:rsidRPr="002732F8">
        <w:rPr>
          <w:rFonts w:ascii="Times New Roman" w:hAnsi="Times New Roman" w:cs="Times New Roman"/>
        </w:rPr>
        <w:t xml:space="preserve"> in this cohort</w:t>
      </w:r>
      <w:r w:rsidR="003E1111" w:rsidRPr="002732F8">
        <w:rPr>
          <w:rFonts w:ascii="Times New Roman" w:hAnsi="Times New Roman" w:cs="Times New Roman"/>
        </w:rPr>
        <w:t>, but NAFLD was not independently associated with any particular pattern.</w:t>
      </w:r>
    </w:p>
    <w:p w14:paraId="0E13BC7D" w14:textId="77777777" w:rsidR="00314CE9" w:rsidRDefault="00314CE9" w:rsidP="00314CE9">
      <w:pPr>
        <w:spacing w:after="0" w:line="240" w:lineRule="auto"/>
        <w:rPr>
          <w:rFonts w:ascii="Times New Roman" w:hAnsi="Times New Roman" w:cs="Times New Roman"/>
          <w:b/>
        </w:rPr>
      </w:pPr>
    </w:p>
    <w:p w14:paraId="65A90546" w14:textId="00DBDF57" w:rsidR="003D622A" w:rsidRPr="00FB3F17" w:rsidRDefault="003D622A" w:rsidP="00314CE9">
      <w:pPr>
        <w:spacing w:after="0" w:line="240" w:lineRule="auto"/>
        <w:rPr>
          <w:rFonts w:ascii="Times New Roman" w:hAnsi="Times New Roman" w:cs="Times New Roman"/>
          <w:b/>
        </w:rPr>
      </w:pPr>
      <w:r w:rsidRPr="00FB3F17">
        <w:rPr>
          <w:rFonts w:ascii="Times New Roman" w:hAnsi="Times New Roman" w:cs="Times New Roman"/>
          <w:b/>
        </w:rPr>
        <w:t>Table-1 Demographics and baseline biomarker characteristics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9"/>
        <w:gridCol w:w="2402"/>
        <w:gridCol w:w="2268"/>
        <w:gridCol w:w="2268"/>
      </w:tblGrid>
      <w:tr w:rsidR="003D622A" w:rsidRPr="00FB3F17" w14:paraId="079479CD" w14:textId="77777777" w:rsidTr="00AC719E">
        <w:trPr>
          <w:trHeight w:val="653"/>
        </w:trPr>
        <w:tc>
          <w:tcPr>
            <w:tcW w:w="2129" w:type="dxa"/>
          </w:tcPr>
          <w:p w14:paraId="00773B65" w14:textId="77777777" w:rsidR="003D622A" w:rsidRPr="00FB3F17" w:rsidRDefault="003D622A" w:rsidP="00AC719E">
            <w:pPr>
              <w:rPr>
                <w:rFonts w:ascii="Times New Roman" w:hAnsi="Times New Roman" w:cs="Times New Roman"/>
                <w:b/>
              </w:rPr>
            </w:pPr>
            <w:r w:rsidRPr="00FB3F17">
              <w:rPr>
                <w:rFonts w:ascii="Times New Roman" w:hAnsi="Times New Roman" w:cs="Times New Roman"/>
                <w:b/>
              </w:rPr>
              <w:t>VARIABLE</w:t>
            </w:r>
          </w:p>
        </w:tc>
        <w:tc>
          <w:tcPr>
            <w:tcW w:w="2402" w:type="dxa"/>
          </w:tcPr>
          <w:p w14:paraId="792E3D39" w14:textId="77777777" w:rsidR="003D622A" w:rsidRPr="00FB3F17" w:rsidRDefault="003D622A" w:rsidP="00AC719E">
            <w:pPr>
              <w:rPr>
                <w:rFonts w:ascii="Times New Roman" w:hAnsi="Times New Roman" w:cs="Times New Roman"/>
                <w:b/>
              </w:rPr>
            </w:pPr>
            <w:r w:rsidRPr="00FB3F17">
              <w:rPr>
                <w:rFonts w:ascii="Times New Roman" w:hAnsi="Times New Roman" w:cs="Times New Roman"/>
                <w:b/>
              </w:rPr>
              <w:t>NAFLD (n=137)</w:t>
            </w:r>
          </w:p>
        </w:tc>
        <w:tc>
          <w:tcPr>
            <w:tcW w:w="2268" w:type="dxa"/>
          </w:tcPr>
          <w:p w14:paraId="7DEFA200" w14:textId="77777777" w:rsidR="003D622A" w:rsidRPr="00FB3F17" w:rsidRDefault="003D622A" w:rsidP="00AC719E">
            <w:pPr>
              <w:rPr>
                <w:rFonts w:ascii="Times New Roman" w:hAnsi="Times New Roman" w:cs="Times New Roman"/>
                <w:b/>
              </w:rPr>
            </w:pPr>
            <w:r w:rsidRPr="00FB3F17">
              <w:rPr>
                <w:rFonts w:ascii="Times New Roman" w:hAnsi="Times New Roman" w:cs="Times New Roman"/>
                <w:b/>
              </w:rPr>
              <w:t>NORMAL (n=493)</w:t>
            </w:r>
          </w:p>
        </w:tc>
        <w:tc>
          <w:tcPr>
            <w:tcW w:w="2268" w:type="dxa"/>
          </w:tcPr>
          <w:p w14:paraId="6D26CDC3" w14:textId="77777777" w:rsidR="003D622A" w:rsidRPr="00FB3F17" w:rsidRDefault="003D622A" w:rsidP="00AC719E">
            <w:pPr>
              <w:rPr>
                <w:rFonts w:ascii="Times New Roman" w:hAnsi="Times New Roman" w:cs="Times New Roman"/>
                <w:b/>
              </w:rPr>
            </w:pPr>
            <w:r w:rsidRPr="00FB3F17">
              <w:rPr>
                <w:rFonts w:ascii="Times New Roman" w:hAnsi="Times New Roman" w:cs="Times New Roman"/>
                <w:b/>
              </w:rPr>
              <w:t>P-VALUE</w:t>
            </w:r>
          </w:p>
          <w:p w14:paraId="04B0A41C" w14:textId="77777777" w:rsidR="003D622A" w:rsidRPr="00FB3F17" w:rsidRDefault="003D622A" w:rsidP="00AC719E">
            <w:pPr>
              <w:rPr>
                <w:rFonts w:ascii="Times New Roman" w:hAnsi="Times New Roman" w:cs="Times New Roman"/>
                <w:b/>
              </w:rPr>
            </w:pPr>
            <w:r w:rsidRPr="00FB3F17">
              <w:rPr>
                <w:rFonts w:ascii="Times New Roman" w:hAnsi="Times New Roman" w:cs="Times New Roman"/>
                <w:b/>
              </w:rPr>
              <w:t>NAFLD vs Normal</w:t>
            </w:r>
          </w:p>
        </w:tc>
      </w:tr>
      <w:tr w:rsidR="003D622A" w:rsidRPr="00FB3F17" w14:paraId="50C7017F" w14:textId="77777777" w:rsidTr="00FB3F17">
        <w:trPr>
          <w:trHeight w:val="357"/>
        </w:trPr>
        <w:tc>
          <w:tcPr>
            <w:tcW w:w="2129" w:type="dxa"/>
          </w:tcPr>
          <w:p w14:paraId="661166B7" w14:textId="77777777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AGE (years; range)</w:t>
            </w:r>
          </w:p>
        </w:tc>
        <w:tc>
          <w:tcPr>
            <w:tcW w:w="2402" w:type="dxa"/>
          </w:tcPr>
          <w:p w14:paraId="449E71FE" w14:textId="16617235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65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(59-72)</w:t>
            </w:r>
          </w:p>
        </w:tc>
        <w:tc>
          <w:tcPr>
            <w:tcW w:w="2268" w:type="dxa"/>
          </w:tcPr>
          <w:p w14:paraId="0D87EC40" w14:textId="336724D6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67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(54-74)</w:t>
            </w:r>
          </w:p>
        </w:tc>
        <w:tc>
          <w:tcPr>
            <w:tcW w:w="2268" w:type="dxa"/>
          </w:tcPr>
          <w:p w14:paraId="327F17F6" w14:textId="77777777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0.237</w:t>
            </w:r>
          </w:p>
        </w:tc>
      </w:tr>
      <w:tr w:rsidR="003D622A" w:rsidRPr="00FB3F17" w14:paraId="778547B7" w14:textId="77777777" w:rsidTr="00FB3F17">
        <w:trPr>
          <w:trHeight w:val="262"/>
        </w:trPr>
        <w:tc>
          <w:tcPr>
            <w:tcW w:w="2129" w:type="dxa"/>
          </w:tcPr>
          <w:p w14:paraId="7D9149C3" w14:textId="4AD17858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Gender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(Male)</w:t>
            </w:r>
          </w:p>
        </w:tc>
        <w:tc>
          <w:tcPr>
            <w:tcW w:w="2402" w:type="dxa"/>
          </w:tcPr>
          <w:p w14:paraId="49C7BBDE" w14:textId="1E6B5325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84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(61.3%)</w:t>
            </w:r>
          </w:p>
        </w:tc>
        <w:tc>
          <w:tcPr>
            <w:tcW w:w="2268" w:type="dxa"/>
          </w:tcPr>
          <w:p w14:paraId="0E7F2192" w14:textId="16FCE775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294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(59.6%)</w:t>
            </w:r>
          </w:p>
        </w:tc>
        <w:tc>
          <w:tcPr>
            <w:tcW w:w="2268" w:type="dxa"/>
          </w:tcPr>
          <w:p w14:paraId="3E37A36C" w14:textId="77777777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0.723</w:t>
            </w:r>
          </w:p>
        </w:tc>
      </w:tr>
      <w:tr w:rsidR="003D622A" w:rsidRPr="00FB3F17" w14:paraId="176EE30E" w14:textId="77777777" w:rsidTr="00FB3F17">
        <w:trPr>
          <w:trHeight w:val="267"/>
        </w:trPr>
        <w:tc>
          <w:tcPr>
            <w:tcW w:w="2129" w:type="dxa"/>
          </w:tcPr>
          <w:p w14:paraId="4F1D1D62" w14:textId="77777777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Anti-Apo-A1(OD)</w:t>
            </w:r>
          </w:p>
        </w:tc>
        <w:tc>
          <w:tcPr>
            <w:tcW w:w="2402" w:type="dxa"/>
          </w:tcPr>
          <w:p w14:paraId="2AFD13A4" w14:textId="5B887E8A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0.51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(0.31-0.74)</w:t>
            </w:r>
          </w:p>
        </w:tc>
        <w:tc>
          <w:tcPr>
            <w:tcW w:w="2268" w:type="dxa"/>
          </w:tcPr>
          <w:p w14:paraId="49E748A7" w14:textId="7F483271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0.48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(0.30-0.77)</w:t>
            </w:r>
          </w:p>
        </w:tc>
        <w:tc>
          <w:tcPr>
            <w:tcW w:w="2268" w:type="dxa"/>
          </w:tcPr>
          <w:p w14:paraId="48DB12D9" w14:textId="77777777" w:rsidR="003D622A" w:rsidRPr="00FB3F17" w:rsidRDefault="003D622A" w:rsidP="00FB3F17">
            <w:pPr>
              <w:rPr>
                <w:rFonts w:ascii="Times New Roman" w:hAnsi="Times New Roman" w:cs="Times New Roman"/>
                <w:color w:val="FF0000"/>
              </w:rPr>
            </w:pPr>
            <w:r w:rsidRPr="00FB3F17">
              <w:rPr>
                <w:rFonts w:ascii="Times New Roman" w:hAnsi="Times New Roman" w:cs="Times New Roman"/>
              </w:rPr>
              <w:t>0.814</w:t>
            </w:r>
          </w:p>
        </w:tc>
      </w:tr>
      <w:tr w:rsidR="003D622A" w:rsidRPr="00FB3F17" w14:paraId="1CDA1242" w14:textId="77777777" w:rsidTr="00AC719E">
        <w:trPr>
          <w:trHeight w:val="331"/>
        </w:trPr>
        <w:tc>
          <w:tcPr>
            <w:tcW w:w="2129" w:type="dxa"/>
          </w:tcPr>
          <w:p w14:paraId="140949DC" w14:textId="61029FB5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KIM-1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</w:t>
            </w:r>
            <w:proofErr w:type="spellStart"/>
            <w:r w:rsidRPr="00FB3F17">
              <w:rPr>
                <w:rFonts w:ascii="Times New Roman" w:hAnsi="Times New Roman" w:cs="Times New Roman"/>
              </w:rPr>
              <w:t>pg</w:t>
            </w:r>
            <w:proofErr w:type="spellEnd"/>
            <w:r w:rsidRPr="00FB3F17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2402" w:type="dxa"/>
          </w:tcPr>
          <w:p w14:paraId="4363321F" w14:textId="30FFAC79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364.4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(254.7-561.7)</w:t>
            </w:r>
          </w:p>
        </w:tc>
        <w:tc>
          <w:tcPr>
            <w:tcW w:w="2268" w:type="dxa"/>
          </w:tcPr>
          <w:p w14:paraId="4F86A7C0" w14:textId="0FC40912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338.6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(220.5-527.9)</w:t>
            </w:r>
          </w:p>
        </w:tc>
        <w:tc>
          <w:tcPr>
            <w:tcW w:w="2268" w:type="dxa"/>
          </w:tcPr>
          <w:p w14:paraId="7BDE5E71" w14:textId="77777777" w:rsidR="003D622A" w:rsidRPr="00FB3F17" w:rsidRDefault="003D622A" w:rsidP="00FB3F17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0.137</w:t>
            </w:r>
          </w:p>
        </w:tc>
      </w:tr>
      <w:tr w:rsidR="003D622A" w:rsidRPr="00FB3F17" w14:paraId="413E9513" w14:textId="77777777" w:rsidTr="00AC719E">
        <w:trPr>
          <w:trHeight w:val="346"/>
        </w:trPr>
        <w:tc>
          <w:tcPr>
            <w:tcW w:w="2129" w:type="dxa"/>
          </w:tcPr>
          <w:p w14:paraId="74FB3588" w14:textId="3CB5D77E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MPO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(ng/ml)</w:t>
            </w:r>
          </w:p>
        </w:tc>
        <w:tc>
          <w:tcPr>
            <w:tcW w:w="2402" w:type="dxa"/>
          </w:tcPr>
          <w:p w14:paraId="64418E27" w14:textId="1D35B8CF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28.7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(21.5-52.9)</w:t>
            </w:r>
          </w:p>
        </w:tc>
        <w:tc>
          <w:tcPr>
            <w:tcW w:w="2268" w:type="dxa"/>
          </w:tcPr>
          <w:p w14:paraId="41F74FCD" w14:textId="6E9CC04B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36.5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(20.9-59.7)</w:t>
            </w:r>
          </w:p>
        </w:tc>
        <w:tc>
          <w:tcPr>
            <w:tcW w:w="2268" w:type="dxa"/>
          </w:tcPr>
          <w:p w14:paraId="47BD38F3" w14:textId="77777777" w:rsidR="003D622A" w:rsidRPr="00FB3F17" w:rsidRDefault="003D622A" w:rsidP="00AC719E">
            <w:pPr>
              <w:rPr>
                <w:rFonts w:ascii="Times New Roman" w:hAnsi="Times New Roman" w:cs="Times New Roman"/>
                <w:b/>
              </w:rPr>
            </w:pPr>
            <w:r w:rsidRPr="00FB3F17">
              <w:rPr>
                <w:rFonts w:ascii="Times New Roman" w:hAnsi="Times New Roman" w:cs="Times New Roman"/>
                <w:b/>
              </w:rPr>
              <w:t>0.055</w:t>
            </w:r>
          </w:p>
        </w:tc>
      </w:tr>
      <w:tr w:rsidR="003D622A" w:rsidRPr="00FB3F17" w14:paraId="63CFF392" w14:textId="77777777" w:rsidTr="00AC719E">
        <w:trPr>
          <w:trHeight w:val="331"/>
        </w:trPr>
        <w:tc>
          <w:tcPr>
            <w:tcW w:w="2129" w:type="dxa"/>
          </w:tcPr>
          <w:p w14:paraId="18E9C8BB" w14:textId="2718D677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NGAL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(ng/ml)</w:t>
            </w:r>
          </w:p>
        </w:tc>
        <w:tc>
          <w:tcPr>
            <w:tcW w:w="2402" w:type="dxa"/>
          </w:tcPr>
          <w:p w14:paraId="5BC664B4" w14:textId="54535D78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191.9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(142.8-262.1)</w:t>
            </w:r>
          </w:p>
        </w:tc>
        <w:tc>
          <w:tcPr>
            <w:tcW w:w="2268" w:type="dxa"/>
          </w:tcPr>
          <w:p w14:paraId="65124520" w14:textId="0E89E566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214.6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(136-323.8)</w:t>
            </w:r>
          </w:p>
        </w:tc>
        <w:tc>
          <w:tcPr>
            <w:tcW w:w="2268" w:type="dxa"/>
          </w:tcPr>
          <w:p w14:paraId="08F2C082" w14:textId="77777777" w:rsidR="003D622A" w:rsidRPr="00FB3F17" w:rsidRDefault="003D622A" w:rsidP="00AC719E">
            <w:pPr>
              <w:rPr>
                <w:rFonts w:ascii="Times New Roman" w:hAnsi="Times New Roman" w:cs="Times New Roman"/>
                <w:b/>
              </w:rPr>
            </w:pPr>
            <w:r w:rsidRPr="00FB3F17">
              <w:rPr>
                <w:rFonts w:ascii="Times New Roman" w:hAnsi="Times New Roman" w:cs="Times New Roman"/>
                <w:b/>
              </w:rPr>
              <w:t>0.054</w:t>
            </w:r>
          </w:p>
        </w:tc>
      </w:tr>
      <w:tr w:rsidR="003D622A" w:rsidRPr="00FB3F17" w14:paraId="4C771E90" w14:textId="77777777" w:rsidTr="00AC719E">
        <w:trPr>
          <w:trHeight w:val="346"/>
        </w:trPr>
        <w:tc>
          <w:tcPr>
            <w:tcW w:w="2129" w:type="dxa"/>
          </w:tcPr>
          <w:p w14:paraId="3BC018A8" w14:textId="7EE856F6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NTproBNP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</w:t>
            </w:r>
            <w:proofErr w:type="spellStart"/>
            <w:r w:rsidRPr="00FB3F17">
              <w:rPr>
                <w:rFonts w:ascii="Times New Roman" w:hAnsi="Times New Roman" w:cs="Times New Roman"/>
              </w:rPr>
              <w:t>pg</w:t>
            </w:r>
            <w:proofErr w:type="spellEnd"/>
            <w:r w:rsidRPr="00FB3F17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2402" w:type="dxa"/>
          </w:tcPr>
          <w:p w14:paraId="537EBF18" w14:textId="77777777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179.7(78-544)</w:t>
            </w:r>
          </w:p>
        </w:tc>
        <w:tc>
          <w:tcPr>
            <w:tcW w:w="2268" w:type="dxa"/>
          </w:tcPr>
          <w:p w14:paraId="4075E24C" w14:textId="5B32401C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299.7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(116.6-958.9)</w:t>
            </w:r>
          </w:p>
        </w:tc>
        <w:tc>
          <w:tcPr>
            <w:tcW w:w="2268" w:type="dxa"/>
          </w:tcPr>
          <w:p w14:paraId="05774AA4" w14:textId="77777777" w:rsidR="003D622A" w:rsidRPr="00FB3F17" w:rsidRDefault="003D622A" w:rsidP="00AC719E">
            <w:pPr>
              <w:rPr>
                <w:rFonts w:ascii="Times New Roman" w:hAnsi="Times New Roman" w:cs="Times New Roman"/>
                <w:b/>
              </w:rPr>
            </w:pPr>
            <w:r w:rsidRPr="00FB3F17">
              <w:rPr>
                <w:rFonts w:ascii="Times New Roman" w:hAnsi="Times New Roman" w:cs="Times New Roman"/>
                <w:b/>
              </w:rPr>
              <w:t>0.005</w:t>
            </w:r>
          </w:p>
        </w:tc>
      </w:tr>
      <w:tr w:rsidR="003D622A" w:rsidRPr="00FB3F17" w14:paraId="076AA811" w14:textId="77777777" w:rsidTr="00AC719E">
        <w:trPr>
          <w:trHeight w:val="331"/>
        </w:trPr>
        <w:tc>
          <w:tcPr>
            <w:tcW w:w="2129" w:type="dxa"/>
          </w:tcPr>
          <w:p w14:paraId="10DC61DE" w14:textId="325D235D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proofErr w:type="spellStart"/>
            <w:r w:rsidRPr="00FB3F17">
              <w:rPr>
                <w:rFonts w:ascii="Times New Roman" w:hAnsi="Times New Roman" w:cs="Times New Roman"/>
              </w:rPr>
              <w:t>HsTropT</w:t>
            </w:r>
            <w:proofErr w:type="spellEnd"/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(ng/L)</w:t>
            </w:r>
          </w:p>
        </w:tc>
        <w:tc>
          <w:tcPr>
            <w:tcW w:w="2402" w:type="dxa"/>
          </w:tcPr>
          <w:p w14:paraId="71A3362C" w14:textId="6625D46E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14.9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(7.8-23.7)</w:t>
            </w:r>
          </w:p>
        </w:tc>
        <w:tc>
          <w:tcPr>
            <w:tcW w:w="2268" w:type="dxa"/>
          </w:tcPr>
          <w:p w14:paraId="1D621C7D" w14:textId="31D26C02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15.7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(7.9-28.7)</w:t>
            </w:r>
          </w:p>
        </w:tc>
        <w:tc>
          <w:tcPr>
            <w:tcW w:w="2268" w:type="dxa"/>
          </w:tcPr>
          <w:p w14:paraId="57EBAD78" w14:textId="77777777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0.541</w:t>
            </w:r>
          </w:p>
        </w:tc>
      </w:tr>
      <w:tr w:rsidR="003D622A" w:rsidRPr="00FB3F17" w14:paraId="11D96596" w14:textId="77777777" w:rsidTr="00AC719E">
        <w:trPr>
          <w:trHeight w:val="331"/>
        </w:trPr>
        <w:tc>
          <w:tcPr>
            <w:tcW w:w="2129" w:type="dxa"/>
          </w:tcPr>
          <w:p w14:paraId="48BF73F5" w14:textId="3A227456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eGFR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(CKD-EPI) ml/min/1.73m</w:t>
            </w:r>
            <w:r w:rsidR="005F3A80" w:rsidRPr="00FB3F1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02" w:type="dxa"/>
          </w:tcPr>
          <w:p w14:paraId="73D0530B" w14:textId="56D5E101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39.6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(28.6-58.2)</w:t>
            </w:r>
          </w:p>
        </w:tc>
        <w:tc>
          <w:tcPr>
            <w:tcW w:w="2268" w:type="dxa"/>
          </w:tcPr>
          <w:p w14:paraId="1A0ED36C" w14:textId="70864989" w:rsidR="003D622A" w:rsidRPr="00FB3F17" w:rsidRDefault="003D622A" w:rsidP="00AC719E">
            <w:pPr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31.2</w:t>
            </w:r>
            <w:r w:rsidR="00FB3F17">
              <w:rPr>
                <w:rFonts w:ascii="Times New Roman" w:hAnsi="Times New Roman" w:cs="Times New Roman"/>
              </w:rPr>
              <w:t xml:space="preserve"> </w:t>
            </w:r>
            <w:r w:rsidRPr="00FB3F17">
              <w:rPr>
                <w:rFonts w:ascii="Times New Roman" w:hAnsi="Times New Roman" w:cs="Times New Roman"/>
              </w:rPr>
              <w:t>(20.4-44.1)</w:t>
            </w:r>
          </w:p>
        </w:tc>
        <w:tc>
          <w:tcPr>
            <w:tcW w:w="2268" w:type="dxa"/>
          </w:tcPr>
          <w:p w14:paraId="45D1849D" w14:textId="77777777" w:rsidR="003D622A" w:rsidRPr="00FB3F17" w:rsidRDefault="003D622A" w:rsidP="00AC719E">
            <w:pPr>
              <w:rPr>
                <w:rFonts w:ascii="Times New Roman" w:hAnsi="Times New Roman" w:cs="Times New Roman"/>
                <w:b/>
              </w:rPr>
            </w:pPr>
            <w:r w:rsidRPr="00FB3F17">
              <w:rPr>
                <w:rFonts w:ascii="Times New Roman" w:hAnsi="Times New Roman" w:cs="Times New Roman"/>
                <w:b/>
              </w:rPr>
              <w:t>0.000</w:t>
            </w:r>
          </w:p>
        </w:tc>
      </w:tr>
    </w:tbl>
    <w:p w14:paraId="7392510D" w14:textId="60C61C0D" w:rsidR="003D622A" w:rsidRPr="00FB3F17" w:rsidRDefault="003D622A" w:rsidP="003D622A">
      <w:pPr>
        <w:spacing w:after="0" w:line="240" w:lineRule="auto"/>
        <w:rPr>
          <w:rFonts w:ascii="Times New Roman" w:hAnsi="Times New Roman" w:cs="Times New Roman"/>
          <w:b/>
        </w:rPr>
      </w:pPr>
      <w:r w:rsidRPr="00FB3F17">
        <w:rPr>
          <w:rFonts w:ascii="Times New Roman" w:hAnsi="Times New Roman" w:cs="Times New Roman"/>
          <w:b/>
        </w:rPr>
        <w:t>Table-2</w:t>
      </w:r>
      <w:bookmarkStart w:id="1" w:name="_Hlk497903609"/>
      <w:r w:rsidRPr="00FB3F17">
        <w:rPr>
          <w:rFonts w:ascii="Times New Roman" w:hAnsi="Times New Roman" w:cs="Times New Roman"/>
          <w:b/>
        </w:rPr>
        <w:t xml:space="preserve"> </w:t>
      </w:r>
      <w:r w:rsidRPr="00FB3F17">
        <w:rPr>
          <w:rFonts w:ascii="Times New Roman" w:hAnsi="Times New Roman" w:cs="Times New Roman"/>
          <w:b/>
          <w:color w:val="000000" w:themeColor="text1"/>
        </w:rPr>
        <w:t>Biomarker association with renal outcomes</w:t>
      </w:r>
    </w:p>
    <w:tbl>
      <w:tblPr>
        <w:tblW w:w="9120" w:type="dxa"/>
        <w:tblInd w:w="-5" w:type="dxa"/>
        <w:tblLook w:val="04A0" w:firstRow="1" w:lastRow="0" w:firstColumn="1" w:lastColumn="0" w:noHBand="0" w:noVBand="1"/>
      </w:tblPr>
      <w:tblGrid>
        <w:gridCol w:w="2901"/>
        <w:gridCol w:w="3752"/>
        <w:gridCol w:w="2467"/>
      </w:tblGrid>
      <w:tr w:rsidR="003D622A" w:rsidRPr="00FB3F17" w14:paraId="787CDA76" w14:textId="77777777" w:rsidTr="00667BDD">
        <w:trPr>
          <w:trHeight w:val="39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4F3C5908" w14:textId="77777777" w:rsidR="003D622A" w:rsidRPr="00FB3F17" w:rsidRDefault="003D622A" w:rsidP="00AC719E">
            <w:pPr>
              <w:spacing w:after="0"/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64BE" w14:textId="77777777" w:rsidR="003D622A" w:rsidRPr="00FB3F17" w:rsidRDefault="003D622A" w:rsidP="00AC719E">
            <w:pPr>
              <w:spacing w:after="0"/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HR(95%CI)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8E3" w14:textId="77777777" w:rsidR="003D622A" w:rsidRPr="00FB3F17" w:rsidRDefault="003D622A" w:rsidP="00AC719E">
            <w:pPr>
              <w:spacing w:after="0"/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p-Value</w:t>
            </w:r>
          </w:p>
        </w:tc>
      </w:tr>
      <w:tr w:rsidR="003D622A" w:rsidRPr="00FB3F17" w14:paraId="6870CA39" w14:textId="77777777" w:rsidTr="00667BDD">
        <w:trPr>
          <w:trHeight w:val="231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E470" w14:textId="77777777" w:rsidR="003D622A" w:rsidRPr="00FB3F17" w:rsidRDefault="003D622A" w:rsidP="00AC719E">
            <w:pPr>
              <w:spacing w:after="0"/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MPO (ng/ml)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99B63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0.999(0.995-1.003)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B2B16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0.632</w:t>
            </w:r>
          </w:p>
        </w:tc>
      </w:tr>
      <w:tr w:rsidR="003D622A" w:rsidRPr="00FB3F17" w14:paraId="1DF3462A" w14:textId="77777777" w:rsidTr="00667BDD">
        <w:trPr>
          <w:trHeight w:val="231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E7BD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AAA 1 (OD)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9213E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1.132(0.712-1.802)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D0A5D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0.600</w:t>
            </w:r>
          </w:p>
        </w:tc>
      </w:tr>
      <w:tr w:rsidR="003D622A" w:rsidRPr="00FB3F17" w14:paraId="5637E7D3" w14:textId="77777777" w:rsidTr="00667BDD">
        <w:trPr>
          <w:trHeight w:val="213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6B76" w14:textId="77777777" w:rsidR="003D622A" w:rsidRPr="00FB3F17" w:rsidRDefault="003D622A" w:rsidP="00AC719E">
            <w:pPr>
              <w:spacing w:after="0"/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NT pro BNP (</w:t>
            </w:r>
            <w:proofErr w:type="spellStart"/>
            <w:r w:rsidRPr="00FB3F17">
              <w:rPr>
                <w:rFonts w:ascii="Times New Roman" w:hAnsi="Times New Roman" w:cs="Times New Roman"/>
              </w:rPr>
              <w:t>pg</w:t>
            </w:r>
            <w:proofErr w:type="spellEnd"/>
            <w:r w:rsidRPr="00FB3F17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25C2B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1(1-1)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6B057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0.289</w:t>
            </w:r>
          </w:p>
        </w:tc>
      </w:tr>
      <w:tr w:rsidR="003D622A" w:rsidRPr="00FB3F17" w14:paraId="5C1FA122" w14:textId="77777777" w:rsidTr="00667BDD">
        <w:trPr>
          <w:trHeight w:val="230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6AE9" w14:textId="77777777" w:rsidR="003D622A" w:rsidRPr="00FB3F17" w:rsidRDefault="003D622A" w:rsidP="00AC719E">
            <w:pPr>
              <w:spacing w:after="0"/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 xml:space="preserve">Hs </w:t>
            </w:r>
            <w:proofErr w:type="spellStart"/>
            <w:r w:rsidRPr="00FB3F17">
              <w:rPr>
                <w:rFonts w:ascii="Times New Roman" w:hAnsi="Times New Roman" w:cs="Times New Roman"/>
              </w:rPr>
              <w:t>cTnT</w:t>
            </w:r>
            <w:proofErr w:type="spellEnd"/>
            <w:r w:rsidRPr="00FB3F17">
              <w:rPr>
                <w:rFonts w:ascii="Times New Roman" w:hAnsi="Times New Roman" w:cs="Times New Roman"/>
              </w:rPr>
              <w:t xml:space="preserve"> (ng/L)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33DA4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1.006(0.996-1.017)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0A3FB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0.251</w:t>
            </w:r>
          </w:p>
        </w:tc>
      </w:tr>
      <w:tr w:rsidR="003D622A" w:rsidRPr="00FB3F17" w14:paraId="74E51820" w14:textId="77777777" w:rsidTr="00667BDD">
        <w:trPr>
          <w:trHeight w:val="283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8418" w14:textId="77777777" w:rsidR="003D622A" w:rsidRPr="00FB3F17" w:rsidRDefault="003D622A" w:rsidP="00AC719E">
            <w:pPr>
              <w:spacing w:after="0"/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KIM-1 (</w:t>
            </w:r>
            <w:proofErr w:type="spellStart"/>
            <w:r w:rsidRPr="00FB3F17">
              <w:rPr>
                <w:rFonts w:ascii="Times New Roman" w:hAnsi="Times New Roman" w:cs="Times New Roman"/>
              </w:rPr>
              <w:t>pg</w:t>
            </w:r>
            <w:proofErr w:type="spellEnd"/>
            <w:r w:rsidRPr="00FB3F17">
              <w:rPr>
                <w:rFonts w:ascii="Times New Roman" w:hAnsi="Times New Roman" w:cs="Times New Roman"/>
              </w:rPr>
              <w:t>/ml)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7863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1.001(1-1.001)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C6ED7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GB"/>
              </w:rPr>
              <w:t>0.000</w:t>
            </w:r>
          </w:p>
        </w:tc>
      </w:tr>
      <w:tr w:rsidR="003D622A" w:rsidRPr="00FB3F17" w14:paraId="5104B4C0" w14:textId="77777777" w:rsidTr="00667BDD">
        <w:trPr>
          <w:trHeight w:val="231"/>
        </w:trPr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84A8" w14:textId="77777777" w:rsidR="003D622A" w:rsidRPr="00FB3F17" w:rsidRDefault="003D622A" w:rsidP="00AC719E">
            <w:pPr>
              <w:spacing w:after="0"/>
              <w:rPr>
                <w:rFonts w:ascii="Times New Roman" w:hAnsi="Times New Roman" w:cs="Times New Roman"/>
              </w:rPr>
            </w:pPr>
            <w:r w:rsidRPr="00FB3F17">
              <w:rPr>
                <w:rFonts w:ascii="Times New Roman" w:hAnsi="Times New Roman" w:cs="Times New Roman"/>
              </w:rPr>
              <w:t>NGAL (ng/ml)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CC6A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1.004(1.002-1.005)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ADEDE" w14:textId="77777777" w:rsidR="003D622A" w:rsidRPr="00FB3F17" w:rsidRDefault="003D622A" w:rsidP="00AC7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GB"/>
              </w:rPr>
            </w:pPr>
            <w:r w:rsidRPr="00FB3F1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GB"/>
              </w:rPr>
              <w:t>0.000</w:t>
            </w:r>
          </w:p>
        </w:tc>
      </w:tr>
    </w:tbl>
    <w:p w14:paraId="61C59281" w14:textId="77777777" w:rsidR="003D622A" w:rsidRPr="00FB3F17" w:rsidRDefault="003D622A" w:rsidP="00314CE9">
      <w:pPr>
        <w:spacing w:after="0" w:line="240" w:lineRule="auto"/>
        <w:rPr>
          <w:rFonts w:ascii="Times New Roman" w:hAnsi="Times New Roman" w:cs="Times New Roman"/>
        </w:rPr>
      </w:pPr>
    </w:p>
    <w:sectPr w:rsidR="003D622A" w:rsidRPr="00FB3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0E"/>
    <w:rsid w:val="000031C2"/>
    <w:rsid w:val="000620A0"/>
    <w:rsid w:val="000B523E"/>
    <w:rsid w:val="000E0DB3"/>
    <w:rsid w:val="0010316B"/>
    <w:rsid w:val="001B3137"/>
    <w:rsid w:val="001F22DB"/>
    <w:rsid w:val="002028EA"/>
    <w:rsid w:val="00206354"/>
    <w:rsid w:val="00217D62"/>
    <w:rsid w:val="00251306"/>
    <w:rsid w:val="002732F8"/>
    <w:rsid w:val="00275A73"/>
    <w:rsid w:val="002D2326"/>
    <w:rsid w:val="002E34A8"/>
    <w:rsid w:val="002F39C6"/>
    <w:rsid w:val="00314CE9"/>
    <w:rsid w:val="0039689D"/>
    <w:rsid w:val="00397FDC"/>
    <w:rsid w:val="003D622A"/>
    <w:rsid w:val="003E1111"/>
    <w:rsid w:val="00404670"/>
    <w:rsid w:val="004272BB"/>
    <w:rsid w:val="004D55AA"/>
    <w:rsid w:val="00512E39"/>
    <w:rsid w:val="005A0D88"/>
    <w:rsid w:val="005B0E34"/>
    <w:rsid w:val="005F3A80"/>
    <w:rsid w:val="005F5F08"/>
    <w:rsid w:val="00611981"/>
    <w:rsid w:val="00644987"/>
    <w:rsid w:val="00651AA6"/>
    <w:rsid w:val="00667BDD"/>
    <w:rsid w:val="006732A5"/>
    <w:rsid w:val="006B729F"/>
    <w:rsid w:val="006C4A1A"/>
    <w:rsid w:val="006C6270"/>
    <w:rsid w:val="00701411"/>
    <w:rsid w:val="00702EA2"/>
    <w:rsid w:val="00717086"/>
    <w:rsid w:val="0076750B"/>
    <w:rsid w:val="0079144A"/>
    <w:rsid w:val="007A2265"/>
    <w:rsid w:val="007B491B"/>
    <w:rsid w:val="00891EDA"/>
    <w:rsid w:val="00897227"/>
    <w:rsid w:val="008B4B7B"/>
    <w:rsid w:val="00973A15"/>
    <w:rsid w:val="009B1264"/>
    <w:rsid w:val="009B5B04"/>
    <w:rsid w:val="009D5E57"/>
    <w:rsid w:val="00A519E3"/>
    <w:rsid w:val="00A66ABC"/>
    <w:rsid w:val="00A73AD2"/>
    <w:rsid w:val="00A75A6A"/>
    <w:rsid w:val="00B60B40"/>
    <w:rsid w:val="00B86B12"/>
    <w:rsid w:val="00BA302A"/>
    <w:rsid w:val="00BB313E"/>
    <w:rsid w:val="00BD3994"/>
    <w:rsid w:val="00C0210E"/>
    <w:rsid w:val="00C32400"/>
    <w:rsid w:val="00C62FAD"/>
    <w:rsid w:val="00C76A63"/>
    <w:rsid w:val="00CF5281"/>
    <w:rsid w:val="00D24AEB"/>
    <w:rsid w:val="00D44C3D"/>
    <w:rsid w:val="00D71B78"/>
    <w:rsid w:val="00DA238D"/>
    <w:rsid w:val="00DD177F"/>
    <w:rsid w:val="00DE16C8"/>
    <w:rsid w:val="00E17322"/>
    <w:rsid w:val="00E8676F"/>
    <w:rsid w:val="00F049E2"/>
    <w:rsid w:val="00FB3F17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9FDAA"/>
  <w15:docId w15:val="{3ADC5499-A778-47FA-9E2F-EBCB6F61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867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8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491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1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49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91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9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9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DE98-F517-475B-962B-3FB4B1A1A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RAJKUMAR CHINNADURAI</dc:creator>
  <cp:lastModifiedBy>RAJKUMAR CHINNADURAI</cp:lastModifiedBy>
  <cp:revision>18</cp:revision>
  <dcterms:created xsi:type="dcterms:W3CDTF">2017-06-03T11:32:00Z</dcterms:created>
  <dcterms:modified xsi:type="dcterms:W3CDTF">2018-01-31T22:59:00Z</dcterms:modified>
</cp:coreProperties>
</file>