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AF964" w14:textId="0E13B3F7" w:rsidR="00BC087F" w:rsidRDefault="006B74D5" w:rsidP="000611B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Demographics and </w:t>
      </w:r>
      <w:r w:rsidR="00E53C4C">
        <w:rPr>
          <w:rFonts w:ascii="Times New Roman" w:hAnsi="Times New Roman" w:cs="Times New Roman"/>
          <w:b/>
          <w:sz w:val="22"/>
          <w:szCs w:val="22"/>
        </w:rPr>
        <w:t xml:space="preserve">Outcomes of Patients Receiving Intermittent </w:t>
      </w:r>
      <w:r w:rsidR="00A5192C" w:rsidRPr="00A5192C">
        <w:rPr>
          <w:rFonts w:ascii="Times New Roman" w:hAnsi="Times New Roman" w:cs="Times New Roman"/>
          <w:b/>
          <w:sz w:val="22"/>
          <w:szCs w:val="22"/>
        </w:rPr>
        <w:t xml:space="preserve">Haemodialysis </w:t>
      </w:r>
      <w:r w:rsidR="00E53C4C">
        <w:rPr>
          <w:rFonts w:ascii="Times New Roman" w:hAnsi="Times New Roman" w:cs="Times New Roman"/>
          <w:b/>
          <w:sz w:val="22"/>
          <w:szCs w:val="22"/>
        </w:rPr>
        <w:t>for</w:t>
      </w:r>
      <w:r w:rsidR="00A5192C" w:rsidRPr="00A5192C">
        <w:rPr>
          <w:rFonts w:ascii="Times New Roman" w:hAnsi="Times New Roman" w:cs="Times New Roman"/>
          <w:b/>
          <w:sz w:val="22"/>
          <w:szCs w:val="22"/>
        </w:rPr>
        <w:t xml:space="preserve"> AKI</w:t>
      </w:r>
      <w:r w:rsidR="00494D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3C4C">
        <w:rPr>
          <w:rFonts w:ascii="Times New Roman" w:hAnsi="Times New Roman" w:cs="Times New Roman"/>
          <w:b/>
          <w:sz w:val="22"/>
          <w:szCs w:val="22"/>
        </w:rPr>
        <w:t>O</w:t>
      </w:r>
      <w:r w:rsidR="00756998">
        <w:rPr>
          <w:rFonts w:ascii="Times New Roman" w:hAnsi="Times New Roman" w:cs="Times New Roman"/>
          <w:b/>
          <w:sz w:val="22"/>
          <w:szCs w:val="22"/>
        </w:rPr>
        <w:t xml:space="preserve">utside of </w:t>
      </w:r>
      <w:r w:rsidR="00494DA4">
        <w:rPr>
          <w:rFonts w:ascii="Times New Roman" w:hAnsi="Times New Roman" w:cs="Times New Roman"/>
          <w:b/>
          <w:sz w:val="22"/>
          <w:szCs w:val="22"/>
        </w:rPr>
        <w:t>Intensive Care</w:t>
      </w:r>
    </w:p>
    <w:p w14:paraId="003A36DA" w14:textId="676C46E4" w:rsidR="00E53C4C" w:rsidRDefault="00E53C4C" w:rsidP="000611B0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</w:p>
    <w:bookmarkEnd w:id="0"/>
    <w:p w14:paraId="7E8475DB" w14:textId="77777777" w:rsidR="00A5192C" w:rsidRPr="0076483A" w:rsidRDefault="00A5192C" w:rsidP="000611B0">
      <w:pPr>
        <w:rPr>
          <w:rFonts w:ascii="Times New Roman" w:hAnsi="Times New Roman" w:cs="Times New Roman"/>
          <w:b/>
          <w:sz w:val="22"/>
          <w:szCs w:val="22"/>
        </w:rPr>
      </w:pPr>
    </w:p>
    <w:p w14:paraId="03F03983" w14:textId="0DB31D2B" w:rsidR="00012F83" w:rsidRDefault="0076483A" w:rsidP="009A53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Acute Kidney Injury (AKI) is a </w:t>
      </w:r>
      <w:r w:rsidR="00E53C4C">
        <w:rPr>
          <w:rFonts w:ascii="Times New Roman" w:hAnsi="Times New Roman" w:cs="Times New Roman"/>
          <w:sz w:val="22"/>
          <w:szCs w:val="22"/>
        </w:rPr>
        <w:t xml:space="preserve">common </w:t>
      </w:r>
      <w:r>
        <w:rPr>
          <w:rFonts w:ascii="Times New Roman" w:hAnsi="Times New Roman" w:cs="Times New Roman"/>
          <w:sz w:val="22"/>
          <w:szCs w:val="22"/>
        </w:rPr>
        <w:t>condition</w:t>
      </w:r>
      <w:r w:rsidR="00F7228D">
        <w:rPr>
          <w:rFonts w:ascii="Times New Roman" w:hAnsi="Times New Roman" w:cs="Times New Roman"/>
          <w:sz w:val="22"/>
          <w:szCs w:val="22"/>
        </w:rPr>
        <w:t xml:space="preserve"> occurring in up to 18% of hospital admissions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7228D">
        <w:rPr>
          <w:rFonts w:ascii="Times New Roman" w:hAnsi="Times New Roman" w:cs="Times New Roman"/>
          <w:sz w:val="22"/>
          <w:szCs w:val="22"/>
        </w:rPr>
        <w:t xml:space="preserve">and is </w:t>
      </w:r>
      <w:r>
        <w:rPr>
          <w:rFonts w:ascii="Times New Roman" w:hAnsi="Times New Roman" w:cs="Times New Roman"/>
          <w:sz w:val="22"/>
          <w:szCs w:val="22"/>
        </w:rPr>
        <w:t xml:space="preserve">associated with </w:t>
      </w:r>
      <w:r w:rsidR="00E53C4C">
        <w:rPr>
          <w:rFonts w:ascii="Times New Roman" w:hAnsi="Times New Roman" w:cs="Times New Roman"/>
          <w:sz w:val="22"/>
          <w:szCs w:val="22"/>
        </w:rPr>
        <w:t xml:space="preserve">worse outcomes </w:t>
      </w:r>
      <w:r w:rsidR="00F7228D">
        <w:rPr>
          <w:rFonts w:ascii="Times New Roman" w:hAnsi="Times New Roman" w:cs="Times New Roman"/>
          <w:sz w:val="22"/>
          <w:szCs w:val="22"/>
        </w:rPr>
        <w:t xml:space="preserve">and increased </w:t>
      </w:r>
      <w:r w:rsidR="00EB0479">
        <w:rPr>
          <w:rFonts w:ascii="Times New Roman" w:hAnsi="Times New Roman" w:cs="Times New Roman"/>
          <w:sz w:val="22"/>
          <w:szCs w:val="22"/>
        </w:rPr>
        <w:t>NHS</w:t>
      </w:r>
      <w:r w:rsidR="00F7228D">
        <w:rPr>
          <w:rFonts w:ascii="Times New Roman" w:hAnsi="Times New Roman" w:cs="Times New Roman"/>
          <w:sz w:val="22"/>
          <w:szCs w:val="22"/>
        </w:rPr>
        <w:t xml:space="preserve"> cost</w:t>
      </w:r>
      <w:r w:rsidR="00EB0479">
        <w:rPr>
          <w:rFonts w:ascii="Times New Roman" w:hAnsi="Times New Roman" w:cs="Times New Roman"/>
          <w:sz w:val="22"/>
          <w:szCs w:val="22"/>
        </w:rPr>
        <w:t>s</w:t>
      </w:r>
      <w:r w:rsidR="00F7228D">
        <w:rPr>
          <w:rFonts w:ascii="Times New Roman" w:hAnsi="Times New Roman" w:cs="Times New Roman"/>
          <w:sz w:val="22"/>
          <w:szCs w:val="22"/>
        </w:rPr>
        <w:t xml:space="preserve">. </w:t>
      </w:r>
      <w:r w:rsidR="00AB3691">
        <w:rPr>
          <w:rFonts w:ascii="Times New Roman" w:hAnsi="Times New Roman" w:cs="Times New Roman"/>
          <w:sz w:val="22"/>
          <w:szCs w:val="22"/>
        </w:rPr>
        <w:t xml:space="preserve">Severe </w:t>
      </w:r>
      <w:r>
        <w:rPr>
          <w:rFonts w:ascii="Times New Roman" w:hAnsi="Times New Roman" w:cs="Times New Roman"/>
          <w:sz w:val="22"/>
          <w:szCs w:val="22"/>
        </w:rPr>
        <w:t xml:space="preserve">AKI </w:t>
      </w:r>
      <w:r w:rsidR="00AB3691">
        <w:rPr>
          <w:rFonts w:ascii="Times New Roman" w:hAnsi="Times New Roman" w:cs="Times New Roman"/>
          <w:sz w:val="22"/>
          <w:szCs w:val="22"/>
        </w:rPr>
        <w:t>occurring in patients with multi-organ failure on the intensive care unit (ICU)</w:t>
      </w:r>
      <w:r w:rsidR="000113E4">
        <w:rPr>
          <w:rFonts w:ascii="Times New Roman" w:hAnsi="Times New Roman" w:cs="Times New Roman"/>
          <w:sz w:val="22"/>
          <w:szCs w:val="22"/>
        </w:rPr>
        <w:t xml:space="preserve"> </w:t>
      </w:r>
      <w:r w:rsidR="00AB3691">
        <w:rPr>
          <w:rFonts w:ascii="Times New Roman" w:hAnsi="Times New Roman" w:cs="Times New Roman"/>
          <w:sz w:val="22"/>
          <w:szCs w:val="22"/>
        </w:rPr>
        <w:t xml:space="preserve">requiring </w:t>
      </w:r>
      <w:r>
        <w:rPr>
          <w:rFonts w:ascii="Times New Roman" w:hAnsi="Times New Roman" w:cs="Times New Roman"/>
          <w:sz w:val="22"/>
          <w:szCs w:val="22"/>
        </w:rPr>
        <w:t xml:space="preserve">Renal Replacement Therapy (RRT) </w:t>
      </w:r>
      <w:r w:rsidR="000113E4">
        <w:rPr>
          <w:rFonts w:ascii="Times New Roman" w:hAnsi="Times New Roman" w:cs="Times New Roman"/>
          <w:sz w:val="22"/>
          <w:szCs w:val="22"/>
        </w:rPr>
        <w:t xml:space="preserve">occurs in 30-50% of admissions and patient outcomes have been extensively reported in the </w:t>
      </w:r>
      <w:r w:rsidR="00AB3691">
        <w:rPr>
          <w:rFonts w:ascii="Times New Roman" w:hAnsi="Times New Roman" w:cs="Times New Roman"/>
          <w:sz w:val="22"/>
          <w:szCs w:val="22"/>
        </w:rPr>
        <w:t>literature</w:t>
      </w:r>
      <w:r w:rsidR="000113E4">
        <w:rPr>
          <w:rFonts w:ascii="Times New Roman" w:hAnsi="Times New Roman" w:cs="Times New Roman"/>
          <w:sz w:val="22"/>
          <w:szCs w:val="22"/>
        </w:rPr>
        <w:t xml:space="preserve">. However, </w:t>
      </w:r>
      <w:r w:rsidR="00BF6A5D">
        <w:rPr>
          <w:rFonts w:ascii="Times New Roman" w:hAnsi="Times New Roman" w:cs="Times New Roman"/>
          <w:sz w:val="22"/>
          <w:szCs w:val="22"/>
        </w:rPr>
        <w:t xml:space="preserve">due to the lack of accurate hospital coding, </w:t>
      </w:r>
      <w:r w:rsidR="000113E4">
        <w:rPr>
          <w:rFonts w:ascii="Times New Roman" w:hAnsi="Times New Roman" w:cs="Times New Roman"/>
          <w:sz w:val="22"/>
          <w:szCs w:val="22"/>
        </w:rPr>
        <w:t xml:space="preserve">there is a paucity of data </w:t>
      </w:r>
      <w:r w:rsidR="00314C32">
        <w:rPr>
          <w:rFonts w:ascii="Times New Roman" w:hAnsi="Times New Roman" w:cs="Times New Roman"/>
          <w:sz w:val="22"/>
          <w:szCs w:val="22"/>
        </w:rPr>
        <w:t>on patients who receive intermittent</w:t>
      </w:r>
      <w:r w:rsidR="00BF6A5D">
        <w:rPr>
          <w:rFonts w:ascii="Times New Roman" w:hAnsi="Times New Roman" w:cs="Times New Roman"/>
          <w:sz w:val="22"/>
          <w:szCs w:val="22"/>
        </w:rPr>
        <w:t xml:space="preserve"> haemodialysis (</w:t>
      </w:r>
      <w:proofErr w:type="spellStart"/>
      <w:r w:rsidR="00BF6A5D">
        <w:rPr>
          <w:rFonts w:ascii="Times New Roman" w:hAnsi="Times New Roman" w:cs="Times New Roman"/>
          <w:sz w:val="22"/>
          <w:szCs w:val="22"/>
        </w:rPr>
        <w:t>iHD</w:t>
      </w:r>
      <w:proofErr w:type="spellEnd"/>
      <w:r w:rsidR="00BF6A5D">
        <w:rPr>
          <w:rFonts w:ascii="Times New Roman" w:hAnsi="Times New Roman" w:cs="Times New Roman"/>
          <w:sz w:val="22"/>
          <w:szCs w:val="22"/>
        </w:rPr>
        <w:t>) outside of ICU. T</w:t>
      </w:r>
      <w:r w:rsidR="00AB7DE9">
        <w:rPr>
          <w:rFonts w:ascii="Times New Roman" w:hAnsi="Times New Roman" w:cs="Times New Roman"/>
          <w:sz w:val="22"/>
          <w:szCs w:val="22"/>
        </w:rPr>
        <w:t>herefore</w:t>
      </w:r>
      <w:r w:rsidR="00BF6A5D">
        <w:rPr>
          <w:rFonts w:ascii="Times New Roman" w:hAnsi="Times New Roman" w:cs="Times New Roman"/>
          <w:sz w:val="22"/>
          <w:szCs w:val="22"/>
        </w:rPr>
        <w:t xml:space="preserve"> there is an unmet </w:t>
      </w:r>
      <w:r w:rsidR="002C33F1">
        <w:rPr>
          <w:rFonts w:ascii="Times New Roman" w:hAnsi="Times New Roman" w:cs="Times New Roman"/>
          <w:sz w:val="22"/>
          <w:szCs w:val="22"/>
        </w:rPr>
        <w:t xml:space="preserve">clinical </w:t>
      </w:r>
      <w:r w:rsidR="00BF6A5D">
        <w:rPr>
          <w:rFonts w:ascii="Times New Roman" w:hAnsi="Times New Roman" w:cs="Times New Roman"/>
          <w:sz w:val="22"/>
          <w:szCs w:val="22"/>
        </w:rPr>
        <w:t xml:space="preserve">need </w:t>
      </w:r>
      <w:r w:rsidR="002C33F1">
        <w:rPr>
          <w:rFonts w:ascii="Times New Roman" w:hAnsi="Times New Roman" w:cs="Times New Roman"/>
          <w:sz w:val="22"/>
          <w:szCs w:val="22"/>
        </w:rPr>
        <w:t>in understanding this patient group and their outcomes to</w:t>
      </w:r>
      <w:r w:rsidR="00EC36CB">
        <w:rPr>
          <w:rFonts w:ascii="Times New Roman" w:hAnsi="Times New Roman" w:cs="Times New Roman"/>
          <w:sz w:val="22"/>
          <w:szCs w:val="22"/>
        </w:rPr>
        <w:t xml:space="preserve"> influence practice and aid discussions with patients. </w:t>
      </w:r>
    </w:p>
    <w:p w14:paraId="31DB0BCA" w14:textId="77777777" w:rsidR="00012F83" w:rsidRDefault="00012F83" w:rsidP="009A53DA">
      <w:pPr>
        <w:rPr>
          <w:rFonts w:ascii="Times New Roman" w:hAnsi="Times New Roman" w:cs="Times New Roman"/>
          <w:sz w:val="22"/>
          <w:szCs w:val="22"/>
        </w:rPr>
      </w:pPr>
    </w:p>
    <w:p w14:paraId="30B1AB93" w14:textId="4E31407C" w:rsidR="009A53DA" w:rsidRDefault="0059024B" w:rsidP="009A53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A725C7">
        <w:rPr>
          <w:rFonts w:ascii="Times New Roman" w:hAnsi="Times New Roman" w:cs="Times New Roman"/>
          <w:sz w:val="22"/>
          <w:szCs w:val="22"/>
        </w:rPr>
        <w:t xml:space="preserve"> s</w:t>
      </w:r>
      <w:r w:rsidR="00CB3FFB" w:rsidRPr="0076483A">
        <w:rPr>
          <w:rFonts w:ascii="Times New Roman" w:hAnsi="Times New Roman" w:cs="Times New Roman"/>
          <w:sz w:val="22"/>
          <w:szCs w:val="22"/>
        </w:rPr>
        <w:t>ingle-</w:t>
      </w:r>
      <w:r w:rsidR="00BA61E6" w:rsidRPr="0076483A">
        <w:rPr>
          <w:rFonts w:ascii="Times New Roman" w:hAnsi="Times New Roman" w:cs="Times New Roman"/>
          <w:sz w:val="22"/>
          <w:szCs w:val="22"/>
        </w:rPr>
        <w:t xml:space="preserve">centre retrospective analysis </w:t>
      </w:r>
      <w:r>
        <w:rPr>
          <w:rFonts w:ascii="Times New Roman" w:hAnsi="Times New Roman" w:cs="Times New Roman"/>
          <w:sz w:val="22"/>
          <w:szCs w:val="22"/>
        </w:rPr>
        <w:t xml:space="preserve">was performed on patients who received </w:t>
      </w:r>
      <w:proofErr w:type="spellStart"/>
      <w:r>
        <w:rPr>
          <w:rFonts w:ascii="Times New Roman" w:hAnsi="Times New Roman" w:cs="Times New Roman"/>
          <w:sz w:val="22"/>
          <w:szCs w:val="22"/>
        </w:rPr>
        <w:t>iHD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outside of ICU over a continuous</w:t>
      </w:r>
      <w:r w:rsidRPr="0076483A">
        <w:rPr>
          <w:rFonts w:ascii="Times New Roman" w:hAnsi="Times New Roman" w:cs="Times New Roman"/>
          <w:sz w:val="22"/>
          <w:szCs w:val="22"/>
        </w:rPr>
        <w:t xml:space="preserve"> period of 24 months</w:t>
      </w:r>
      <w:r>
        <w:rPr>
          <w:rFonts w:ascii="Times New Roman" w:hAnsi="Times New Roman" w:cs="Times New Roman"/>
          <w:sz w:val="22"/>
          <w:szCs w:val="22"/>
        </w:rPr>
        <w:t xml:space="preserve">. From the available data patients were divided into 2 </w:t>
      </w:r>
      <w:r w:rsidR="00ED2EE2">
        <w:rPr>
          <w:rFonts w:ascii="Times New Roman" w:hAnsi="Times New Roman" w:cs="Times New Roman"/>
          <w:sz w:val="22"/>
          <w:szCs w:val="22"/>
        </w:rPr>
        <w:t xml:space="preserve">broad </w:t>
      </w:r>
      <w:r>
        <w:rPr>
          <w:rFonts w:ascii="Times New Roman" w:hAnsi="Times New Roman" w:cs="Times New Roman"/>
          <w:sz w:val="22"/>
          <w:szCs w:val="22"/>
        </w:rPr>
        <w:t>groups</w:t>
      </w:r>
      <w:r w:rsidR="00BC04EB">
        <w:rPr>
          <w:rFonts w:ascii="Times New Roman" w:hAnsi="Times New Roman" w:cs="Times New Roman"/>
          <w:sz w:val="22"/>
          <w:szCs w:val="22"/>
        </w:rPr>
        <w:t xml:space="preserve">, Group A (n=112) comprised of patients who only received </w:t>
      </w:r>
      <w:proofErr w:type="spellStart"/>
      <w:r w:rsidR="00BC04EB">
        <w:rPr>
          <w:rFonts w:ascii="Times New Roman" w:hAnsi="Times New Roman" w:cs="Times New Roman"/>
          <w:sz w:val="22"/>
          <w:szCs w:val="22"/>
        </w:rPr>
        <w:t>iHD</w:t>
      </w:r>
      <w:proofErr w:type="spellEnd"/>
      <w:r w:rsidR="00BC04EB">
        <w:rPr>
          <w:rFonts w:ascii="Times New Roman" w:hAnsi="Times New Roman" w:cs="Times New Roman"/>
          <w:sz w:val="22"/>
          <w:szCs w:val="22"/>
        </w:rPr>
        <w:t xml:space="preserve"> outside of ICU and Group B (n=</w:t>
      </w:r>
      <w:r w:rsidR="00BA61E6" w:rsidRPr="0076483A">
        <w:rPr>
          <w:rFonts w:ascii="Times New Roman" w:hAnsi="Times New Roman" w:cs="Times New Roman"/>
          <w:sz w:val="22"/>
          <w:szCs w:val="22"/>
        </w:rPr>
        <w:t xml:space="preserve"> 84</w:t>
      </w:r>
      <w:r w:rsidR="00BC04EB">
        <w:rPr>
          <w:rFonts w:ascii="Times New Roman" w:hAnsi="Times New Roman" w:cs="Times New Roman"/>
          <w:sz w:val="22"/>
          <w:szCs w:val="22"/>
        </w:rPr>
        <w:t xml:space="preserve">) comprised of patients who received RRT on ICU and required </w:t>
      </w:r>
      <w:proofErr w:type="spellStart"/>
      <w:r w:rsidR="00BC04EB">
        <w:rPr>
          <w:rFonts w:ascii="Times New Roman" w:hAnsi="Times New Roman" w:cs="Times New Roman"/>
          <w:sz w:val="22"/>
          <w:szCs w:val="22"/>
        </w:rPr>
        <w:t>iHD</w:t>
      </w:r>
      <w:proofErr w:type="spellEnd"/>
      <w:r w:rsidR="00BC04EB">
        <w:rPr>
          <w:rFonts w:ascii="Times New Roman" w:hAnsi="Times New Roman" w:cs="Times New Roman"/>
          <w:sz w:val="22"/>
          <w:szCs w:val="22"/>
        </w:rPr>
        <w:t xml:space="preserve"> </w:t>
      </w:r>
      <w:r w:rsidR="003338F0">
        <w:rPr>
          <w:rFonts w:ascii="Times New Roman" w:hAnsi="Times New Roman" w:cs="Times New Roman"/>
          <w:sz w:val="22"/>
          <w:szCs w:val="22"/>
        </w:rPr>
        <w:t>following discharge to the ward</w:t>
      </w:r>
      <w:r w:rsidR="00085E86">
        <w:rPr>
          <w:rFonts w:ascii="Times New Roman" w:hAnsi="Times New Roman" w:cs="Times New Roman"/>
          <w:sz w:val="22"/>
          <w:szCs w:val="22"/>
        </w:rPr>
        <w:t xml:space="preserve">. </w:t>
      </w:r>
      <w:r w:rsidR="00A25EC7">
        <w:rPr>
          <w:rFonts w:ascii="Times New Roman" w:hAnsi="Times New Roman" w:cs="Times New Roman"/>
          <w:sz w:val="22"/>
          <w:szCs w:val="22"/>
        </w:rPr>
        <w:t>Routine d</w:t>
      </w:r>
      <w:r w:rsidR="009A53DA">
        <w:rPr>
          <w:rFonts w:ascii="Times New Roman" w:hAnsi="Times New Roman" w:cs="Times New Roman"/>
          <w:sz w:val="22"/>
          <w:szCs w:val="22"/>
        </w:rPr>
        <w:t xml:space="preserve">ata </w:t>
      </w:r>
      <w:r w:rsidR="00A25EC7">
        <w:rPr>
          <w:rFonts w:ascii="Times New Roman" w:hAnsi="Times New Roman" w:cs="Times New Roman"/>
          <w:sz w:val="22"/>
          <w:szCs w:val="22"/>
        </w:rPr>
        <w:t>collected from the electronic health care record was analysed as part of a service evaluation</w:t>
      </w:r>
      <w:r w:rsidR="009A53DA" w:rsidRPr="004A76B4">
        <w:rPr>
          <w:rFonts w:ascii="Times New Roman" w:hAnsi="Times New Roman" w:cs="Times New Roman"/>
          <w:sz w:val="22"/>
          <w:szCs w:val="22"/>
        </w:rPr>
        <w:t>.</w:t>
      </w:r>
      <w:r w:rsidR="00F308D9">
        <w:rPr>
          <w:rFonts w:ascii="Times New Roman" w:hAnsi="Times New Roman" w:cs="Times New Roman"/>
          <w:sz w:val="22"/>
          <w:szCs w:val="22"/>
        </w:rPr>
        <w:t xml:space="preserve"> </w:t>
      </w:r>
      <w:r w:rsidR="00C0012A">
        <w:rPr>
          <w:rFonts w:ascii="Times New Roman" w:hAnsi="Times New Roman" w:cs="Times New Roman"/>
          <w:sz w:val="22"/>
          <w:szCs w:val="22"/>
        </w:rPr>
        <w:t>Descriptive statistics were used to summarise the cohorts.</w:t>
      </w:r>
      <w:r w:rsidR="00DE25FE">
        <w:rPr>
          <w:rFonts w:ascii="Times New Roman" w:hAnsi="Times New Roman" w:cs="Times New Roman"/>
          <w:sz w:val="22"/>
          <w:szCs w:val="22"/>
        </w:rPr>
        <w:t xml:space="preserve"> Logistic regression was</w:t>
      </w:r>
      <w:r w:rsidR="00F308D9">
        <w:rPr>
          <w:rFonts w:ascii="Times New Roman" w:hAnsi="Times New Roman" w:cs="Times New Roman"/>
          <w:sz w:val="22"/>
          <w:szCs w:val="22"/>
        </w:rPr>
        <w:t xml:space="preserve"> used to </w:t>
      </w:r>
      <w:r w:rsidR="00DE25FE">
        <w:rPr>
          <w:rFonts w:ascii="Times New Roman" w:hAnsi="Times New Roman" w:cs="Times New Roman"/>
          <w:sz w:val="22"/>
          <w:szCs w:val="22"/>
        </w:rPr>
        <w:t xml:space="preserve">determine risk factors for </w:t>
      </w:r>
      <w:r w:rsidR="00A25EC7">
        <w:rPr>
          <w:rFonts w:ascii="Times New Roman" w:hAnsi="Times New Roman" w:cs="Times New Roman"/>
          <w:sz w:val="22"/>
          <w:szCs w:val="22"/>
        </w:rPr>
        <w:t xml:space="preserve">patient </w:t>
      </w:r>
      <w:r w:rsidR="00DE25FE">
        <w:rPr>
          <w:rFonts w:ascii="Times New Roman" w:hAnsi="Times New Roman" w:cs="Times New Roman"/>
          <w:sz w:val="22"/>
          <w:szCs w:val="22"/>
        </w:rPr>
        <w:t xml:space="preserve">mortality and for return to baseline </w:t>
      </w:r>
      <w:proofErr w:type="spellStart"/>
      <w:r w:rsidR="006E1A3D">
        <w:rPr>
          <w:rFonts w:ascii="Times New Roman" w:hAnsi="Times New Roman" w:cs="Times New Roman"/>
          <w:sz w:val="22"/>
          <w:szCs w:val="22"/>
        </w:rPr>
        <w:t>eGFR</w:t>
      </w:r>
      <w:proofErr w:type="spellEnd"/>
      <w:r w:rsidR="006E1A3D">
        <w:rPr>
          <w:rFonts w:ascii="Times New Roman" w:hAnsi="Times New Roman" w:cs="Times New Roman"/>
          <w:sz w:val="22"/>
          <w:szCs w:val="22"/>
        </w:rPr>
        <w:t>.</w:t>
      </w:r>
      <w:r w:rsidR="00DE25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3810CF" w14:textId="77777777" w:rsidR="00CC0100" w:rsidRDefault="00CC0100" w:rsidP="00BA61E6">
      <w:pPr>
        <w:rPr>
          <w:rFonts w:ascii="Times New Roman" w:hAnsi="Times New Roman" w:cs="Times New Roman"/>
          <w:sz w:val="22"/>
          <w:szCs w:val="22"/>
        </w:rPr>
      </w:pPr>
    </w:p>
    <w:p w14:paraId="242EEA90" w14:textId="56304E7B" w:rsidR="00A939FB" w:rsidRDefault="00AE552E" w:rsidP="00BA61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Patients in Group B were younger, with </w:t>
      </w:r>
      <w:proofErr w:type="gramStart"/>
      <w:r>
        <w:rPr>
          <w:rFonts w:ascii="Times New Roman" w:hAnsi="Times New Roman" w:cs="Times New Roman"/>
          <w:sz w:val="22"/>
          <w:szCs w:val="22"/>
        </w:rPr>
        <w:t>fewer co-morbidities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 better renal function than </w:t>
      </w:r>
      <w:r w:rsidR="00633FAA">
        <w:rPr>
          <w:rFonts w:ascii="Times New Roman" w:hAnsi="Times New Roman" w:cs="Times New Roman"/>
          <w:sz w:val="22"/>
          <w:szCs w:val="22"/>
        </w:rPr>
        <w:t>patients</w:t>
      </w:r>
      <w:r w:rsidR="0019635D">
        <w:rPr>
          <w:rFonts w:ascii="Times New Roman" w:hAnsi="Times New Roman" w:cs="Times New Roman"/>
          <w:sz w:val="22"/>
          <w:szCs w:val="22"/>
        </w:rPr>
        <w:t xml:space="preserve"> in </w:t>
      </w:r>
      <w:r w:rsidR="00CE2AA1">
        <w:rPr>
          <w:rFonts w:ascii="Times New Roman" w:hAnsi="Times New Roman" w:cs="Times New Roman"/>
          <w:sz w:val="22"/>
          <w:szCs w:val="22"/>
        </w:rPr>
        <w:t>Group A (T</w:t>
      </w:r>
      <w:r w:rsidR="00C0012A">
        <w:rPr>
          <w:rFonts w:ascii="Times New Roman" w:hAnsi="Times New Roman" w:cs="Times New Roman"/>
          <w:sz w:val="22"/>
          <w:szCs w:val="22"/>
        </w:rPr>
        <w:t>able 1</w:t>
      </w:r>
      <w:r w:rsidR="00CE2AA1">
        <w:rPr>
          <w:rFonts w:ascii="Times New Roman" w:hAnsi="Times New Roman" w:cs="Times New Roman"/>
          <w:sz w:val="22"/>
          <w:szCs w:val="22"/>
        </w:rPr>
        <w:t>)</w:t>
      </w:r>
      <w:r w:rsidR="00CE3FEA">
        <w:rPr>
          <w:rFonts w:ascii="Times New Roman" w:hAnsi="Times New Roman" w:cs="Times New Roman"/>
          <w:sz w:val="22"/>
          <w:szCs w:val="22"/>
        </w:rPr>
        <w:t xml:space="preserve">. </w:t>
      </w:r>
      <w:r w:rsidR="001D294B" w:rsidRPr="0076483A">
        <w:rPr>
          <w:rFonts w:ascii="Times New Roman" w:hAnsi="Times New Roman" w:cs="Times New Roman"/>
          <w:sz w:val="22"/>
          <w:szCs w:val="22"/>
        </w:rPr>
        <w:t xml:space="preserve">The commonest cause of AKI </w:t>
      </w:r>
      <w:r w:rsidR="004B4E3F">
        <w:rPr>
          <w:rFonts w:ascii="Times New Roman" w:hAnsi="Times New Roman" w:cs="Times New Roman"/>
          <w:sz w:val="22"/>
          <w:szCs w:val="22"/>
        </w:rPr>
        <w:t xml:space="preserve">in both groups was sepsis. There </w:t>
      </w:r>
      <w:proofErr w:type="gramStart"/>
      <w:r w:rsidR="004B4E3F">
        <w:rPr>
          <w:rFonts w:ascii="Times New Roman" w:hAnsi="Times New Roman" w:cs="Times New Roman"/>
          <w:sz w:val="22"/>
          <w:szCs w:val="22"/>
        </w:rPr>
        <w:t>was</w:t>
      </w:r>
      <w:proofErr w:type="gramEnd"/>
      <w:r w:rsidR="004B4E3F">
        <w:rPr>
          <w:rFonts w:ascii="Times New Roman" w:hAnsi="Times New Roman" w:cs="Times New Roman"/>
          <w:sz w:val="22"/>
          <w:szCs w:val="22"/>
        </w:rPr>
        <w:t xml:space="preserve"> a higher proportion of patients with primary renal disease</w:t>
      </w:r>
      <w:r w:rsidR="0019635D">
        <w:rPr>
          <w:rFonts w:ascii="Times New Roman" w:hAnsi="Times New Roman" w:cs="Times New Roman"/>
          <w:sz w:val="22"/>
          <w:szCs w:val="22"/>
        </w:rPr>
        <w:t xml:space="preserve"> (e.g. </w:t>
      </w:r>
      <w:proofErr w:type="spellStart"/>
      <w:r w:rsidR="0019635D">
        <w:rPr>
          <w:rFonts w:ascii="Times New Roman" w:hAnsi="Times New Roman" w:cs="Times New Roman"/>
          <w:sz w:val="22"/>
          <w:szCs w:val="22"/>
        </w:rPr>
        <w:t>vasculitis</w:t>
      </w:r>
      <w:proofErr w:type="spellEnd"/>
      <w:r w:rsidR="0019635D">
        <w:rPr>
          <w:rFonts w:ascii="Times New Roman" w:hAnsi="Times New Roman" w:cs="Times New Roman"/>
          <w:sz w:val="22"/>
          <w:szCs w:val="22"/>
        </w:rPr>
        <w:t>)</w:t>
      </w:r>
      <w:r w:rsidR="004B4E3F">
        <w:rPr>
          <w:rFonts w:ascii="Times New Roman" w:hAnsi="Times New Roman" w:cs="Times New Roman"/>
          <w:sz w:val="22"/>
          <w:szCs w:val="22"/>
        </w:rPr>
        <w:t xml:space="preserve"> in </w:t>
      </w:r>
      <w:r w:rsidR="0019635D">
        <w:rPr>
          <w:rFonts w:ascii="Times New Roman" w:hAnsi="Times New Roman" w:cs="Times New Roman"/>
          <w:sz w:val="22"/>
          <w:szCs w:val="22"/>
        </w:rPr>
        <w:t>Gr</w:t>
      </w:r>
      <w:r w:rsidR="00084DCD">
        <w:rPr>
          <w:rFonts w:ascii="Times New Roman" w:hAnsi="Times New Roman" w:cs="Times New Roman"/>
          <w:sz w:val="22"/>
          <w:szCs w:val="22"/>
        </w:rPr>
        <w:t>oup A</w:t>
      </w:r>
      <w:r w:rsidR="00CB3FFB" w:rsidRPr="0076483A">
        <w:rPr>
          <w:rFonts w:ascii="Times New Roman" w:hAnsi="Times New Roman" w:cs="Times New Roman"/>
          <w:sz w:val="22"/>
          <w:szCs w:val="22"/>
        </w:rPr>
        <w:t xml:space="preserve">. </w:t>
      </w:r>
      <w:r w:rsidR="00084DCD">
        <w:rPr>
          <w:rFonts w:ascii="Times New Roman" w:hAnsi="Times New Roman" w:cs="Times New Roman"/>
          <w:sz w:val="22"/>
          <w:szCs w:val="22"/>
        </w:rPr>
        <w:t>The c</w:t>
      </w:r>
      <w:r w:rsidR="00CB3FFB" w:rsidRPr="0076483A">
        <w:rPr>
          <w:rFonts w:ascii="Times New Roman" w:hAnsi="Times New Roman" w:cs="Times New Roman"/>
          <w:sz w:val="22"/>
          <w:szCs w:val="22"/>
        </w:rPr>
        <w:t xml:space="preserve">ommonest indication for </w:t>
      </w:r>
      <w:proofErr w:type="spellStart"/>
      <w:r w:rsidR="0019635D">
        <w:rPr>
          <w:rFonts w:ascii="Times New Roman" w:hAnsi="Times New Roman" w:cs="Times New Roman"/>
          <w:sz w:val="22"/>
          <w:szCs w:val="22"/>
        </w:rPr>
        <w:t>iHD</w:t>
      </w:r>
      <w:proofErr w:type="spellEnd"/>
      <w:r w:rsidR="00CB3FFB" w:rsidRPr="0076483A">
        <w:rPr>
          <w:rFonts w:ascii="Times New Roman" w:hAnsi="Times New Roman" w:cs="Times New Roman"/>
          <w:sz w:val="22"/>
          <w:szCs w:val="22"/>
        </w:rPr>
        <w:t xml:space="preserve"> </w:t>
      </w:r>
      <w:r w:rsidR="0019635D">
        <w:rPr>
          <w:rFonts w:ascii="Times New Roman" w:hAnsi="Times New Roman" w:cs="Times New Roman"/>
          <w:sz w:val="22"/>
          <w:szCs w:val="22"/>
        </w:rPr>
        <w:t xml:space="preserve">in Group A </w:t>
      </w:r>
      <w:r w:rsidR="00CB3FFB" w:rsidRPr="0076483A">
        <w:rPr>
          <w:rFonts w:ascii="Times New Roman" w:hAnsi="Times New Roman" w:cs="Times New Roman"/>
          <w:sz w:val="22"/>
          <w:szCs w:val="22"/>
        </w:rPr>
        <w:t>wa</w:t>
      </w:r>
      <w:r w:rsidR="00561451" w:rsidRPr="0076483A">
        <w:rPr>
          <w:rFonts w:ascii="Times New Roman" w:hAnsi="Times New Roman" w:cs="Times New Roman"/>
          <w:sz w:val="22"/>
          <w:szCs w:val="22"/>
        </w:rPr>
        <w:t xml:space="preserve">s </w:t>
      </w:r>
      <w:r w:rsidR="0019635D">
        <w:rPr>
          <w:rFonts w:ascii="Times New Roman" w:hAnsi="Times New Roman" w:cs="Times New Roman"/>
          <w:sz w:val="22"/>
          <w:szCs w:val="22"/>
        </w:rPr>
        <w:t xml:space="preserve">volume </w:t>
      </w:r>
      <w:r w:rsidR="00561451" w:rsidRPr="0076483A">
        <w:rPr>
          <w:rFonts w:ascii="Times New Roman" w:hAnsi="Times New Roman" w:cs="Times New Roman"/>
          <w:sz w:val="22"/>
          <w:szCs w:val="22"/>
        </w:rPr>
        <w:t>overload and acidosis in Group B.</w:t>
      </w:r>
      <w:r w:rsidR="00EF5ADB">
        <w:rPr>
          <w:rFonts w:ascii="Times New Roman" w:hAnsi="Times New Roman" w:cs="Times New Roman"/>
          <w:sz w:val="22"/>
          <w:szCs w:val="22"/>
        </w:rPr>
        <w:t xml:space="preserve"> </w:t>
      </w:r>
      <w:r w:rsidR="0019635D">
        <w:rPr>
          <w:rFonts w:ascii="Times New Roman" w:hAnsi="Times New Roman" w:cs="Times New Roman"/>
          <w:sz w:val="22"/>
          <w:szCs w:val="22"/>
        </w:rPr>
        <w:t>The</w:t>
      </w:r>
      <w:r w:rsidR="00084DCD">
        <w:rPr>
          <w:rFonts w:ascii="Times New Roman" w:hAnsi="Times New Roman" w:cs="Times New Roman"/>
          <w:sz w:val="22"/>
          <w:szCs w:val="22"/>
        </w:rPr>
        <w:t xml:space="preserve"> 90-day mortality was </w:t>
      </w:r>
      <w:r w:rsidR="00925E5F">
        <w:rPr>
          <w:rFonts w:ascii="Times New Roman" w:hAnsi="Times New Roman" w:cs="Times New Roman"/>
          <w:sz w:val="22"/>
          <w:szCs w:val="22"/>
        </w:rPr>
        <w:t>similar</w:t>
      </w:r>
      <w:r w:rsidR="0019635D">
        <w:rPr>
          <w:rFonts w:ascii="Times New Roman" w:hAnsi="Times New Roman" w:cs="Times New Roman"/>
          <w:sz w:val="22"/>
          <w:szCs w:val="22"/>
        </w:rPr>
        <w:t xml:space="preserve"> in both groups</w:t>
      </w:r>
      <w:r>
        <w:rPr>
          <w:rFonts w:ascii="Times New Roman" w:hAnsi="Times New Roman" w:cs="Times New Roman"/>
          <w:sz w:val="22"/>
          <w:szCs w:val="22"/>
        </w:rPr>
        <w:t xml:space="preserve"> at 30%, which is higher than that of patients with AKI not requiring RRT </w:t>
      </w:r>
      <w:r w:rsidR="00EB0479">
        <w:rPr>
          <w:rFonts w:ascii="Times New Roman" w:hAnsi="Times New Roman" w:cs="Times New Roman"/>
          <w:sz w:val="22"/>
          <w:szCs w:val="22"/>
        </w:rPr>
        <w:t>(Figure 1)</w:t>
      </w:r>
      <w:r w:rsidR="0019635D">
        <w:rPr>
          <w:rFonts w:ascii="Times New Roman" w:hAnsi="Times New Roman" w:cs="Times New Roman"/>
          <w:sz w:val="22"/>
          <w:szCs w:val="22"/>
        </w:rPr>
        <w:t xml:space="preserve">. Patients </w:t>
      </w:r>
      <w:r w:rsidR="008C6AB5">
        <w:rPr>
          <w:rFonts w:ascii="Times New Roman" w:hAnsi="Times New Roman" w:cs="Times New Roman"/>
          <w:sz w:val="22"/>
          <w:szCs w:val="22"/>
        </w:rPr>
        <w:t>from Group A were more likely to remain dialysis dependent</w:t>
      </w:r>
      <w:r w:rsidR="00914771">
        <w:rPr>
          <w:rFonts w:ascii="Times New Roman" w:hAnsi="Times New Roman" w:cs="Times New Roman"/>
          <w:sz w:val="22"/>
          <w:szCs w:val="22"/>
        </w:rPr>
        <w:t xml:space="preserve"> (Figure 1)</w:t>
      </w:r>
      <w:r w:rsidR="00925E5F">
        <w:rPr>
          <w:rFonts w:ascii="Times New Roman" w:hAnsi="Times New Roman" w:cs="Times New Roman"/>
          <w:sz w:val="22"/>
          <w:szCs w:val="22"/>
        </w:rPr>
        <w:t xml:space="preserve">. </w:t>
      </w:r>
      <w:r w:rsidR="008C6AB5">
        <w:rPr>
          <w:rFonts w:ascii="Times New Roman" w:hAnsi="Times New Roman" w:cs="Times New Roman"/>
          <w:sz w:val="22"/>
          <w:szCs w:val="22"/>
        </w:rPr>
        <w:t>I</w:t>
      </w:r>
      <w:r w:rsidR="00027A45">
        <w:rPr>
          <w:rFonts w:ascii="Times New Roman" w:hAnsi="Times New Roman" w:cs="Times New Roman"/>
          <w:sz w:val="22"/>
          <w:szCs w:val="22"/>
        </w:rPr>
        <w:t>ncreasing age was an independent risk factor for mortality in both groups</w:t>
      </w:r>
      <w:r w:rsidR="008C6AB5">
        <w:rPr>
          <w:rFonts w:ascii="Times New Roman" w:hAnsi="Times New Roman" w:cs="Times New Roman"/>
          <w:sz w:val="22"/>
          <w:szCs w:val="22"/>
        </w:rPr>
        <w:t>, whilst d</w:t>
      </w:r>
      <w:r w:rsidR="00027A45">
        <w:rPr>
          <w:rFonts w:ascii="Times New Roman" w:hAnsi="Times New Roman" w:cs="Times New Roman"/>
          <w:sz w:val="22"/>
          <w:szCs w:val="22"/>
        </w:rPr>
        <w:t xml:space="preserve">iabetes was </w:t>
      </w:r>
      <w:r w:rsidR="003C5BF0">
        <w:rPr>
          <w:rFonts w:ascii="Times New Roman" w:hAnsi="Times New Roman" w:cs="Times New Roman"/>
          <w:sz w:val="22"/>
          <w:szCs w:val="22"/>
        </w:rPr>
        <w:t xml:space="preserve">associated with </w:t>
      </w:r>
      <w:r w:rsidR="008C6AB5">
        <w:rPr>
          <w:rFonts w:ascii="Times New Roman" w:hAnsi="Times New Roman" w:cs="Times New Roman"/>
          <w:sz w:val="22"/>
          <w:szCs w:val="22"/>
        </w:rPr>
        <w:t xml:space="preserve">increased </w:t>
      </w:r>
      <w:r w:rsidR="003C5BF0">
        <w:rPr>
          <w:rFonts w:ascii="Times New Roman" w:hAnsi="Times New Roman" w:cs="Times New Roman"/>
          <w:sz w:val="22"/>
          <w:szCs w:val="22"/>
        </w:rPr>
        <w:t>survival</w:t>
      </w:r>
      <w:r w:rsidR="00027A45">
        <w:rPr>
          <w:rFonts w:ascii="Times New Roman" w:hAnsi="Times New Roman" w:cs="Times New Roman"/>
          <w:sz w:val="22"/>
          <w:szCs w:val="22"/>
        </w:rPr>
        <w:t xml:space="preserve"> and</w:t>
      </w:r>
      <w:r w:rsidR="008C6AB5">
        <w:rPr>
          <w:rFonts w:ascii="Times New Roman" w:hAnsi="Times New Roman" w:cs="Times New Roman"/>
          <w:sz w:val="22"/>
          <w:szCs w:val="22"/>
        </w:rPr>
        <w:t xml:space="preserve"> a higher proportion of patients</w:t>
      </w:r>
      <w:r w:rsidR="00027A45">
        <w:rPr>
          <w:rFonts w:ascii="Times New Roman" w:hAnsi="Times New Roman" w:cs="Times New Roman"/>
          <w:sz w:val="22"/>
          <w:szCs w:val="22"/>
        </w:rPr>
        <w:t xml:space="preserve"> return</w:t>
      </w:r>
      <w:r w:rsidR="008C6AB5">
        <w:rPr>
          <w:rFonts w:ascii="Times New Roman" w:hAnsi="Times New Roman" w:cs="Times New Roman"/>
          <w:sz w:val="22"/>
          <w:szCs w:val="22"/>
        </w:rPr>
        <w:t>ing</w:t>
      </w:r>
      <w:r w:rsidR="00027A45">
        <w:rPr>
          <w:rFonts w:ascii="Times New Roman" w:hAnsi="Times New Roman" w:cs="Times New Roman"/>
          <w:sz w:val="22"/>
          <w:szCs w:val="22"/>
        </w:rPr>
        <w:t xml:space="preserve"> to baseline </w:t>
      </w:r>
      <w:proofErr w:type="spellStart"/>
      <w:r w:rsidR="00027A45">
        <w:rPr>
          <w:rFonts w:ascii="Times New Roman" w:hAnsi="Times New Roman" w:cs="Times New Roman"/>
          <w:sz w:val="22"/>
          <w:szCs w:val="22"/>
        </w:rPr>
        <w:t>eGFR</w:t>
      </w:r>
      <w:proofErr w:type="spellEnd"/>
      <w:r w:rsidR="00027A45">
        <w:rPr>
          <w:rFonts w:ascii="Times New Roman" w:hAnsi="Times New Roman" w:cs="Times New Roman"/>
          <w:sz w:val="22"/>
          <w:szCs w:val="22"/>
        </w:rPr>
        <w:t xml:space="preserve"> in both groups. </w:t>
      </w:r>
    </w:p>
    <w:p w14:paraId="58FF6C55" w14:textId="5C6C4344" w:rsidR="00946B59" w:rsidRDefault="00946B59" w:rsidP="00BA61E6">
      <w:pPr>
        <w:rPr>
          <w:rFonts w:ascii="Times New Roman" w:hAnsi="Times New Roman" w:cs="Times New Roman"/>
          <w:sz w:val="22"/>
          <w:szCs w:val="22"/>
        </w:rPr>
      </w:pPr>
    </w:p>
    <w:p w14:paraId="405D7DB7" w14:textId="24C4F462" w:rsidR="00084DCD" w:rsidRDefault="00CE2AA1" w:rsidP="00BA61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summary p</w:t>
      </w:r>
      <w:r w:rsidR="00084DCD">
        <w:rPr>
          <w:rFonts w:ascii="Times New Roman" w:hAnsi="Times New Roman" w:cs="Times New Roman"/>
          <w:sz w:val="22"/>
          <w:szCs w:val="22"/>
        </w:rPr>
        <w:t>ati</w:t>
      </w:r>
      <w:r w:rsidR="00F842F2">
        <w:rPr>
          <w:rFonts w:ascii="Times New Roman" w:hAnsi="Times New Roman" w:cs="Times New Roman"/>
          <w:sz w:val="22"/>
          <w:szCs w:val="22"/>
        </w:rPr>
        <w:t>ents</w:t>
      </w:r>
      <w:r w:rsidR="006A1863">
        <w:rPr>
          <w:rFonts w:ascii="Times New Roman" w:hAnsi="Times New Roman" w:cs="Times New Roman"/>
          <w:sz w:val="22"/>
          <w:szCs w:val="22"/>
        </w:rPr>
        <w:t xml:space="preserve"> with AKI who</w:t>
      </w:r>
      <w:r w:rsidR="00F842F2">
        <w:rPr>
          <w:rFonts w:ascii="Times New Roman" w:hAnsi="Times New Roman" w:cs="Times New Roman"/>
          <w:sz w:val="22"/>
          <w:szCs w:val="22"/>
        </w:rPr>
        <w:t xml:space="preserve"> re</w:t>
      </w:r>
      <w:r w:rsidR="006A1863">
        <w:rPr>
          <w:rFonts w:ascii="Times New Roman" w:hAnsi="Times New Roman" w:cs="Times New Roman"/>
          <w:sz w:val="22"/>
          <w:szCs w:val="22"/>
        </w:rPr>
        <w:t>ceive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iHD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exclusively outside of ICU</w:t>
      </w:r>
      <w:r w:rsidR="00084DCD">
        <w:rPr>
          <w:rFonts w:ascii="Times New Roman" w:hAnsi="Times New Roman" w:cs="Times New Roman"/>
          <w:sz w:val="22"/>
          <w:szCs w:val="22"/>
        </w:rPr>
        <w:t xml:space="preserve"> are an</w:t>
      </w:r>
      <w:r>
        <w:rPr>
          <w:rFonts w:ascii="Times New Roman" w:hAnsi="Times New Roman" w:cs="Times New Roman"/>
          <w:sz w:val="22"/>
          <w:szCs w:val="22"/>
        </w:rPr>
        <w:t xml:space="preserve"> entirely different population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of </w:t>
      </w:r>
      <w:r w:rsidR="00EB0479">
        <w:rPr>
          <w:rFonts w:ascii="Times New Roman" w:hAnsi="Times New Roman" w:cs="Times New Roman"/>
          <w:sz w:val="22"/>
          <w:szCs w:val="22"/>
        </w:rPr>
        <w:t xml:space="preserve"> from</w:t>
      </w:r>
      <w:proofErr w:type="gramEnd"/>
      <w:r w:rsidR="00EB0479">
        <w:rPr>
          <w:rFonts w:ascii="Times New Roman" w:hAnsi="Times New Roman" w:cs="Times New Roman"/>
          <w:sz w:val="22"/>
          <w:szCs w:val="22"/>
        </w:rPr>
        <w:t xml:space="preserve"> those</w:t>
      </w:r>
      <w:r w:rsidR="00084DCD">
        <w:rPr>
          <w:rFonts w:ascii="Times New Roman" w:hAnsi="Times New Roman" w:cs="Times New Roman"/>
          <w:sz w:val="22"/>
          <w:szCs w:val="22"/>
        </w:rPr>
        <w:t xml:space="preserve"> requiring </w:t>
      </w:r>
      <w:proofErr w:type="spellStart"/>
      <w:r>
        <w:rPr>
          <w:rFonts w:ascii="Times New Roman" w:hAnsi="Times New Roman" w:cs="Times New Roman"/>
          <w:sz w:val="22"/>
          <w:szCs w:val="22"/>
        </w:rPr>
        <w:t>iHD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following RRT on the ICU. </w:t>
      </w:r>
      <w:r w:rsidR="00084DCD">
        <w:rPr>
          <w:rFonts w:ascii="Times New Roman" w:hAnsi="Times New Roman" w:cs="Times New Roman"/>
          <w:sz w:val="22"/>
          <w:szCs w:val="22"/>
        </w:rPr>
        <w:t xml:space="preserve"> </w:t>
      </w:r>
      <w:r w:rsidR="006A1863">
        <w:rPr>
          <w:rFonts w:ascii="Times New Roman" w:hAnsi="Times New Roman" w:cs="Times New Roman"/>
          <w:sz w:val="22"/>
          <w:szCs w:val="22"/>
        </w:rPr>
        <w:t>Larger scale data is required</w:t>
      </w:r>
      <w:r w:rsidR="00084D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to allow a greater understanding of this population of patients. </w:t>
      </w:r>
    </w:p>
    <w:p w14:paraId="06D28E81" w14:textId="77777777" w:rsidR="00B90F69" w:rsidRDefault="00B90F69" w:rsidP="00BA61E6">
      <w:pPr>
        <w:rPr>
          <w:rFonts w:ascii="Times New Roman" w:hAnsi="Times New Roman" w:cs="Times New Roman"/>
          <w:sz w:val="22"/>
          <w:szCs w:val="22"/>
        </w:rPr>
      </w:pPr>
    </w:p>
    <w:p w14:paraId="3546BCCB" w14:textId="77777777" w:rsidR="00A5192C" w:rsidRDefault="00A5192C" w:rsidP="00BA61E6">
      <w:pPr>
        <w:rPr>
          <w:rFonts w:ascii="Times New Roman" w:hAnsi="Times New Roman" w:cs="Times New Roman"/>
          <w:sz w:val="22"/>
          <w:szCs w:val="22"/>
        </w:rPr>
      </w:pPr>
    </w:p>
    <w:p w14:paraId="1CDBEFA1" w14:textId="1A072305" w:rsidR="00D63B44" w:rsidRPr="00946B59" w:rsidRDefault="00BB7E85" w:rsidP="00BA61E6">
      <w:pPr>
        <w:rPr>
          <w:rFonts w:ascii="Times New Roman" w:hAnsi="Times New Roman" w:cs="Times New Roman"/>
          <w:i/>
          <w:sz w:val="22"/>
          <w:szCs w:val="22"/>
        </w:rPr>
      </w:pPr>
      <w:r w:rsidRPr="00A5192C">
        <w:rPr>
          <w:rFonts w:ascii="Times New Roman" w:hAnsi="Times New Roman"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AC7E23" wp14:editId="37E5A476">
                <wp:simplePos x="0" y="0"/>
                <wp:positionH relativeFrom="column">
                  <wp:posOffset>-29845</wp:posOffset>
                </wp:positionH>
                <wp:positionV relativeFrom="paragraph">
                  <wp:posOffset>1595120</wp:posOffset>
                </wp:positionV>
                <wp:extent cx="2543810" cy="4946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5526B" w14:textId="7FE4E066" w:rsidR="00756998" w:rsidRPr="00E71789" w:rsidRDefault="00756998">
                            <w:pPr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717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Baseline demographics and co-morbidities (Data are mean/proportions for continuous/categorical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AC7E2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-2.35pt;margin-top:125.6pt;width:200.3pt;height:38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" filled="f" stroked="f">
                <v:textbox style="mso-fit-shape-to-text:t">
                  <w:txbxContent>
                    <w:p w14:paraId="6EE5526B" w14:textId="7FE4E066" w:rsidR="00A5192C" w:rsidRPr="00E71789" w:rsidRDefault="00A5192C">
                      <w:pPr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E717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Baseline demographics and co-morbidities</w:t>
                      </w:r>
                      <w:r w:rsidR="00BB7E85" w:rsidRPr="00E717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="00BB7E85" w:rsidRPr="00E717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Da</w:t>
                      </w:r>
                      <w:r w:rsidR="00BB7E85" w:rsidRPr="00E717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ta are mean/proportions for </w:t>
                      </w:r>
                      <w:r w:rsidR="00E71789" w:rsidRPr="00E717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continuous/cat</w:t>
                      </w:r>
                      <w:r w:rsidR="00BB7E85" w:rsidRPr="00E717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egorical data</w:t>
                      </w:r>
                      <w:r w:rsidR="00BB7E85" w:rsidRPr="00E717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192C" w:rsidRPr="00A5192C">
        <w:rPr>
          <w:rFonts w:ascii="Times New Roman" w:hAnsi="Times New Roman"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6BFC6B" wp14:editId="1ED7474B">
                <wp:simplePos x="0" y="0"/>
                <wp:positionH relativeFrom="column">
                  <wp:posOffset>2777490</wp:posOffset>
                </wp:positionH>
                <wp:positionV relativeFrom="paragraph">
                  <wp:posOffset>1600835</wp:posOffset>
                </wp:positionV>
                <wp:extent cx="2552700" cy="342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2802" w14:textId="7F8D3FCD" w:rsidR="00756998" w:rsidRDefault="00756998" w:rsidP="00A5192C">
                            <w:r w:rsidRPr="00084DC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Outcome of AKI, Group A blue, Group B orange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84DC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(LC=Low Clearance clinic).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6BFC6B" id="_x0000_s1027" type="#_x0000_t202" style="position:absolute;margin-left:218.7pt;margin-top:126.05pt;width:201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" filled="f" stroked="f">
                <v:textbox>
                  <w:txbxContent>
                    <w:p w14:paraId="32852802" w14:textId="7F8D3FCD" w:rsidR="00A5192C" w:rsidRDefault="00A5192C" w:rsidP="00A5192C">
                      <w:r w:rsidRPr="00084DC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Outcome of AKI, Group A blue, Group B orange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084DC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(LC=Low Clearance clinic).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487" w:rsidRPr="00F308D9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26206B40" wp14:editId="00BB419E">
            <wp:simplePos x="0" y="0"/>
            <wp:positionH relativeFrom="column">
              <wp:posOffset>2729865</wp:posOffset>
            </wp:positionH>
            <wp:positionV relativeFrom="paragraph">
              <wp:posOffset>190500</wp:posOffset>
            </wp:positionV>
            <wp:extent cx="2552700" cy="1438275"/>
            <wp:effectExtent l="0" t="0" r="0" b="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B7B91FBE-A189-4233-8E32-C998AEED75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B59">
        <w:rPr>
          <w:rFonts w:ascii="Times New Roman" w:hAnsi="Times New Roman" w:cs="Times New Roman"/>
          <w:sz w:val="22"/>
          <w:szCs w:val="22"/>
        </w:rPr>
        <w:t xml:space="preserve"> </w:t>
      </w:r>
      <w:r w:rsidR="00D63B44" w:rsidRPr="00946B59">
        <w:rPr>
          <w:rFonts w:ascii="Times New Roman" w:hAnsi="Times New Roman" w:cs="Times New Roman"/>
          <w:b/>
          <w:sz w:val="22"/>
          <w:szCs w:val="22"/>
        </w:rPr>
        <w:t>Table 1</w:t>
      </w:r>
      <w:r w:rsidR="00946B59" w:rsidRPr="00946B5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="00946B59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084DCD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46B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4DA4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155487">
        <w:rPr>
          <w:rFonts w:ascii="Times New Roman" w:hAnsi="Times New Roman" w:cs="Times New Roman"/>
          <w:b/>
          <w:sz w:val="22"/>
          <w:szCs w:val="22"/>
        </w:rPr>
        <w:t>Figure 1</w:t>
      </w:r>
      <w:r w:rsidR="00946B59">
        <w:rPr>
          <w:rFonts w:ascii="Times New Roman" w:hAnsi="Times New Roman" w:cs="Times New Roman"/>
          <w:b/>
          <w:sz w:val="22"/>
          <w:szCs w:val="22"/>
        </w:rPr>
        <w:t xml:space="preserve">       </w:t>
      </w:r>
    </w:p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155487" w14:paraId="483F1B33" w14:textId="77777777" w:rsidTr="00155487">
        <w:tc>
          <w:tcPr>
            <w:tcW w:w="2263" w:type="dxa"/>
            <w:tcMar>
              <w:left w:w="57" w:type="dxa"/>
              <w:right w:w="57" w:type="dxa"/>
            </w:tcMar>
          </w:tcPr>
          <w:p w14:paraId="04645C5F" w14:textId="6D0A2653" w:rsidR="00155487" w:rsidRPr="00A507DA" w:rsidRDefault="00155487" w:rsidP="001554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Variable</w:t>
            </w:r>
            <w:r w:rsidRPr="00A507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9384E81" w14:textId="77777777" w:rsidR="00155487" w:rsidRPr="00A507DA" w:rsidRDefault="00155487" w:rsidP="001554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7DA">
              <w:rPr>
                <w:rFonts w:ascii="Times New Roman" w:hAnsi="Times New Roman" w:cs="Times New Roman"/>
                <w:b/>
                <w:sz w:val="22"/>
                <w:szCs w:val="22"/>
              </w:rPr>
              <w:t>Group A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02861DD" w14:textId="77777777" w:rsidR="00155487" w:rsidRPr="00A507DA" w:rsidRDefault="00155487" w:rsidP="001554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07DA">
              <w:rPr>
                <w:rFonts w:ascii="Times New Roman" w:hAnsi="Times New Roman" w:cs="Times New Roman"/>
                <w:b/>
                <w:sz w:val="22"/>
                <w:szCs w:val="22"/>
              </w:rPr>
              <w:t>Group B</w:t>
            </w:r>
          </w:p>
        </w:tc>
      </w:tr>
      <w:tr w:rsidR="00155487" w14:paraId="6F3C3F0A" w14:textId="77777777" w:rsidTr="00155487">
        <w:trPr>
          <w:trHeight w:val="271"/>
        </w:trPr>
        <w:tc>
          <w:tcPr>
            <w:tcW w:w="2263" w:type="dxa"/>
            <w:tcMar>
              <w:left w:w="57" w:type="dxa"/>
              <w:right w:w="57" w:type="dxa"/>
            </w:tcMar>
          </w:tcPr>
          <w:p w14:paraId="2387A88A" w14:textId="1D4CC681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Mean Age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65981D0" w14:textId="22DA9CD4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2D5CD92" w14:textId="3CF2EFE9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155487" w14:paraId="6B9A4195" w14:textId="77777777" w:rsidTr="00155487">
        <w:trPr>
          <w:trHeight w:val="271"/>
        </w:trPr>
        <w:tc>
          <w:tcPr>
            <w:tcW w:w="2263" w:type="dxa"/>
            <w:tcMar>
              <w:left w:w="57" w:type="dxa"/>
              <w:right w:w="57" w:type="dxa"/>
            </w:tcMar>
          </w:tcPr>
          <w:p w14:paraId="6E1B2C1E" w14:textId="6C62D75B" w:rsidR="00155487" w:rsidRDefault="00BB7E85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Gender Male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37862D3" w14:textId="7CF1162E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BB7E8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C741018" w14:textId="0731A9F1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BB7E8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155487" w14:paraId="48EB784D" w14:textId="77777777" w:rsidTr="00155487">
        <w:trPr>
          <w:trHeight w:val="271"/>
        </w:trPr>
        <w:tc>
          <w:tcPr>
            <w:tcW w:w="2263" w:type="dxa"/>
            <w:tcMar>
              <w:left w:w="57" w:type="dxa"/>
              <w:right w:w="57" w:type="dxa"/>
            </w:tcMar>
          </w:tcPr>
          <w:p w14:paraId="38034B0B" w14:textId="699D2720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eGFR pre-AKI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162C4D4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525DF11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&gt;90</w:t>
            </w:r>
          </w:p>
        </w:tc>
      </w:tr>
      <w:tr w:rsidR="00155487" w14:paraId="2DBD9671" w14:textId="77777777" w:rsidTr="00155487">
        <w:trPr>
          <w:trHeight w:val="285"/>
        </w:trPr>
        <w:tc>
          <w:tcPr>
            <w:tcW w:w="2263" w:type="dxa"/>
            <w:tcMar>
              <w:left w:w="57" w:type="dxa"/>
              <w:right w:w="57" w:type="dxa"/>
            </w:tcMar>
          </w:tcPr>
          <w:p w14:paraId="0C72F5D2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Diabetes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14D3695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A33BBEE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23%</w:t>
            </w:r>
          </w:p>
        </w:tc>
      </w:tr>
      <w:tr w:rsidR="00155487" w14:paraId="1E2DFB9F" w14:textId="77777777" w:rsidTr="00155487">
        <w:trPr>
          <w:trHeight w:val="271"/>
        </w:trPr>
        <w:tc>
          <w:tcPr>
            <w:tcW w:w="2263" w:type="dxa"/>
            <w:tcMar>
              <w:left w:w="57" w:type="dxa"/>
              <w:right w:w="57" w:type="dxa"/>
            </w:tcMar>
          </w:tcPr>
          <w:p w14:paraId="5D4145FD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Ischaemic heart disease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C26EC0E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C3A9333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</w:tr>
      <w:tr w:rsidR="00155487" w14:paraId="166F3F09" w14:textId="77777777" w:rsidTr="00155487">
        <w:trPr>
          <w:trHeight w:val="271"/>
        </w:trPr>
        <w:tc>
          <w:tcPr>
            <w:tcW w:w="2263" w:type="dxa"/>
            <w:tcMar>
              <w:left w:w="57" w:type="dxa"/>
              <w:right w:w="57" w:type="dxa"/>
            </w:tcMar>
          </w:tcPr>
          <w:p w14:paraId="651AD269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Hypertension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106E334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04732A9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43%</w:t>
            </w:r>
          </w:p>
        </w:tc>
      </w:tr>
      <w:tr w:rsidR="00155487" w14:paraId="05E3EE80" w14:textId="77777777" w:rsidTr="00155487">
        <w:trPr>
          <w:trHeight w:val="298"/>
        </w:trPr>
        <w:tc>
          <w:tcPr>
            <w:tcW w:w="2263" w:type="dxa"/>
            <w:tcMar>
              <w:left w:w="57" w:type="dxa"/>
              <w:right w:w="57" w:type="dxa"/>
            </w:tcMar>
          </w:tcPr>
          <w:p w14:paraId="44D1F43E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Heart failure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593BC4D" w14:textId="6DF8FEAF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AB9E47" w14:textId="77777777" w:rsidR="00155487" w:rsidRDefault="00155487" w:rsidP="00155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11%</w:t>
            </w:r>
          </w:p>
        </w:tc>
      </w:tr>
    </w:tbl>
    <w:p w14:paraId="1340AB49" w14:textId="57A4F4A1" w:rsidR="0094557C" w:rsidRPr="00A5192C" w:rsidRDefault="0094557C" w:rsidP="00A5192C">
      <w:pPr>
        <w:rPr>
          <w:rFonts w:ascii="Times New Roman" w:hAnsi="Times New Roman" w:cs="Times New Roman"/>
          <w:i/>
          <w:sz w:val="18"/>
          <w:szCs w:val="18"/>
        </w:rPr>
      </w:pPr>
    </w:p>
    <w:sectPr w:rsidR="0094557C" w:rsidRPr="00A5192C" w:rsidSect="00BD7C64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42E74D" w15:done="0"/>
  <w15:commentEx w15:paraId="300CDE4A" w15:done="0"/>
  <w15:commentEx w15:paraId="227E1D0F" w15:done="0"/>
  <w15:commentEx w15:paraId="1E3A2116" w15:done="0"/>
  <w15:commentEx w15:paraId="04018245" w15:done="0"/>
  <w15:commentEx w15:paraId="69BBDC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327"/>
    <w:multiLevelType w:val="hybridMultilevel"/>
    <w:tmpl w:val="D9A2C06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577F7341"/>
    <w:multiLevelType w:val="hybridMultilevel"/>
    <w:tmpl w:val="9A16E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6474BB"/>
    <w:multiLevelType w:val="hybridMultilevel"/>
    <w:tmpl w:val="F9F00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E6"/>
    <w:rsid w:val="000113E4"/>
    <w:rsid w:val="00012F83"/>
    <w:rsid w:val="00027A45"/>
    <w:rsid w:val="000611B0"/>
    <w:rsid w:val="00084DCD"/>
    <w:rsid w:val="00085E86"/>
    <w:rsid w:val="000B2617"/>
    <w:rsid w:val="000B5FAE"/>
    <w:rsid w:val="000C5D20"/>
    <w:rsid w:val="000E580E"/>
    <w:rsid w:val="000F7AA0"/>
    <w:rsid w:val="00155487"/>
    <w:rsid w:val="0019635D"/>
    <w:rsid w:val="001C0AC1"/>
    <w:rsid w:val="001C4216"/>
    <w:rsid w:val="001D294B"/>
    <w:rsid w:val="00272F85"/>
    <w:rsid w:val="00282737"/>
    <w:rsid w:val="00287428"/>
    <w:rsid w:val="00296CDF"/>
    <w:rsid w:val="002C33F1"/>
    <w:rsid w:val="0031308D"/>
    <w:rsid w:val="00314C32"/>
    <w:rsid w:val="003338F0"/>
    <w:rsid w:val="0035141F"/>
    <w:rsid w:val="00392F2A"/>
    <w:rsid w:val="0039561B"/>
    <w:rsid w:val="003C5BF0"/>
    <w:rsid w:val="003D7065"/>
    <w:rsid w:val="003D7CAA"/>
    <w:rsid w:val="003E63FE"/>
    <w:rsid w:val="004333F1"/>
    <w:rsid w:val="00443AC4"/>
    <w:rsid w:val="00465EF5"/>
    <w:rsid w:val="00494DA4"/>
    <w:rsid w:val="004A76B4"/>
    <w:rsid w:val="004B4E3F"/>
    <w:rsid w:val="00561451"/>
    <w:rsid w:val="0059024B"/>
    <w:rsid w:val="005C6F30"/>
    <w:rsid w:val="005D071E"/>
    <w:rsid w:val="0061560B"/>
    <w:rsid w:val="00633FAA"/>
    <w:rsid w:val="00685728"/>
    <w:rsid w:val="006919A3"/>
    <w:rsid w:val="00696EC2"/>
    <w:rsid w:val="006A1863"/>
    <w:rsid w:val="006B74D5"/>
    <w:rsid w:val="006E1A3D"/>
    <w:rsid w:val="006F3498"/>
    <w:rsid w:val="0070336D"/>
    <w:rsid w:val="00756998"/>
    <w:rsid w:val="0076483A"/>
    <w:rsid w:val="00814D7B"/>
    <w:rsid w:val="00876287"/>
    <w:rsid w:val="008C6AB5"/>
    <w:rsid w:val="00914771"/>
    <w:rsid w:val="00925E5F"/>
    <w:rsid w:val="00927198"/>
    <w:rsid w:val="009275FF"/>
    <w:rsid w:val="009369D8"/>
    <w:rsid w:val="009445CA"/>
    <w:rsid w:val="0094557C"/>
    <w:rsid w:val="00946B59"/>
    <w:rsid w:val="00983298"/>
    <w:rsid w:val="0099323B"/>
    <w:rsid w:val="009A53DA"/>
    <w:rsid w:val="009B5FE4"/>
    <w:rsid w:val="00A25EC7"/>
    <w:rsid w:val="00A507DA"/>
    <w:rsid w:val="00A5192C"/>
    <w:rsid w:val="00A725C7"/>
    <w:rsid w:val="00A939FB"/>
    <w:rsid w:val="00AA4130"/>
    <w:rsid w:val="00AB3691"/>
    <w:rsid w:val="00AB7DE9"/>
    <w:rsid w:val="00AC3786"/>
    <w:rsid w:val="00AE552E"/>
    <w:rsid w:val="00B4546C"/>
    <w:rsid w:val="00B90F69"/>
    <w:rsid w:val="00BA61E6"/>
    <w:rsid w:val="00BB7E85"/>
    <w:rsid w:val="00BC04EB"/>
    <w:rsid w:val="00BC087F"/>
    <w:rsid w:val="00BD7C64"/>
    <w:rsid w:val="00BE465B"/>
    <w:rsid w:val="00BF1263"/>
    <w:rsid w:val="00BF2897"/>
    <w:rsid w:val="00BF6A5D"/>
    <w:rsid w:val="00C0012A"/>
    <w:rsid w:val="00CB3FFB"/>
    <w:rsid w:val="00CC0100"/>
    <w:rsid w:val="00CC40E5"/>
    <w:rsid w:val="00CE2AA1"/>
    <w:rsid w:val="00CE3FEA"/>
    <w:rsid w:val="00D638C0"/>
    <w:rsid w:val="00D63B44"/>
    <w:rsid w:val="00D9258B"/>
    <w:rsid w:val="00D95A7F"/>
    <w:rsid w:val="00DE25FE"/>
    <w:rsid w:val="00DF4A82"/>
    <w:rsid w:val="00E265C6"/>
    <w:rsid w:val="00E53C4C"/>
    <w:rsid w:val="00E71789"/>
    <w:rsid w:val="00EB0479"/>
    <w:rsid w:val="00EC00B2"/>
    <w:rsid w:val="00EC1B89"/>
    <w:rsid w:val="00EC36CB"/>
    <w:rsid w:val="00ED2EE2"/>
    <w:rsid w:val="00EE329C"/>
    <w:rsid w:val="00EF5ADB"/>
    <w:rsid w:val="00F308D9"/>
    <w:rsid w:val="00F54CE7"/>
    <w:rsid w:val="00F7228D"/>
    <w:rsid w:val="00F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E68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E6"/>
    <w:pPr>
      <w:ind w:left="720"/>
      <w:contextualSpacing/>
    </w:pPr>
  </w:style>
  <w:style w:type="table" w:styleId="TableGrid">
    <w:name w:val="Table Grid"/>
    <w:basedOn w:val="TableNormal"/>
    <w:uiPriority w:val="39"/>
    <w:rsid w:val="00876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08D9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2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E6"/>
    <w:pPr>
      <w:ind w:left="720"/>
      <w:contextualSpacing/>
    </w:pPr>
  </w:style>
  <w:style w:type="table" w:styleId="TableGrid">
    <w:name w:val="Table Grid"/>
    <w:basedOn w:val="TableNormal"/>
    <w:uiPriority w:val="39"/>
    <w:rsid w:val="00876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08D9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2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hart" Target="charts/chart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rd\Documents\Service%20Evaluation%20Diabetic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893718863654"/>
          <c:y val="0.0350399979906818"/>
          <c:w val="0.848740808225418"/>
          <c:h val="0.8488626003089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'ICU for STATS (simple)'!$S$114:$S$118</c:f>
              <c:strCache>
                <c:ptCount val="5"/>
                <c:pt idx="0">
                  <c:v>Discharge</c:v>
                </c:pt>
                <c:pt idx="1">
                  <c:v>Clinic</c:v>
                </c:pt>
                <c:pt idx="2">
                  <c:v>LC</c:v>
                </c:pt>
                <c:pt idx="3">
                  <c:v>Dialysis</c:v>
                </c:pt>
                <c:pt idx="4">
                  <c:v>Death</c:v>
                </c:pt>
              </c:strCache>
            </c:strRef>
          </c:cat>
          <c:val>
            <c:numRef>
              <c:f>'ICU for STATS (simple)'!$U$120:$U$124</c:f>
              <c:numCache>
                <c:formatCode>0%</c:formatCode>
                <c:ptCount val="5"/>
                <c:pt idx="0">
                  <c:v>0.107142857142857</c:v>
                </c:pt>
                <c:pt idx="1">
                  <c:v>0.196428571428571</c:v>
                </c:pt>
                <c:pt idx="2">
                  <c:v>0.133928571428571</c:v>
                </c:pt>
                <c:pt idx="3">
                  <c:v>0.196428571428571</c:v>
                </c:pt>
                <c:pt idx="4">
                  <c:v>0.303571428571429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4E-4ECE-BF55-ABB3703A1B2A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'ICU for STATS (simple)'!$S$114:$S$118</c:f>
              <c:strCache>
                <c:ptCount val="5"/>
                <c:pt idx="0">
                  <c:v>Discharge</c:v>
                </c:pt>
                <c:pt idx="1">
                  <c:v>Clinic</c:v>
                </c:pt>
                <c:pt idx="2">
                  <c:v>LC</c:v>
                </c:pt>
                <c:pt idx="3">
                  <c:v>Dialysis</c:v>
                </c:pt>
                <c:pt idx="4">
                  <c:v>Death</c:v>
                </c:pt>
              </c:strCache>
            </c:strRef>
          </c:cat>
          <c:val>
            <c:numRef>
              <c:f>'ICU for STATS (simple)'!$V$120:$V$124</c:f>
              <c:numCache>
                <c:formatCode>0%</c:formatCode>
                <c:ptCount val="5"/>
                <c:pt idx="0">
                  <c:v>0.30952380952381</c:v>
                </c:pt>
                <c:pt idx="1">
                  <c:v>0.166666666666667</c:v>
                </c:pt>
                <c:pt idx="2">
                  <c:v>0.0595238095238095</c:v>
                </c:pt>
                <c:pt idx="3">
                  <c:v>0.0952380952380952</c:v>
                </c:pt>
                <c:pt idx="4">
                  <c:v>0.285714285714286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4E-4ECE-BF55-ABB3703A1B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093452312"/>
        <c:axId val="2093492520"/>
      </c:barChart>
      <c:catAx>
        <c:axId val="2093452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93492520"/>
        <c:crosses val="autoZero"/>
        <c:auto val="1"/>
        <c:lblAlgn val="ctr"/>
        <c:lblOffset val="100"/>
        <c:noMultiLvlLbl val="0"/>
      </c:catAx>
      <c:valAx>
        <c:axId val="2093492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934523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135B7C-A612-CA4F-A5E2-49273673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420</Words>
  <Characters>2395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Andrew Lewington</cp:lastModifiedBy>
  <cp:revision>18</cp:revision>
  <dcterms:created xsi:type="dcterms:W3CDTF">2018-04-30T09:13:00Z</dcterms:created>
  <dcterms:modified xsi:type="dcterms:W3CDTF">2018-04-30T12:09:00Z</dcterms:modified>
</cp:coreProperties>
</file>