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21E45" w14:textId="77777777" w:rsidR="005E52A3" w:rsidRDefault="00707B76">
      <w:r>
        <w:t>Introduction and Aims</w:t>
      </w:r>
    </w:p>
    <w:p w14:paraId="29A00C1E" w14:textId="3A015378" w:rsidR="00707B76" w:rsidRDefault="00707B76">
      <w:r>
        <w:t>Acute Kidney Injury</w:t>
      </w:r>
      <w:r w:rsidR="00A965DE">
        <w:t xml:space="preserve"> (AKI)</w:t>
      </w:r>
      <w:r>
        <w:t xml:space="preserve"> is associated with poor outcomes</w:t>
      </w:r>
      <w:r>
        <w:fldChar w:fldCharType="begin" w:fldLock="1"/>
      </w:r>
      <w:r w:rsidR="00532CED">
        <w:instrText>ADDIN CSL_CITATION { "citationItems" : [ { "id" : "ITEM-1", "itemData" : { "DOI" : "10.1159/000460266", "ISSN" : "1660-8151", "author" : [ { "dropping-particle" : "", "family" : "Emmett", "given" : "Lauren", "non-dropping-particle" : "", "parse-names" : false, "suffix" : "" }, { "dropping-particle" : "", "family" : "Tollitt", "given" : "James", "non-dropping-particle" : "", "parse-names" : false, "suffix" : "" }, { "dropping-particle" : "", "family" : "McCorkindale", "given" : "Sheila", "non-dropping-particle" : "", "parse-names" : false, "suffix" : "" }, { "dropping-particle" : "", "family" : "Sinha", "given" : "Smeeta", "non-dropping-particle" : "", "parse-names" : false, "suffix" : "" }, { "dropping-particle" : "", "family" : "Poulikakos", "given" : "Dimitrios", "non-dropping-particle" : "", "parse-names" : false, "suffix" : "" } ], "container-title" : "Nephron", "id" : "ITEM-1", "issued" : { "date-parts" : [ [ "2017", "3", "25" ] ] }, "title" : "The Evidence of Acute Kidney Injury in the Community and for Primary Care Interventions", "type" : "article-journal" }, "uris" : [ "http://www.mendeley.com/documents/?uuid=f2eed27e-1efe-49af-bc2b-e2d76bae5dba" ] } ], "mendeley" : { "formattedCitation" : "&lt;sup&gt;1&lt;/sup&gt;", "plainTextFormattedCitation" : "1", "previouslyFormattedCitation" : "&lt;sup&gt;1&lt;/sup&gt;" }, "properties" : {  }, "schema" : "https://github.com/citation-style-language/schema/raw/master/csl-citation.json" }</w:instrText>
      </w:r>
      <w:r>
        <w:fldChar w:fldCharType="separate"/>
      </w:r>
      <w:r w:rsidRPr="00707B76">
        <w:rPr>
          <w:noProof/>
          <w:vertAlign w:val="superscript"/>
        </w:rPr>
        <w:t>1</w:t>
      </w:r>
      <w:r>
        <w:fldChar w:fldCharType="end"/>
      </w:r>
      <w:r w:rsidR="003975F5">
        <w:t xml:space="preserve"> and two third of cases arise in the community. </w:t>
      </w:r>
      <w:r w:rsidR="006F3811">
        <w:t xml:space="preserve"> </w:t>
      </w:r>
      <w:r w:rsidR="003975F5">
        <w:t>C</w:t>
      </w:r>
      <w:r w:rsidR="00337220">
        <w:t>urrent knowledge regarding the causes of community acquired AKI and the relative contribution of infection/sepsis is limited because most of the available studies use information collected on discharge. The aim of this study was to describe characteristics of infection associated community acquired AKI</w:t>
      </w:r>
      <w:r w:rsidR="003975F5">
        <w:t xml:space="preserve"> in unselected patients and in care home residents.</w:t>
      </w:r>
    </w:p>
    <w:p w14:paraId="7BFDA693" w14:textId="77777777" w:rsidR="00707B76" w:rsidRDefault="00707B76"/>
    <w:p w14:paraId="4CEC40C6" w14:textId="77777777" w:rsidR="00707B76" w:rsidRDefault="00707B76">
      <w:r>
        <w:t>Methods</w:t>
      </w:r>
    </w:p>
    <w:p w14:paraId="5B8C9FE3" w14:textId="179EB4BC" w:rsidR="00532CED" w:rsidRDefault="00A965DE">
      <w:r>
        <w:t xml:space="preserve">All non-elective </w:t>
      </w:r>
      <w:r w:rsidR="00532CED">
        <w:t xml:space="preserve">hospital attendance </w:t>
      </w:r>
      <w:r w:rsidR="00C9163C">
        <w:t>data were gathered from hospital records between 1/1/15 and 31/5/17</w:t>
      </w:r>
      <w:r w:rsidR="002F0036">
        <w:t xml:space="preserve"> from </w:t>
      </w:r>
      <w:r w:rsidR="003975F5">
        <w:t xml:space="preserve">adult </w:t>
      </w:r>
      <w:r w:rsidR="002F0036">
        <w:t>patients with a local postcode</w:t>
      </w:r>
      <w:r w:rsidR="00C9163C">
        <w:t xml:space="preserve">. </w:t>
      </w:r>
      <w:r w:rsidR="00CC02D8">
        <w:t>E</w:t>
      </w:r>
      <w:r w:rsidR="00C9163C">
        <w:t>lectronic patient record</w:t>
      </w:r>
      <w:r w:rsidR="00CC02D8">
        <w:t>s</w:t>
      </w:r>
      <w:r w:rsidR="00C9163C">
        <w:t xml:space="preserve"> w</w:t>
      </w:r>
      <w:r w:rsidR="00CC02D8">
        <w:t>ere</w:t>
      </w:r>
      <w:r w:rsidR="00C9163C">
        <w:t xml:space="preserve"> used to identify patients prescribed antibiotics within 48hrs of a</w:t>
      </w:r>
      <w:r w:rsidR="00532CED">
        <w:t>ttendance</w:t>
      </w:r>
      <w:r w:rsidR="00C9163C">
        <w:t xml:space="preserve"> (community acquired infectio</w:t>
      </w:r>
      <w:r w:rsidR="00CE4393">
        <w:t>n</w:t>
      </w:r>
      <w:r w:rsidR="005A55DD">
        <w:t>, CAI</w:t>
      </w:r>
      <w:r w:rsidR="00C9163C">
        <w:t xml:space="preserve">) and patients who suffered from </w:t>
      </w:r>
      <w:r>
        <w:t>AKI within 48hrs of a</w:t>
      </w:r>
      <w:r w:rsidR="00532CED">
        <w:t>ttendance</w:t>
      </w:r>
      <w:r>
        <w:t xml:space="preserve"> (community acquired AKI</w:t>
      </w:r>
      <w:r w:rsidR="00CE4393">
        <w:t>, CA</w:t>
      </w:r>
      <w:r w:rsidR="00377627">
        <w:t>-A</w:t>
      </w:r>
      <w:r w:rsidR="00CE4393">
        <w:t>KI</w:t>
      </w:r>
      <w:r>
        <w:t xml:space="preserve">). AKI was defined using the NHS </w:t>
      </w:r>
      <w:r w:rsidR="00532CED">
        <w:t xml:space="preserve">AKI </w:t>
      </w:r>
      <w:r>
        <w:t>algorithm</w:t>
      </w:r>
      <w:r w:rsidR="00532CED">
        <w:fldChar w:fldCharType="begin" w:fldLock="1"/>
      </w:r>
      <w:r w:rsidR="00532CED">
        <w:instrText>ADDIN CSL_CITATION { "citationItems" : [ { "id" : "ITEM-1", "itemData" : { "DOI" : "10.1159/000439146", "ISSN" : "1660-8151", "PMID" : "26351847", "abstract" : "Whilst varying standards of care for patients with acute kidney injury (AKI) continue to contribute to poor outcomes, a strong focus on strategies to drive quality improvement is paramount. To this end, a national Patient Safety Alert was issued in June 2014 to all healthcare providers in England entitled 'Standardising the Early Identification of Acute Kidney Injury'. The aim was to embed an automated AKI detection system in the biochemistry laboratories of all acute hospitals. In addition to the direct clinical benefits that may come from earlier and more systematic recognition of AKI, it has also helped position AKI as a patient safety issue and will feed a national AKI registry, the latter a potent tool for future measurement and improvement initiatives.", "author" : [ { "dropping-particle" : "", "family" : "Selby", "given" : "Nicholas M", "non-dropping-particle" : "", "parse-names" : false, "suffix" : "" }, { "dropping-particle" : "", "family" : "Hill", "given" : "Robert", "non-dropping-particle" : "", "parse-names" : false, "suffix" : "" }, { "dropping-particle" : "", "family" : "Fluck", "given" : "Richard J", "non-dropping-particle" : "", "parse-names" : false, "suffix" : "" } ], "container-title" : "Nephron", "id" : "ITEM-1", "issue" : "2", "issued" : { "date-parts" : [ [ "2015", "9", "10" ] ] }, "language" : "eng", "page" : "113-117", "publisher-place" : "Switzerland", "title" : "Standardizing the Early Identification of Acute Kidney Injury: The NHS England National Patient Safety Alert", "type" : "article-journal", "volume" : "131" }, "uris" : [ "http://www.mendeley.com/documents/?uuid=7576da36-3b64-473d-b91e-b2e8c65fd5bb" ] } ], "mendeley" : { "formattedCitation" : "&lt;sup&gt;2&lt;/sup&gt;", "plainTextFormattedCitation" : "2", "previouslyFormattedCitation" : "&lt;sup&gt;2&lt;/sup&gt;" }, "properties" : {  }, "schema" : "https://github.com/citation-style-language/schema/raw/master/csl-citation.json" }</w:instrText>
      </w:r>
      <w:r w:rsidR="00532CED">
        <w:fldChar w:fldCharType="separate"/>
      </w:r>
      <w:r w:rsidR="00532CED" w:rsidRPr="00532CED">
        <w:rPr>
          <w:noProof/>
          <w:vertAlign w:val="superscript"/>
        </w:rPr>
        <w:t>2</w:t>
      </w:r>
      <w:r w:rsidR="00532CED">
        <w:fldChar w:fldCharType="end"/>
      </w:r>
      <w:r w:rsidR="00532CED">
        <w:t xml:space="preserve">. Dialysis patients were excluded. </w:t>
      </w:r>
      <w:r w:rsidR="002F0036">
        <w:t>Care home patients were identified using GP codes because a</w:t>
      </w:r>
      <w:r w:rsidR="00532CED">
        <w:t>ll local patients residing in</w:t>
      </w:r>
      <w:r w:rsidR="00CC02D8">
        <w:t xml:space="preserve"> </w:t>
      </w:r>
      <w:r w:rsidR="00532CED">
        <w:t>care home</w:t>
      </w:r>
      <w:r w:rsidR="00CC02D8">
        <w:t>s</w:t>
      </w:r>
      <w:r w:rsidR="00532CED">
        <w:t xml:space="preserve"> are managed by one hospital managed GP service. Incidence and outcomes </w:t>
      </w:r>
      <w:r w:rsidR="006432C8">
        <w:t>for</w:t>
      </w:r>
      <w:r w:rsidR="00532CED">
        <w:t xml:space="preserve"> patients with C</w:t>
      </w:r>
      <w:r w:rsidR="00377627">
        <w:t>A-</w:t>
      </w:r>
      <w:r w:rsidR="00532CED">
        <w:t xml:space="preserve">AKI </w:t>
      </w:r>
      <w:r w:rsidR="006432C8">
        <w:t xml:space="preserve">and </w:t>
      </w:r>
      <w:r w:rsidR="00CC02D8">
        <w:t>CAI</w:t>
      </w:r>
      <w:r w:rsidR="006432C8">
        <w:t xml:space="preserve"> was compared with the rest of the cohort</w:t>
      </w:r>
      <w:r w:rsidR="00532CED">
        <w:t xml:space="preserve">. </w:t>
      </w:r>
      <w:r w:rsidR="005A55DD">
        <w:t>The same analysis was performed on patients from care homes</w:t>
      </w:r>
      <w:r w:rsidR="00532CED">
        <w:t xml:space="preserve">. </w:t>
      </w:r>
      <w:r w:rsidR="00754E9A">
        <w:t>Analysis was performed using SPSS V23.0.</w:t>
      </w:r>
      <w:r w:rsidR="00CC02D8">
        <w:t xml:space="preserve"> Chi Square test was used for categorical data, Mann Whitney U test was used for continuous </w:t>
      </w:r>
      <w:r w:rsidR="008F04AE">
        <w:t>non-parametric</w:t>
      </w:r>
      <w:r w:rsidR="00CC02D8">
        <w:t xml:space="preserve"> data.</w:t>
      </w:r>
    </w:p>
    <w:p w14:paraId="5BC814D7" w14:textId="77777777" w:rsidR="00707B76" w:rsidRDefault="00707B76"/>
    <w:p w14:paraId="25D45127" w14:textId="4601F04B" w:rsidR="00707B76" w:rsidRDefault="00707B76">
      <w:r>
        <w:t>Results</w:t>
      </w:r>
    </w:p>
    <w:p w14:paraId="536C50E7" w14:textId="6BCF2043" w:rsidR="002F0036" w:rsidRDefault="006F3811">
      <w:r>
        <w:t>C</w:t>
      </w:r>
      <w:r w:rsidR="00377627">
        <w:t>A-</w:t>
      </w:r>
      <w:r>
        <w:t xml:space="preserve">AKI was diagnosed in 5.7% of 61471 hospital attendances. </w:t>
      </w:r>
      <w:r w:rsidR="0068797B">
        <w:t>Compared to all attendances p</w:t>
      </w:r>
      <w:r w:rsidR="005A55DD">
        <w:t>atients with C</w:t>
      </w:r>
      <w:r w:rsidR="00377627">
        <w:t>A-</w:t>
      </w:r>
      <w:r w:rsidR="005A55DD">
        <w:t xml:space="preserve">AKI and CAI were older (71.5 v 53.7 </w:t>
      </w:r>
      <w:r w:rsidR="00D97CCC">
        <w:t>p</w:t>
      </w:r>
      <w:r w:rsidR="005A55DD">
        <w:t xml:space="preserve">=&lt;0.001), had longer hospital stay (12 v 5 days </w:t>
      </w:r>
      <w:r w:rsidR="00D97CCC">
        <w:t>p</w:t>
      </w:r>
      <w:r w:rsidR="005A55DD">
        <w:t>=&lt;0.001), were more likely to need ICU admission (22.1% v 3.</w:t>
      </w:r>
      <w:r w:rsidR="003D2993">
        <w:t>0</w:t>
      </w:r>
      <w:r w:rsidR="005A55DD">
        <w:t>% p=&lt;0.001) and had higher 30</w:t>
      </w:r>
      <w:r w:rsidR="00C80AA5">
        <w:t>-</w:t>
      </w:r>
      <w:r w:rsidR="005A55DD">
        <w:t xml:space="preserve">day </w:t>
      </w:r>
      <w:r w:rsidR="00D97CCC">
        <w:t xml:space="preserve">all-cause </w:t>
      </w:r>
      <w:r w:rsidR="005A55DD">
        <w:t xml:space="preserve">mortality (28.4% v 4.7% </w:t>
      </w:r>
      <w:r w:rsidR="00D97CCC">
        <w:t>p</w:t>
      </w:r>
      <w:r w:rsidR="005A55DD">
        <w:t>=&lt;0.001)</w:t>
      </w:r>
      <w:r w:rsidR="000A07CF">
        <w:t xml:space="preserve"> (Table 1)</w:t>
      </w:r>
      <w:r w:rsidR="005A55DD">
        <w:t>. The 30</w:t>
      </w:r>
      <w:r w:rsidR="00C80AA5">
        <w:t>-</w:t>
      </w:r>
      <w:r w:rsidR="005A55DD">
        <w:t xml:space="preserve">day </w:t>
      </w:r>
      <w:r w:rsidR="00D97CCC">
        <w:t xml:space="preserve">all-cause </w:t>
      </w:r>
      <w:r w:rsidR="005A55DD">
        <w:t>mortality for patients with CA</w:t>
      </w:r>
      <w:r w:rsidR="00377627">
        <w:t>-A</w:t>
      </w:r>
      <w:r w:rsidR="005A55DD">
        <w:t xml:space="preserve">KI from any </w:t>
      </w:r>
      <w:r w:rsidR="00D97CCC">
        <w:t>aetiology</w:t>
      </w:r>
      <w:r w:rsidR="005A55DD">
        <w:t xml:space="preserve"> was 21.9%</w:t>
      </w:r>
      <w:r w:rsidR="001A2F5A">
        <w:t xml:space="preserve"> in whole population </w:t>
      </w:r>
      <w:r w:rsidR="00D97CCC">
        <w:t xml:space="preserve">and </w:t>
      </w:r>
      <w:r w:rsidR="001A2F5A">
        <w:t>39.8% in care home population</w:t>
      </w:r>
      <w:r w:rsidR="005A55DD">
        <w:t xml:space="preserve">. </w:t>
      </w:r>
      <w:r w:rsidR="00377627">
        <w:t xml:space="preserve">Mortality rate for CAI was 11.6%, CA-AKI 21.9% and CA-AKI in combination with CAI 28.4%. </w:t>
      </w:r>
      <w:r w:rsidR="005A55DD">
        <w:t>CA</w:t>
      </w:r>
      <w:r w:rsidR="00377627">
        <w:t>-A</w:t>
      </w:r>
      <w:r w:rsidR="005A55DD">
        <w:t>K</w:t>
      </w:r>
      <w:r w:rsidR="00C80AA5">
        <w:t xml:space="preserve">I in association with </w:t>
      </w:r>
      <w:r w:rsidR="005A55DD">
        <w:t>CAI in patients from care homes (N=2580)</w:t>
      </w:r>
      <w:r w:rsidR="00C80AA5">
        <w:t xml:space="preserve"> highlighted a 30-day </w:t>
      </w:r>
      <w:r w:rsidR="00D97CCC">
        <w:t xml:space="preserve">all-cause </w:t>
      </w:r>
      <w:r w:rsidR="00C80AA5">
        <w:t>mortality of 43.4% v 17.9%</w:t>
      </w:r>
      <w:r w:rsidR="00D97CCC">
        <w:t xml:space="preserve"> for care home patients without CAI and CA</w:t>
      </w:r>
      <w:r w:rsidR="00377627">
        <w:t>-A</w:t>
      </w:r>
      <w:r w:rsidR="00D97CCC">
        <w:t>KI</w:t>
      </w:r>
      <w:r w:rsidR="00C80AA5">
        <w:t xml:space="preserve"> </w:t>
      </w:r>
      <w:r w:rsidR="00D97CCC">
        <w:t>(</w:t>
      </w:r>
      <w:r w:rsidR="00C80AA5">
        <w:t>p=&lt;0.001</w:t>
      </w:r>
      <w:r w:rsidR="00D97CCC">
        <w:t>)</w:t>
      </w:r>
      <w:r w:rsidR="000A07CF">
        <w:t xml:space="preserve"> (Table 2)</w:t>
      </w:r>
    </w:p>
    <w:p w14:paraId="14390D71" w14:textId="77777777" w:rsidR="00CC02D8" w:rsidRDefault="00CC02D8"/>
    <w:p w14:paraId="14F338E2" w14:textId="28901AC5" w:rsidR="00707B76" w:rsidRDefault="00707B76">
      <w:r>
        <w:t>Conclusions</w:t>
      </w:r>
    </w:p>
    <w:p w14:paraId="1E2C1150" w14:textId="04159604" w:rsidR="003975F5" w:rsidRDefault="003975F5">
      <w:r>
        <w:t>Infection associated community acquired AKI identifies a group of patients with very high morbidity and mortality</w:t>
      </w:r>
      <w:r w:rsidR="00DE4643">
        <w:t xml:space="preserve"> particularly in care home residents. Interventions, such as point of care creatinine testing, that can identify the presence of renal impairment at the time of assessment of infection in the community</w:t>
      </w:r>
      <w:r w:rsidR="003D2993">
        <w:t>,</w:t>
      </w:r>
      <w:bookmarkStart w:id="0" w:name="_GoBack"/>
      <w:bookmarkEnd w:id="0"/>
      <w:r w:rsidR="00DE4643">
        <w:t xml:space="preserve"> may enable earlier management of sepsis and AKI and improve outcomes. </w:t>
      </w:r>
    </w:p>
    <w:p w14:paraId="3B5FCA23" w14:textId="3EDB6AC1" w:rsidR="00754E9A" w:rsidRDefault="00CC02D8">
      <w:r>
        <w:t xml:space="preserve">. </w:t>
      </w:r>
    </w:p>
    <w:p w14:paraId="14F88409" w14:textId="77777777" w:rsidR="00707B76" w:rsidRDefault="00707B76">
      <w:r>
        <w:lastRenderedPageBreak/>
        <w:t>Refs</w:t>
      </w:r>
    </w:p>
    <w:p w14:paraId="7533E169" w14:textId="3833E91A" w:rsidR="006F3811" w:rsidRPr="006F3811" w:rsidRDefault="00C9163C" w:rsidP="006F3811">
      <w:pPr>
        <w:widowControl w:val="0"/>
        <w:autoSpaceDE w:val="0"/>
        <w:autoSpaceDN w:val="0"/>
        <w:adjustRightInd w:val="0"/>
        <w:spacing w:line="240" w:lineRule="auto"/>
        <w:ind w:left="640" w:hanging="640"/>
        <w:rPr>
          <w:rFonts w:cs="Arial"/>
          <w:noProof/>
          <w:szCs w:val="24"/>
        </w:rPr>
      </w:pPr>
      <w:r>
        <w:fldChar w:fldCharType="begin" w:fldLock="1"/>
      </w:r>
      <w:r>
        <w:instrText xml:space="preserve">ADDIN Mendeley Bibliography CSL_BIBLIOGRAPHY </w:instrText>
      </w:r>
      <w:r>
        <w:fldChar w:fldCharType="separate"/>
      </w:r>
      <w:r w:rsidR="006F3811" w:rsidRPr="006F3811">
        <w:rPr>
          <w:rFonts w:cs="Arial"/>
          <w:noProof/>
          <w:szCs w:val="24"/>
        </w:rPr>
        <w:t xml:space="preserve">1. </w:t>
      </w:r>
      <w:r w:rsidR="006F3811" w:rsidRPr="006F3811">
        <w:rPr>
          <w:rFonts w:cs="Arial"/>
          <w:noProof/>
          <w:szCs w:val="24"/>
        </w:rPr>
        <w:tab/>
        <w:t xml:space="preserve">Emmett L, Tollitt J, McCorkindale S, Sinha S, Poulikakos D. The Evidence of Acute Kidney Injury in the Community and for Primary Care Interventions. Nephron. 2017 Mar 25; </w:t>
      </w:r>
    </w:p>
    <w:p w14:paraId="625B6843" w14:textId="77777777" w:rsidR="006F3811" w:rsidRPr="006F3811" w:rsidRDefault="006F3811" w:rsidP="006F3811">
      <w:pPr>
        <w:widowControl w:val="0"/>
        <w:autoSpaceDE w:val="0"/>
        <w:autoSpaceDN w:val="0"/>
        <w:adjustRightInd w:val="0"/>
        <w:spacing w:line="240" w:lineRule="auto"/>
        <w:ind w:left="640" w:hanging="640"/>
        <w:rPr>
          <w:rFonts w:cs="Arial"/>
          <w:noProof/>
        </w:rPr>
      </w:pPr>
      <w:r w:rsidRPr="006F3811">
        <w:rPr>
          <w:rFonts w:cs="Arial"/>
          <w:noProof/>
          <w:szCs w:val="24"/>
        </w:rPr>
        <w:t xml:space="preserve">2. </w:t>
      </w:r>
      <w:r w:rsidRPr="006F3811">
        <w:rPr>
          <w:rFonts w:cs="Arial"/>
          <w:noProof/>
          <w:szCs w:val="24"/>
        </w:rPr>
        <w:tab/>
        <w:t xml:space="preserve">Selby NM, Hill R, Fluck RJ. Standardizing the Early Identification of Acute Kidney Injury: The NHS England National Patient Safety Alert. Nephron. 2015 Sep 10;131(2):113–7. </w:t>
      </w:r>
    </w:p>
    <w:p w14:paraId="1CEE02FF" w14:textId="1A942780" w:rsidR="00C9163C" w:rsidRDefault="00C9163C">
      <w:r>
        <w:fldChar w:fldCharType="end"/>
      </w:r>
      <w:bookmarkStart w:id="1" w:name="_Hlk503539236"/>
      <w:r w:rsidR="00E8227B">
        <w:t>Tables:</w:t>
      </w:r>
    </w:p>
    <w:p w14:paraId="094204E2" w14:textId="25772A4D" w:rsidR="00E8227B" w:rsidRDefault="000A07CF" w:rsidP="00E8227B">
      <w:r>
        <w:t>Table 1</w:t>
      </w:r>
    </w:p>
    <w:p w14:paraId="44C2117E" w14:textId="77777777" w:rsidR="00E8227B" w:rsidRPr="00774919" w:rsidRDefault="00E8227B" w:rsidP="00E8227B"/>
    <w:tbl>
      <w:tblPr>
        <w:tblW w:w="949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6"/>
        <w:gridCol w:w="856"/>
        <w:gridCol w:w="709"/>
        <w:gridCol w:w="850"/>
        <w:gridCol w:w="851"/>
        <w:gridCol w:w="992"/>
        <w:gridCol w:w="850"/>
        <w:gridCol w:w="993"/>
        <w:gridCol w:w="1701"/>
      </w:tblGrid>
      <w:tr w:rsidR="00E8227B" w:rsidRPr="00774919" w14:paraId="4D5F2C32" w14:textId="77777777" w:rsidTr="005932E5">
        <w:trPr>
          <w:cantSplit/>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14:paraId="6425DBDF" w14:textId="77777777" w:rsidR="00E8227B" w:rsidRPr="00774919" w:rsidRDefault="00E8227B" w:rsidP="005932E5">
            <w:pPr>
              <w:jc w:val="center"/>
            </w:pPr>
          </w:p>
        </w:tc>
        <w:tc>
          <w:tcPr>
            <w:tcW w:w="5245" w:type="dxa"/>
            <w:gridSpan w:val="6"/>
            <w:tcBorders>
              <w:top w:val="single" w:sz="16" w:space="0" w:color="000000"/>
              <w:left w:val="single" w:sz="16" w:space="0" w:color="000000"/>
              <w:right w:val="single" w:sz="16" w:space="0" w:color="000000"/>
            </w:tcBorders>
            <w:shd w:val="clear" w:color="auto" w:fill="FFFFFF"/>
            <w:vAlign w:val="bottom"/>
          </w:tcPr>
          <w:p w14:paraId="1B70F6B2" w14:textId="77777777" w:rsidR="00E8227B" w:rsidRPr="00774919" w:rsidRDefault="00E8227B" w:rsidP="005932E5">
            <w:pPr>
              <w:jc w:val="center"/>
            </w:pPr>
            <w:r w:rsidRPr="00774919">
              <w:t>Community acquired AKI and Community Acquired Infection</w:t>
            </w:r>
            <w:r>
              <w:t xml:space="preserve"> in whole population</w:t>
            </w:r>
          </w:p>
        </w:tc>
        <w:tc>
          <w:tcPr>
            <w:tcW w:w="1701" w:type="dxa"/>
            <w:tcBorders>
              <w:top w:val="single" w:sz="16" w:space="0" w:color="000000"/>
              <w:left w:val="single" w:sz="16" w:space="0" w:color="000000"/>
              <w:right w:val="single" w:sz="16" w:space="0" w:color="000000"/>
            </w:tcBorders>
            <w:shd w:val="clear" w:color="auto" w:fill="FFFFFF"/>
          </w:tcPr>
          <w:p w14:paraId="57B4C7BB" w14:textId="77777777" w:rsidR="00E8227B" w:rsidRPr="00774919" w:rsidRDefault="00E8227B" w:rsidP="005932E5">
            <w:pPr>
              <w:jc w:val="center"/>
            </w:pPr>
            <w:r>
              <w:t>Significance</w:t>
            </w:r>
          </w:p>
        </w:tc>
      </w:tr>
      <w:tr w:rsidR="00E8227B" w:rsidRPr="00774919" w14:paraId="1A0AEDAF" w14:textId="77777777" w:rsidTr="005932E5">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14:paraId="572F5D25" w14:textId="77777777" w:rsidR="00E8227B" w:rsidRPr="00774919" w:rsidRDefault="00E8227B" w:rsidP="005932E5">
            <w:pPr>
              <w:jc w:val="center"/>
            </w:pPr>
          </w:p>
        </w:tc>
        <w:tc>
          <w:tcPr>
            <w:tcW w:w="2410" w:type="dxa"/>
            <w:gridSpan w:val="3"/>
            <w:tcBorders>
              <w:left w:val="single" w:sz="16" w:space="0" w:color="000000"/>
            </w:tcBorders>
            <w:shd w:val="clear" w:color="auto" w:fill="FFFFFF"/>
            <w:vAlign w:val="bottom"/>
          </w:tcPr>
          <w:p w14:paraId="4F152C42" w14:textId="77777777" w:rsidR="00E8227B" w:rsidRPr="00774919" w:rsidRDefault="00E8227B" w:rsidP="005932E5">
            <w:pPr>
              <w:jc w:val="center"/>
            </w:pPr>
            <w:r w:rsidRPr="00774919">
              <w:t>Yes</w:t>
            </w:r>
          </w:p>
        </w:tc>
        <w:tc>
          <w:tcPr>
            <w:tcW w:w="2835" w:type="dxa"/>
            <w:gridSpan w:val="3"/>
            <w:tcBorders>
              <w:right w:val="single" w:sz="16" w:space="0" w:color="000000"/>
            </w:tcBorders>
            <w:shd w:val="clear" w:color="auto" w:fill="FFFFFF"/>
            <w:vAlign w:val="bottom"/>
          </w:tcPr>
          <w:p w14:paraId="7A4FB551" w14:textId="77777777" w:rsidR="00E8227B" w:rsidRPr="00774919" w:rsidRDefault="00E8227B" w:rsidP="005932E5">
            <w:pPr>
              <w:jc w:val="center"/>
            </w:pPr>
            <w:r w:rsidRPr="00774919">
              <w:t>No</w:t>
            </w:r>
          </w:p>
        </w:tc>
        <w:tc>
          <w:tcPr>
            <w:tcW w:w="1701" w:type="dxa"/>
            <w:tcBorders>
              <w:right w:val="single" w:sz="16" w:space="0" w:color="000000"/>
            </w:tcBorders>
            <w:shd w:val="clear" w:color="auto" w:fill="FFFFFF"/>
          </w:tcPr>
          <w:p w14:paraId="5EEBE05B" w14:textId="77777777" w:rsidR="00E8227B" w:rsidRPr="00774919" w:rsidRDefault="00E8227B" w:rsidP="005932E5">
            <w:pPr>
              <w:jc w:val="center"/>
            </w:pPr>
          </w:p>
        </w:tc>
      </w:tr>
      <w:tr w:rsidR="00E8227B" w:rsidRPr="00774919" w14:paraId="1949AB7A" w14:textId="77777777" w:rsidTr="005932E5">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14:paraId="304D1842" w14:textId="77777777" w:rsidR="00E8227B" w:rsidRPr="00774919" w:rsidRDefault="00E8227B" w:rsidP="005932E5">
            <w:pPr>
              <w:jc w:val="center"/>
            </w:pPr>
          </w:p>
        </w:tc>
        <w:tc>
          <w:tcPr>
            <w:tcW w:w="709" w:type="dxa"/>
            <w:tcBorders>
              <w:left w:val="single" w:sz="16" w:space="0" w:color="000000"/>
              <w:bottom w:val="single" w:sz="16" w:space="0" w:color="000000"/>
            </w:tcBorders>
            <w:shd w:val="clear" w:color="auto" w:fill="FFFFFF"/>
            <w:vAlign w:val="bottom"/>
          </w:tcPr>
          <w:p w14:paraId="18A872F9" w14:textId="77777777" w:rsidR="00E8227B" w:rsidRPr="00774919" w:rsidRDefault="00E8227B" w:rsidP="005932E5">
            <w:pPr>
              <w:jc w:val="center"/>
            </w:pPr>
            <w:r w:rsidRPr="00774919">
              <w:t>Count</w:t>
            </w:r>
          </w:p>
        </w:tc>
        <w:tc>
          <w:tcPr>
            <w:tcW w:w="850" w:type="dxa"/>
            <w:tcBorders>
              <w:bottom w:val="single" w:sz="16" w:space="0" w:color="000000"/>
            </w:tcBorders>
            <w:shd w:val="clear" w:color="auto" w:fill="FFFFFF"/>
            <w:vAlign w:val="bottom"/>
          </w:tcPr>
          <w:p w14:paraId="114F6984" w14:textId="77777777" w:rsidR="00E8227B" w:rsidRPr="00774919" w:rsidRDefault="00E8227B" w:rsidP="005932E5">
            <w:pPr>
              <w:jc w:val="center"/>
            </w:pPr>
            <w:r w:rsidRPr="00774919">
              <w:t>%</w:t>
            </w:r>
          </w:p>
        </w:tc>
        <w:tc>
          <w:tcPr>
            <w:tcW w:w="851" w:type="dxa"/>
            <w:tcBorders>
              <w:bottom w:val="single" w:sz="16" w:space="0" w:color="000000"/>
            </w:tcBorders>
            <w:shd w:val="clear" w:color="auto" w:fill="FFFFFF"/>
            <w:vAlign w:val="bottom"/>
          </w:tcPr>
          <w:p w14:paraId="2E8FA321" w14:textId="77777777" w:rsidR="00E8227B" w:rsidRPr="00774919" w:rsidRDefault="00E8227B" w:rsidP="005932E5">
            <w:pPr>
              <w:jc w:val="center"/>
            </w:pPr>
            <w:r w:rsidRPr="00774919">
              <w:t>Mean</w:t>
            </w:r>
          </w:p>
        </w:tc>
        <w:tc>
          <w:tcPr>
            <w:tcW w:w="992" w:type="dxa"/>
            <w:tcBorders>
              <w:bottom w:val="single" w:sz="16" w:space="0" w:color="000000"/>
            </w:tcBorders>
            <w:shd w:val="clear" w:color="auto" w:fill="FFFFFF"/>
            <w:vAlign w:val="bottom"/>
          </w:tcPr>
          <w:p w14:paraId="5771E8FA" w14:textId="77777777" w:rsidR="00E8227B" w:rsidRPr="00774919" w:rsidRDefault="00E8227B" w:rsidP="005932E5">
            <w:pPr>
              <w:jc w:val="center"/>
            </w:pPr>
            <w:r w:rsidRPr="00774919">
              <w:t>Count</w:t>
            </w:r>
          </w:p>
        </w:tc>
        <w:tc>
          <w:tcPr>
            <w:tcW w:w="850" w:type="dxa"/>
            <w:tcBorders>
              <w:bottom w:val="single" w:sz="16" w:space="0" w:color="000000"/>
            </w:tcBorders>
            <w:shd w:val="clear" w:color="auto" w:fill="FFFFFF"/>
            <w:vAlign w:val="bottom"/>
          </w:tcPr>
          <w:p w14:paraId="48039D4E" w14:textId="77777777" w:rsidR="00E8227B" w:rsidRPr="00774919" w:rsidRDefault="00E8227B" w:rsidP="005932E5">
            <w:pPr>
              <w:jc w:val="center"/>
            </w:pPr>
            <w:r w:rsidRPr="00774919">
              <w:t>%</w:t>
            </w:r>
          </w:p>
        </w:tc>
        <w:tc>
          <w:tcPr>
            <w:tcW w:w="993" w:type="dxa"/>
            <w:tcBorders>
              <w:bottom w:val="single" w:sz="16" w:space="0" w:color="000000"/>
              <w:right w:val="single" w:sz="16" w:space="0" w:color="000000"/>
            </w:tcBorders>
            <w:shd w:val="clear" w:color="auto" w:fill="FFFFFF"/>
            <w:vAlign w:val="bottom"/>
          </w:tcPr>
          <w:p w14:paraId="4DB6950C" w14:textId="77777777" w:rsidR="00E8227B" w:rsidRPr="00774919" w:rsidRDefault="00E8227B" w:rsidP="005932E5">
            <w:pPr>
              <w:jc w:val="center"/>
            </w:pPr>
            <w:r w:rsidRPr="00774919">
              <w:t>Mean</w:t>
            </w:r>
          </w:p>
        </w:tc>
        <w:tc>
          <w:tcPr>
            <w:tcW w:w="1701" w:type="dxa"/>
            <w:tcBorders>
              <w:bottom w:val="single" w:sz="16" w:space="0" w:color="000000"/>
              <w:right w:val="single" w:sz="16" w:space="0" w:color="000000"/>
            </w:tcBorders>
            <w:shd w:val="clear" w:color="auto" w:fill="FFFFFF"/>
          </w:tcPr>
          <w:p w14:paraId="7080D3C9" w14:textId="77777777" w:rsidR="00E8227B" w:rsidRPr="00774919" w:rsidRDefault="00E8227B" w:rsidP="005932E5">
            <w:pPr>
              <w:jc w:val="center"/>
            </w:pPr>
          </w:p>
        </w:tc>
      </w:tr>
      <w:tr w:rsidR="00E8227B" w:rsidRPr="00774919" w14:paraId="57A30457" w14:textId="77777777" w:rsidTr="005932E5">
        <w:trPr>
          <w:cantSplit/>
        </w:trPr>
        <w:tc>
          <w:tcPr>
            <w:tcW w:w="1696" w:type="dxa"/>
            <w:vMerge w:val="restart"/>
            <w:tcBorders>
              <w:top w:val="single" w:sz="16" w:space="0" w:color="000000"/>
              <w:left w:val="single" w:sz="16" w:space="0" w:color="000000"/>
              <w:bottom w:val="nil"/>
              <w:right w:val="nil"/>
            </w:tcBorders>
            <w:shd w:val="clear" w:color="auto" w:fill="FFFFFF"/>
          </w:tcPr>
          <w:p w14:paraId="3A4418B3" w14:textId="77777777" w:rsidR="00E8227B" w:rsidRPr="00774919" w:rsidRDefault="00E8227B" w:rsidP="005932E5">
            <w:r w:rsidRPr="00774919">
              <w:t>Gender</w:t>
            </w:r>
          </w:p>
        </w:tc>
        <w:tc>
          <w:tcPr>
            <w:tcW w:w="856" w:type="dxa"/>
            <w:tcBorders>
              <w:top w:val="single" w:sz="16" w:space="0" w:color="000000"/>
              <w:left w:val="nil"/>
              <w:bottom w:val="nil"/>
              <w:right w:val="single" w:sz="16" w:space="0" w:color="000000"/>
            </w:tcBorders>
            <w:shd w:val="clear" w:color="auto" w:fill="FFFFFF"/>
          </w:tcPr>
          <w:p w14:paraId="61745967" w14:textId="77777777" w:rsidR="00E8227B" w:rsidRPr="00774919" w:rsidRDefault="00E8227B" w:rsidP="005932E5">
            <w:r w:rsidRPr="00774919">
              <w:t>Male</w:t>
            </w:r>
          </w:p>
        </w:tc>
        <w:tc>
          <w:tcPr>
            <w:tcW w:w="709" w:type="dxa"/>
            <w:tcBorders>
              <w:top w:val="single" w:sz="16" w:space="0" w:color="000000"/>
              <w:left w:val="single" w:sz="16" w:space="0" w:color="000000"/>
              <w:bottom w:val="nil"/>
            </w:tcBorders>
            <w:shd w:val="clear" w:color="auto" w:fill="FFFFFF"/>
            <w:vAlign w:val="center"/>
          </w:tcPr>
          <w:p w14:paraId="47969E1B" w14:textId="77777777" w:rsidR="00E8227B" w:rsidRPr="00774919" w:rsidRDefault="00E8227B" w:rsidP="005932E5">
            <w:pPr>
              <w:jc w:val="center"/>
            </w:pPr>
            <w:r w:rsidRPr="00774919">
              <w:t>1029</w:t>
            </w:r>
          </w:p>
        </w:tc>
        <w:tc>
          <w:tcPr>
            <w:tcW w:w="850" w:type="dxa"/>
            <w:tcBorders>
              <w:top w:val="single" w:sz="16" w:space="0" w:color="000000"/>
              <w:bottom w:val="nil"/>
            </w:tcBorders>
            <w:shd w:val="clear" w:color="auto" w:fill="FFFFFF"/>
            <w:vAlign w:val="center"/>
          </w:tcPr>
          <w:p w14:paraId="783C5BE7" w14:textId="77777777" w:rsidR="00E8227B" w:rsidRPr="00774919" w:rsidRDefault="00E8227B" w:rsidP="005932E5">
            <w:pPr>
              <w:jc w:val="center"/>
            </w:pPr>
            <w:r w:rsidRPr="00774919">
              <w:t>49.9%</w:t>
            </w:r>
          </w:p>
        </w:tc>
        <w:tc>
          <w:tcPr>
            <w:tcW w:w="851" w:type="dxa"/>
            <w:tcBorders>
              <w:top w:val="single" w:sz="16" w:space="0" w:color="000000"/>
              <w:bottom w:val="nil"/>
            </w:tcBorders>
            <w:shd w:val="clear" w:color="auto" w:fill="FFFFFF"/>
            <w:vAlign w:val="center"/>
          </w:tcPr>
          <w:p w14:paraId="3E9EB4EA" w14:textId="77777777" w:rsidR="00E8227B" w:rsidRPr="00774919" w:rsidRDefault="00E8227B" w:rsidP="005932E5">
            <w:pPr>
              <w:jc w:val="center"/>
            </w:pPr>
          </w:p>
        </w:tc>
        <w:tc>
          <w:tcPr>
            <w:tcW w:w="992" w:type="dxa"/>
            <w:tcBorders>
              <w:top w:val="single" w:sz="16" w:space="0" w:color="000000"/>
              <w:bottom w:val="nil"/>
            </w:tcBorders>
            <w:shd w:val="clear" w:color="auto" w:fill="FFFFFF"/>
            <w:vAlign w:val="center"/>
          </w:tcPr>
          <w:p w14:paraId="698F428E" w14:textId="77777777" w:rsidR="00E8227B" w:rsidRPr="00774919" w:rsidRDefault="00E8227B" w:rsidP="005932E5">
            <w:pPr>
              <w:jc w:val="center"/>
            </w:pPr>
            <w:r w:rsidRPr="00774919">
              <w:t>26294</w:t>
            </w:r>
          </w:p>
        </w:tc>
        <w:tc>
          <w:tcPr>
            <w:tcW w:w="850" w:type="dxa"/>
            <w:tcBorders>
              <w:top w:val="single" w:sz="16" w:space="0" w:color="000000"/>
              <w:bottom w:val="nil"/>
            </w:tcBorders>
            <w:shd w:val="clear" w:color="auto" w:fill="FFFFFF"/>
            <w:vAlign w:val="center"/>
          </w:tcPr>
          <w:p w14:paraId="37F941B7" w14:textId="77777777" w:rsidR="00E8227B" w:rsidRPr="00774919" w:rsidRDefault="00E8227B" w:rsidP="005932E5">
            <w:pPr>
              <w:jc w:val="center"/>
            </w:pPr>
            <w:r w:rsidRPr="00774919">
              <w:t>44.3%</w:t>
            </w:r>
          </w:p>
        </w:tc>
        <w:tc>
          <w:tcPr>
            <w:tcW w:w="993" w:type="dxa"/>
            <w:tcBorders>
              <w:top w:val="single" w:sz="16" w:space="0" w:color="000000"/>
              <w:bottom w:val="nil"/>
              <w:right w:val="single" w:sz="16" w:space="0" w:color="000000"/>
            </w:tcBorders>
            <w:shd w:val="clear" w:color="auto" w:fill="FFFFFF"/>
            <w:vAlign w:val="center"/>
          </w:tcPr>
          <w:p w14:paraId="705AD42E" w14:textId="77777777" w:rsidR="00E8227B" w:rsidRPr="00774919" w:rsidRDefault="00E8227B" w:rsidP="005932E5">
            <w:pPr>
              <w:jc w:val="center"/>
            </w:pPr>
          </w:p>
        </w:tc>
        <w:tc>
          <w:tcPr>
            <w:tcW w:w="1701" w:type="dxa"/>
            <w:tcBorders>
              <w:top w:val="single" w:sz="16" w:space="0" w:color="000000"/>
              <w:bottom w:val="nil"/>
              <w:right w:val="single" w:sz="16" w:space="0" w:color="000000"/>
            </w:tcBorders>
            <w:shd w:val="clear" w:color="auto" w:fill="FFFFFF"/>
          </w:tcPr>
          <w:p w14:paraId="678AEC95" w14:textId="5018ED34" w:rsidR="00E8227B" w:rsidRPr="00774919" w:rsidRDefault="00E8227B" w:rsidP="005932E5">
            <w:pPr>
              <w:jc w:val="center"/>
            </w:pPr>
            <w:r>
              <w:t>p=&lt;0.001</w:t>
            </w:r>
          </w:p>
        </w:tc>
      </w:tr>
      <w:tr w:rsidR="00E8227B" w:rsidRPr="00774919" w14:paraId="0FD88404" w14:textId="77777777" w:rsidTr="005932E5">
        <w:trPr>
          <w:cantSplit/>
        </w:trPr>
        <w:tc>
          <w:tcPr>
            <w:tcW w:w="1696" w:type="dxa"/>
            <w:vMerge/>
            <w:tcBorders>
              <w:top w:val="single" w:sz="16" w:space="0" w:color="000000"/>
              <w:left w:val="single" w:sz="16" w:space="0" w:color="000000"/>
              <w:bottom w:val="nil"/>
              <w:right w:val="nil"/>
            </w:tcBorders>
            <w:shd w:val="clear" w:color="auto" w:fill="FFFFFF"/>
          </w:tcPr>
          <w:p w14:paraId="23EA733F" w14:textId="77777777" w:rsidR="00E8227B" w:rsidRPr="00774919" w:rsidRDefault="00E8227B" w:rsidP="005932E5"/>
        </w:tc>
        <w:tc>
          <w:tcPr>
            <w:tcW w:w="856" w:type="dxa"/>
            <w:tcBorders>
              <w:top w:val="nil"/>
              <w:left w:val="nil"/>
              <w:bottom w:val="nil"/>
              <w:right w:val="single" w:sz="16" w:space="0" w:color="000000"/>
            </w:tcBorders>
            <w:shd w:val="clear" w:color="auto" w:fill="FFFFFF"/>
          </w:tcPr>
          <w:p w14:paraId="7453F21A" w14:textId="77777777" w:rsidR="00E8227B" w:rsidRPr="00774919" w:rsidRDefault="00E8227B" w:rsidP="005932E5">
            <w:r w:rsidRPr="00774919">
              <w:t>Female</w:t>
            </w:r>
          </w:p>
        </w:tc>
        <w:tc>
          <w:tcPr>
            <w:tcW w:w="709" w:type="dxa"/>
            <w:tcBorders>
              <w:top w:val="nil"/>
              <w:left w:val="single" w:sz="16" w:space="0" w:color="000000"/>
              <w:bottom w:val="nil"/>
            </w:tcBorders>
            <w:shd w:val="clear" w:color="auto" w:fill="FFFFFF"/>
            <w:vAlign w:val="center"/>
          </w:tcPr>
          <w:p w14:paraId="537BD4D1" w14:textId="77777777" w:rsidR="00E8227B" w:rsidRPr="00774919" w:rsidRDefault="00E8227B" w:rsidP="005932E5">
            <w:pPr>
              <w:jc w:val="center"/>
            </w:pPr>
            <w:r w:rsidRPr="00774919">
              <w:t>1033</w:t>
            </w:r>
          </w:p>
        </w:tc>
        <w:tc>
          <w:tcPr>
            <w:tcW w:w="850" w:type="dxa"/>
            <w:tcBorders>
              <w:top w:val="nil"/>
              <w:bottom w:val="nil"/>
            </w:tcBorders>
            <w:shd w:val="clear" w:color="auto" w:fill="FFFFFF"/>
            <w:vAlign w:val="center"/>
          </w:tcPr>
          <w:p w14:paraId="50A03C0D" w14:textId="77777777" w:rsidR="00E8227B" w:rsidRPr="00774919" w:rsidRDefault="00E8227B" w:rsidP="005932E5">
            <w:pPr>
              <w:jc w:val="center"/>
            </w:pPr>
            <w:r w:rsidRPr="00774919">
              <w:t>50.1%</w:t>
            </w:r>
          </w:p>
        </w:tc>
        <w:tc>
          <w:tcPr>
            <w:tcW w:w="851" w:type="dxa"/>
            <w:tcBorders>
              <w:top w:val="nil"/>
              <w:bottom w:val="nil"/>
            </w:tcBorders>
            <w:shd w:val="clear" w:color="auto" w:fill="FFFFFF"/>
            <w:vAlign w:val="center"/>
          </w:tcPr>
          <w:p w14:paraId="2E2CAEAB" w14:textId="77777777" w:rsidR="00E8227B" w:rsidRPr="00774919" w:rsidRDefault="00E8227B" w:rsidP="005932E5">
            <w:pPr>
              <w:jc w:val="center"/>
            </w:pPr>
          </w:p>
        </w:tc>
        <w:tc>
          <w:tcPr>
            <w:tcW w:w="992" w:type="dxa"/>
            <w:tcBorders>
              <w:top w:val="nil"/>
              <w:bottom w:val="nil"/>
            </w:tcBorders>
            <w:shd w:val="clear" w:color="auto" w:fill="FFFFFF"/>
            <w:vAlign w:val="center"/>
          </w:tcPr>
          <w:p w14:paraId="033597D6" w14:textId="77777777" w:rsidR="00E8227B" w:rsidRPr="00774919" w:rsidRDefault="00E8227B" w:rsidP="005932E5">
            <w:pPr>
              <w:jc w:val="center"/>
            </w:pPr>
            <w:r w:rsidRPr="00774919">
              <w:t>33115</w:t>
            </w:r>
          </w:p>
        </w:tc>
        <w:tc>
          <w:tcPr>
            <w:tcW w:w="850" w:type="dxa"/>
            <w:tcBorders>
              <w:top w:val="nil"/>
              <w:bottom w:val="nil"/>
            </w:tcBorders>
            <w:shd w:val="clear" w:color="auto" w:fill="FFFFFF"/>
            <w:vAlign w:val="center"/>
          </w:tcPr>
          <w:p w14:paraId="3A0EABAF" w14:textId="77777777" w:rsidR="00E8227B" w:rsidRPr="00774919" w:rsidRDefault="00E8227B" w:rsidP="005932E5">
            <w:pPr>
              <w:jc w:val="center"/>
            </w:pPr>
            <w:r w:rsidRPr="00774919">
              <w:t>55.7%</w:t>
            </w:r>
          </w:p>
        </w:tc>
        <w:tc>
          <w:tcPr>
            <w:tcW w:w="993" w:type="dxa"/>
            <w:tcBorders>
              <w:top w:val="nil"/>
              <w:bottom w:val="nil"/>
              <w:right w:val="single" w:sz="16" w:space="0" w:color="000000"/>
            </w:tcBorders>
            <w:shd w:val="clear" w:color="auto" w:fill="FFFFFF"/>
            <w:vAlign w:val="center"/>
          </w:tcPr>
          <w:p w14:paraId="5FDD223B" w14:textId="77777777" w:rsidR="00E8227B" w:rsidRPr="00774919" w:rsidRDefault="00E8227B" w:rsidP="005932E5">
            <w:pPr>
              <w:jc w:val="center"/>
            </w:pPr>
          </w:p>
        </w:tc>
        <w:tc>
          <w:tcPr>
            <w:tcW w:w="1701" w:type="dxa"/>
            <w:tcBorders>
              <w:top w:val="nil"/>
              <w:bottom w:val="nil"/>
              <w:right w:val="single" w:sz="16" w:space="0" w:color="000000"/>
            </w:tcBorders>
            <w:shd w:val="clear" w:color="auto" w:fill="FFFFFF"/>
          </w:tcPr>
          <w:p w14:paraId="4177111E" w14:textId="77777777" w:rsidR="00E8227B" w:rsidRPr="00774919" w:rsidRDefault="00E8227B" w:rsidP="005932E5">
            <w:pPr>
              <w:jc w:val="center"/>
            </w:pPr>
          </w:p>
        </w:tc>
      </w:tr>
      <w:tr w:rsidR="00E8227B" w:rsidRPr="00774919" w14:paraId="0C9E7CD9" w14:textId="77777777" w:rsidTr="005932E5">
        <w:trPr>
          <w:cantSplit/>
        </w:trPr>
        <w:tc>
          <w:tcPr>
            <w:tcW w:w="2552" w:type="dxa"/>
            <w:gridSpan w:val="2"/>
            <w:tcBorders>
              <w:top w:val="nil"/>
              <w:left w:val="single" w:sz="16" w:space="0" w:color="000000"/>
              <w:bottom w:val="nil"/>
              <w:right w:val="nil"/>
            </w:tcBorders>
            <w:shd w:val="clear" w:color="auto" w:fill="FFFFFF"/>
          </w:tcPr>
          <w:p w14:paraId="004D5850" w14:textId="77777777" w:rsidR="00E8227B" w:rsidRPr="00774919" w:rsidRDefault="00E8227B" w:rsidP="005932E5">
            <w:r w:rsidRPr="00774919">
              <w:t>Age</w:t>
            </w:r>
          </w:p>
        </w:tc>
        <w:tc>
          <w:tcPr>
            <w:tcW w:w="709" w:type="dxa"/>
            <w:tcBorders>
              <w:top w:val="nil"/>
              <w:left w:val="single" w:sz="16" w:space="0" w:color="000000"/>
              <w:bottom w:val="nil"/>
            </w:tcBorders>
            <w:shd w:val="clear" w:color="auto" w:fill="FFFFFF"/>
            <w:vAlign w:val="center"/>
          </w:tcPr>
          <w:p w14:paraId="324193C9" w14:textId="77777777" w:rsidR="00E8227B" w:rsidRPr="00774919" w:rsidRDefault="00E8227B" w:rsidP="005932E5">
            <w:pPr>
              <w:jc w:val="center"/>
            </w:pPr>
          </w:p>
        </w:tc>
        <w:tc>
          <w:tcPr>
            <w:tcW w:w="850" w:type="dxa"/>
            <w:tcBorders>
              <w:top w:val="nil"/>
              <w:bottom w:val="nil"/>
            </w:tcBorders>
            <w:shd w:val="clear" w:color="auto" w:fill="FFFFFF"/>
            <w:vAlign w:val="center"/>
          </w:tcPr>
          <w:p w14:paraId="18CF4BA2" w14:textId="77777777" w:rsidR="00E8227B" w:rsidRPr="00774919" w:rsidRDefault="00E8227B" w:rsidP="005932E5">
            <w:pPr>
              <w:jc w:val="center"/>
            </w:pPr>
          </w:p>
        </w:tc>
        <w:tc>
          <w:tcPr>
            <w:tcW w:w="851" w:type="dxa"/>
            <w:tcBorders>
              <w:top w:val="nil"/>
              <w:bottom w:val="nil"/>
            </w:tcBorders>
            <w:shd w:val="clear" w:color="auto" w:fill="FFFFFF"/>
            <w:vAlign w:val="center"/>
          </w:tcPr>
          <w:p w14:paraId="63953DE5" w14:textId="77777777" w:rsidR="00E8227B" w:rsidRPr="00774919" w:rsidRDefault="00E8227B" w:rsidP="005932E5">
            <w:pPr>
              <w:jc w:val="center"/>
            </w:pPr>
            <w:r w:rsidRPr="00774919">
              <w:t>71.5</w:t>
            </w:r>
          </w:p>
        </w:tc>
        <w:tc>
          <w:tcPr>
            <w:tcW w:w="992" w:type="dxa"/>
            <w:tcBorders>
              <w:top w:val="nil"/>
              <w:bottom w:val="nil"/>
            </w:tcBorders>
            <w:shd w:val="clear" w:color="auto" w:fill="FFFFFF"/>
            <w:vAlign w:val="center"/>
          </w:tcPr>
          <w:p w14:paraId="6F74754C" w14:textId="77777777" w:rsidR="00E8227B" w:rsidRPr="00774919" w:rsidRDefault="00E8227B" w:rsidP="005932E5">
            <w:pPr>
              <w:jc w:val="center"/>
            </w:pPr>
          </w:p>
        </w:tc>
        <w:tc>
          <w:tcPr>
            <w:tcW w:w="850" w:type="dxa"/>
            <w:tcBorders>
              <w:top w:val="nil"/>
              <w:bottom w:val="nil"/>
            </w:tcBorders>
            <w:shd w:val="clear" w:color="auto" w:fill="FFFFFF"/>
            <w:vAlign w:val="center"/>
          </w:tcPr>
          <w:p w14:paraId="61C4CF28" w14:textId="77777777" w:rsidR="00E8227B" w:rsidRPr="00774919" w:rsidRDefault="00E8227B" w:rsidP="005932E5">
            <w:pPr>
              <w:jc w:val="center"/>
            </w:pPr>
          </w:p>
        </w:tc>
        <w:tc>
          <w:tcPr>
            <w:tcW w:w="993" w:type="dxa"/>
            <w:tcBorders>
              <w:top w:val="nil"/>
              <w:bottom w:val="nil"/>
              <w:right w:val="single" w:sz="16" w:space="0" w:color="000000"/>
            </w:tcBorders>
            <w:shd w:val="clear" w:color="auto" w:fill="FFFFFF"/>
            <w:vAlign w:val="center"/>
          </w:tcPr>
          <w:p w14:paraId="564C16C2" w14:textId="77777777" w:rsidR="00E8227B" w:rsidRPr="00774919" w:rsidRDefault="00E8227B" w:rsidP="005932E5">
            <w:pPr>
              <w:jc w:val="center"/>
            </w:pPr>
            <w:r w:rsidRPr="00774919">
              <w:t>53.7</w:t>
            </w:r>
          </w:p>
        </w:tc>
        <w:tc>
          <w:tcPr>
            <w:tcW w:w="1701" w:type="dxa"/>
            <w:tcBorders>
              <w:top w:val="nil"/>
              <w:bottom w:val="nil"/>
              <w:right w:val="single" w:sz="16" w:space="0" w:color="000000"/>
            </w:tcBorders>
            <w:shd w:val="clear" w:color="auto" w:fill="FFFFFF"/>
          </w:tcPr>
          <w:p w14:paraId="4011F987" w14:textId="1FFB9B90" w:rsidR="00E8227B" w:rsidRPr="00774919" w:rsidRDefault="00E8227B" w:rsidP="005932E5">
            <w:pPr>
              <w:jc w:val="center"/>
            </w:pPr>
            <w:r>
              <w:t>p=&lt;0.001</w:t>
            </w:r>
          </w:p>
        </w:tc>
      </w:tr>
      <w:tr w:rsidR="00E8227B" w:rsidRPr="00774919" w14:paraId="48D7B4AD" w14:textId="77777777" w:rsidTr="005932E5">
        <w:trPr>
          <w:cantSplit/>
        </w:trPr>
        <w:tc>
          <w:tcPr>
            <w:tcW w:w="2552" w:type="dxa"/>
            <w:gridSpan w:val="2"/>
            <w:tcBorders>
              <w:top w:val="nil"/>
              <w:left w:val="single" w:sz="16" w:space="0" w:color="000000"/>
              <w:bottom w:val="nil"/>
              <w:right w:val="nil"/>
            </w:tcBorders>
            <w:shd w:val="clear" w:color="auto" w:fill="FFFFFF"/>
          </w:tcPr>
          <w:p w14:paraId="37284B47" w14:textId="77777777" w:rsidR="00E8227B" w:rsidRPr="00774919" w:rsidRDefault="00E8227B" w:rsidP="005932E5">
            <w:r w:rsidRPr="00774919">
              <w:t>L</w:t>
            </w:r>
            <w:r>
              <w:t xml:space="preserve">ength </w:t>
            </w:r>
            <w:r w:rsidRPr="00774919">
              <w:t>O</w:t>
            </w:r>
            <w:r>
              <w:t xml:space="preserve">f </w:t>
            </w:r>
            <w:r w:rsidRPr="00774919">
              <w:t>S</w:t>
            </w:r>
            <w:r>
              <w:t>tay</w:t>
            </w:r>
            <w:r w:rsidRPr="00774919">
              <w:t xml:space="preserve"> (days)</w:t>
            </w:r>
          </w:p>
        </w:tc>
        <w:tc>
          <w:tcPr>
            <w:tcW w:w="709" w:type="dxa"/>
            <w:tcBorders>
              <w:top w:val="nil"/>
              <w:left w:val="single" w:sz="16" w:space="0" w:color="000000"/>
              <w:bottom w:val="nil"/>
            </w:tcBorders>
            <w:shd w:val="clear" w:color="auto" w:fill="FFFFFF"/>
            <w:vAlign w:val="center"/>
          </w:tcPr>
          <w:p w14:paraId="1FDCB059" w14:textId="77777777" w:rsidR="00E8227B" w:rsidRPr="00774919" w:rsidRDefault="00E8227B" w:rsidP="005932E5">
            <w:pPr>
              <w:jc w:val="center"/>
            </w:pPr>
          </w:p>
        </w:tc>
        <w:tc>
          <w:tcPr>
            <w:tcW w:w="850" w:type="dxa"/>
            <w:tcBorders>
              <w:top w:val="nil"/>
              <w:bottom w:val="nil"/>
            </w:tcBorders>
            <w:shd w:val="clear" w:color="auto" w:fill="FFFFFF"/>
            <w:vAlign w:val="center"/>
          </w:tcPr>
          <w:p w14:paraId="7065F9BB" w14:textId="77777777" w:rsidR="00E8227B" w:rsidRPr="00774919" w:rsidRDefault="00E8227B" w:rsidP="005932E5">
            <w:pPr>
              <w:jc w:val="center"/>
            </w:pPr>
          </w:p>
        </w:tc>
        <w:tc>
          <w:tcPr>
            <w:tcW w:w="851" w:type="dxa"/>
            <w:tcBorders>
              <w:top w:val="nil"/>
              <w:bottom w:val="nil"/>
            </w:tcBorders>
            <w:shd w:val="clear" w:color="auto" w:fill="FFFFFF"/>
            <w:vAlign w:val="center"/>
          </w:tcPr>
          <w:p w14:paraId="132A6C01" w14:textId="77777777" w:rsidR="00E8227B" w:rsidRPr="00774919" w:rsidRDefault="00E8227B" w:rsidP="005932E5">
            <w:pPr>
              <w:jc w:val="center"/>
            </w:pPr>
            <w:r w:rsidRPr="00774919">
              <w:t>12</w:t>
            </w:r>
          </w:p>
        </w:tc>
        <w:tc>
          <w:tcPr>
            <w:tcW w:w="992" w:type="dxa"/>
            <w:tcBorders>
              <w:top w:val="nil"/>
              <w:bottom w:val="nil"/>
            </w:tcBorders>
            <w:shd w:val="clear" w:color="auto" w:fill="FFFFFF"/>
            <w:vAlign w:val="center"/>
          </w:tcPr>
          <w:p w14:paraId="5D7E1995" w14:textId="77777777" w:rsidR="00E8227B" w:rsidRPr="00774919" w:rsidRDefault="00E8227B" w:rsidP="005932E5">
            <w:pPr>
              <w:jc w:val="center"/>
            </w:pPr>
          </w:p>
        </w:tc>
        <w:tc>
          <w:tcPr>
            <w:tcW w:w="850" w:type="dxa"/>
            <w:tcBorders>
              <w:top w:val="nil"/>
              <w:bottom w:val="nil"/>
            </w:tcBorders>
            <w:shd w:val="clear" w:color="auto" w:fill="FFFFFF"/>
            <w:vAlign w:val="center"/>
          </w:tcPr>
          <w:p w14:paraId="49A86450" w14:textId="77777777" w:rsidR="00E8227B" w:rsidRPr="00774919" w:rsidRDefault="00E8227B" w:rsidP="005932E5">
            <w:pPr>
              <w:jc w:val="center"/>
            </w:pPr>
          </w:p>
        </w:tc>
        <w:tc>
          <w:tcPr>
            <w:tcW w:w="993" w:type="dxa"/>
            <w:tcBorders>
              <w:top w:val="nil"/>
              <w:bottom w:val="nil"/>
              <w:right w:val="single" w:sz="16" w:space="0" w:color="000000"/>
            </w:tcBorders>
            <w:shd w:val="clear" w:color="auto" w:fill="FFFFFF"/>
            <w:vAlign w:val="center"/>
          </w:tcPr>
          <w:p w14:paraId="5C1D1C37" w14:textId="77777777" w:rsidR="00E8227B" w:rsidRPr="00774919" w:rsidRDefault="00E8227B" w:rsidP="005932E5">
            <w:pPr>
              <w:jc w:val="center"/>
            </w:pPr>
            <w:r w:rsidRPr="00774919">
              <w:t>5</w:t>
            </w:r>
          </w:p>
        </w:tc>
        <w:tc>
          <w:tcPr>
            <w:tcW w:w="1701" w:type="dxa"/>
            <w:tcBorders>
              <w:top w:val="nil"/>
              <w:bottom w:val="nil"/>
              <w:right w:val="single" w:sz="16" w:space="0" w:color="000000"/>
            </w:tcBorders>
            <w:shd w:val="clear" w:color="auto" w:fill="FFFFFF"/>
          </w:tcPr>
          <w:p w14:paraId="63D04AF0" w14:textId="14BC402A" w:rsidR="00E8227B" w:rsidRPr="00774919" w:rsidRDefault="00E8227B" w:rsidP="005932E5">
            <w:pPr>
              <w:jc w:val="center"/>
            </w:pPr>
            <w:r>
              <w:t>p=&lt;0.001</w:t>
            </w:r>
          </w:p>
        </w:tc>
      </w:tr>
      <w:tr w:rsidR="00E8227B" w:rsidRPr="00774919" w14:paraId="6CD07E4C" w14:textId="77777777" w:rsidTr="005932E5">
        <w:trPr>
          <w:cantSplit/>
        </w:trPr>
        <w:tc>
          <w:tcPr>
            <w:tcW w:w="1696" w:type="dxa"/>
            <w:tcBorders>
              <w:top w:val="nil"/>
              <w:left w:val="single" w:sz="16" w:space="0" w:color="000000"/>
              <w:bottom w:val="nil"/>
              <w:right w:val="nil"/>
            </w:tcBorders>
            <w:shd w:val="clear" w:color="auto" w:fill="FFFFFF"/>
          </w:tcPr>
          <w:p w14:paraId="163B225F" w14:textId="77777777" w:rsidR="00E8227B" w:rsidRPr="00774919" w:rsidRDefault="00E8227B" w:rsidP="005932E5">
            <w:r w:rsidRPr="00774919">
              <w:t>ICU Admission</w:t>
            </w:r>
          </w:p>
        </w:tc>
        <w:tc>
          <w:tcPr>
            <w:tcW w:w="856" w:type="dxa"/>
            <w:tcBorders>
              <w:top w:val="nil"/>
              <w:left w:val="nil"/>
              <w:bottom w:val="nil"/>
              <w:right w:val="single" w:sz="16" w:space="0" w:color="000000"/>
            </w:tcBorders>
            <w:shd w:val="clear" w:color="auto" w:fill="FFFFFF"/>
          </w:tcPr>
          <w:p w14:paraId="75A261F6" w14:textId="77777777" w:rsidR="00E8227B" w:rsidRPr="00774919" w:rsidRDefault="00E8227B" w:rsidP="005932E5"/>
        </w:tc>
        <w:tc>
          <w:tcPr>
            <w:tcW w:w="709" w:type="dxa"/>
            <w:tcBorders>
              <w:top w:val="nil"/>
              <w:left w:val="single" w:sz="16" w:space="0" w:color="000000"/>
              <w:bottom w:val="nil"/>
            </w:tcBorders>
            <w:shd w:val="clear" w:color="auto" w:fill="FFFFFF"/>
            <w:vAlign w:val="center"/>
          </w:tcPr>
          <w:p w14:paraId="71951732" w14:textId="77777777" w:rsidR="00E8227B" w:rsidRPr="00774919" w:rsidRDefault="00E8227B" w:rsidP="005932E5">
            <w:pPr>
              <w:jc w:val="center"/>
            </w:pPr>
            <w:r w:rsidRPr="00774919">
              <w:t>456</w:t>
            </w:r>
          </w:p>
        </w:tc>
        <w:tc>
          <w:tcPr>
            <w:tcW w:w="850" w:type="dxa"/>
            <w:tcBorders>
              <w:top w:val="nil"/>
              <w:bottom w:val="nil"/>
            </w:tcBorders>
            <w:shd w:val="clear" w:color="auto" w:fill="FFFFFF"/>
            <w:vAlign w:val="center"/>
          </w:tcPr>
          <w:p w14:paraId="7FA7CAAD" w14:textId="77777777" w:rsidR="00E8227B" w:rsidRPr="00774919" w:rsidRDefault="00E8227B" w:rsidP="005932E5">
            <w:pPr>
              <w:jc w:val="center"/>
            </w:pPr>
            <w:r w:rsidRPr="00774919">
              <w:t>22.1%</w:t>
            </w:r>
          </w:p>
        </w:tc>
        <w:tc>
          <w:tcPr>
            <w:tcW w:w="851" w:type="dxa"/>
            <w:tcBorders>
              <w:top w:val="nil"/>
              <w:bottom w:val="nil"/>
            </w:tcBorders>
            <w:shd w:val="clear" w:color="auto" w:fill="FFFFFF"/>
            <w:vAlign w:val="center"/>
          </w:tcPr>
          <w:p w14:paraId="6317563E" w14:textId="77777777" w:rsidR="00E8227B" w:rsidRPr="00774919" w:rsidRDefault="00E8227B" w:rsidP="005932E5">
            <w:pPr>
              <w:jc w:val="center"/>
            </w:pPr>
          </w:p>
        </w:tc>
        <w:tc>
          <w:tcPr>
            <w:tcW w:w="992" w:type="dxa"/>
            <w:tcBorders>
              <w:top w:val="nil"/>
              <w:bottom w:val="nil"/>
            </w:tcBorders>
            <w:shd w:val="clear" w:color="auto" w:fill="FFFFFF"/>
            <w:vAlign w:val="center"/>
          </w:tcPr>
          <w:p w14:paraId="11546B0F" w14:textId="77777777" w:rsidR="00E8227B" w:rsidRPr="00774919" w:rsidRDefault="00E8227B" w:rsidP="005932E5">
            <w:pPr>
              <w:jc w:val="center"/>
            </w:pPr>
            <w:r w:rsidRPr="00774919">
              <w:t>1757</w:t>
            </w:r>
          </w:p>
        </w:tc>
        <w:tc>
          <w:tcPr>
            <w:tcW w:w="850" w:type="dxa"/>
            <w:tcBorders>
              <w:top w:val="nil"/>
              <w:bottom w:val="nil"/>
            </w:tcBorders>
            <w:shd w:val="clear" w:color="auto" w:fill="FFFFFF"/>
            <w:vAlign w:val="center"/>
          </w:tcPr>
          <w:p w14:paraId="6E9BCC74" w14:textId="77777777" w:rsidR="00E8227B" w:rsidRPr="00774919" w:rsidRDefault="00E8227B" w:rsidP="005932E5">
            <w:pPr>
              <w:jc w:val="center"/>
            </w:pPr>
            <w:r w:rsidRPr="00774919">
              <w:t>3.0%</w:t>
            </w:r>
          </w:p>
        </w:tc>
        <w:tc>
          <w:tcPr>
            <w:tcW w:w="993" w:type="dxa"/>
            <w:tcBorders>
              <w:top w:val="nil"/>
              <w:bottom w:val="nil"/>
              <w:right w:val="single" w:sz="16" w:space="0" w:color="000000"/>
            </w:tcBorders>
            <w:shd w:val="clear" w:color="auto" w:fill="FFFFFF"/>
            <w:vAlign w:val="center"/>
          </w:tcPr>
          <w:p w14:paraId="69FF6C35" w14:textId="77777777" w:rsidR="00E8227B" w:rsidRPr="00774919" w:rsidRDefault="00E8227B" w:rsidP="005932E5">
            <w:pPr>
              <w:jc w:val="center"/>
            </w:pPr>
          </w:p>
        </w:tc>
        <w:tc>
          <w:tcPr>
            <w:tcW w:w="1701" w:type="dxa"/>
            <w:tcBorders>
              <w:top w:val="nil"/>
              <w:bottom w:val="nil"/>
              <w:right w:val="single" w:sz="16" w:space="0" w:color="000000"/>
            </w:tcBorders>
            <w:shd w:val="clear" w:color="auto" w:fill="FFFFFF"/>
          </w:tcPr>
          <w:p w14:paraId="06E72704" w14:textId="461F207A" w:rsidR="00E8227B" w:rsidRPr="00774919" w:rsidRDefault="00E8227B" w:rsidP="005932E5">
            <w:pPr>
              <w:jc w:val="center"/>
            </w:pPr>
            <w:r>
              <w:t>p=&lt;0.001</w:t>
            </w:r>
          </w:p>
        </w:tc>
      </w:tr>
      <w:tr w:rsidR="00E8227B" w:rsidRPr="00774919" w14:paraId="12449BFE" w14:textId="77777777" w:rsidTr="005932E5">
        <w:trPr>
          <w:cantSplit/>
        </w:trPr>
        <w:tc>
          <w:tcPr>
            <w:tcW w:w="1696" w:type="dxa"/>
            <w:tcBorders>
              <w:top w:val="nil"/>
              <w:left w:val="single" w:sz="18" w:space="0" w:color="000000"/>
              <w:bottom w:val="single" w:sz="12" w:space="0" w:color="000000"/>
              <w:right w:val="nil"/>
            </w:tcBorders>
            <w:shd w:val="clear" w:color="auto" w:fill="FFFFFF"/>
          </w:tcPr>
          <w:p w14:paraId="158A0C25" w14:textId="77777777" w:rsidR="00E8227B" w:rsidRPr="00774919" w:rsidRDefault="00E8227B" w:rsidP="005932E5">
            <w:r w:rsidRPr="00774919">
              <w:t>30 Day</w:t>
            </w:r>
            <w:r>
              <w:t xml:space="preserve"> Mortality</w:t>
            </w:r>
          </w:p>
        </w:tc>
        <w:tc>
          <w:tcPr>
            <w:tcW w:w="856" w:type="dxa"/>
            <w:tcBorders>
              <w:top w:val="nil"/>
              <w:left w:val="nil"/>
              <w:bottom w:val="single" w:sz="12" w:space="0" w:color="000000"/>
              <w:right w:val="single" w:sz="16" w:space="0" w:color="000000"/>
            </w:tcBorders>
            <w:shd w:val="clear" w:color="auto" w:fill="FFFFFF"/>
          </w:tcPr>
          <w:p w14:paraId="6C009585" w14:textId="77777777" w:rsidR="00E8227B" w:rsidRPr="00774919" w:rsidRDefault="00E8227B" w:rsidP="005932E5"/>
        </w:tc>
        <w:tc>
          <w:tcPr>
            <w:tcW w:w="709" w:type="dxa"/>
            <w:tcBorders>
              <w:top w:val="nil"/>
              <w:left w:val="single" w:sz="16" w:space="0" w:color="000000"/>
              <w:bottom w:val="single" w:sz="12" w:space="0" w:color="000000"/>
            </w:tcBorders>
            <w:shd w:val="clear" w:color="auto" w:fill="FFFFFF"/>
            <w:vAlign w:val="center"/>
          </w:tcPr>
          <w:p w14:paraId="6D75045A" w14:textId="77777777" w:rsidR="00E8227B" w:rsidRPr="00774919" w:rsidRDefault="00E8227B" w:rsidP="005932E5">
            <w:pPr>
              <w:jc w:val="center"/>
            </w:pPr>
            <w:r w:rsidRPr="00774919">
              <w:t>585</w:t>
            </w:r>
          </w:p>
        </w:tc>
        <w:tc>
          <w:tcPr>
            <w:tcW w:w="850" w:type="dxa"/>
            <w:tcBorders>
              <w:top w:val="nil"/>
              <w:bottom w:val="single" w:sz="12" w:space="0" w:color="000000"/>
            </w:tcBorders>
            <w:shd w:val="clear" w:color="auto" w:fill="FFFFFF"/>
            <w:vAlign w:val="center"/>
          </w:tcPr>
          <w:p w14:paraId="3D34E668" w14:textId="77777777" w:rsidR="00E8227B" w:rsidRPr="00774919" w:rsidRDefault="00E8227B" w:rsidP="005932E5">
            <w:pPr>
              <w:jc w:val="center"/>
            </w:pPr>
            <w:r w:rsidRPr="00774919">
              <w:t>28.4%</w:t>
            </w:r>
          </w:p>
        </w:tc>
        <w:tc>
          <w:tcPr>
            <w:tcW w:w="851" w:type="dxa"/>
            <w:tcBorders>
              <w:top w:val="nil"/>
              <w:bottom w:val="single" w:sz="12" w:space="0" w:color="000000"/>
            </w:tcBorders>
            <w:shd w:val="clear" w:color="auto" w:fill="FFFFFF"/>
            <w:vAlign w:val="center"/>
          </w:tcPr>
          <w:p w14:paraId="31780B69" w14:textId="77777777" w:rsidR="00E8227B" w:rsidRPr="00774919" w:rsidRDefault="00E8227B" w:rsidP="005932E5">
            <w:pPr>
              <w:jc w:val="center"/>
            </w:pPr>
          </w:p>
        </w:tc>
        <w:tc>
          <w:tcPr>
            <w:tcW w:w="992" w:type="dxa"/>
            <w:tcBorders>
              <w:top w:val="nil"/>
              <w:bottom w:val="single" w:sz="12" w:space="0" w:color="000000"/>
            </w:tcBorders>
            <w:shd w:val="clear" w:color="auto" w:fill="FFFFFF"/>
            <w:vAlign w:val="center"/>
          </w:tcPr>
          <w:p w14:paraId="655A76A3" w14:textId="77777777" w:rsidR="00E8227B" w:rsidRPr="00774919" w:rsidRDefault="00E8227B" w:rsidP="005932E5">
            <w:pPr>
              <w:jc w:val="center"/>
            </w:pPr>
            <w:r w:rsidRPr="00774919">
              <w:t>2784</w:t>
            </w:r>
          </w:p>
        </w:tc>
        <w:tc>
          <w:tcPr>
            <w:tcW w:w="850" w:type="dxa"/>
            <w:tcBorders>
              <w:top w:val="nil"/>
              <w:bottom w:val="single" w:sz="12" w:space="0" w:color="000000"/>
            </w:tcBorders>
            <w:shd w:val="clear" w:color="auto" w:fill="FFFFFF"/>
            <w:vAlign w:val="center"/>
          </w:tcPr>
          <w:p w14:paraId="5A862D98" w14:textId="77777777" w:rsidR="00E8227B" w:rsidRPr="00774919" w:rsidRDefault="00E8227B" w:rsidP="005932E5">
            <w:pPr>
              <w:jc w:val="center"/>
            </w:pPr>
            <w:r w:rsidRPr="00774919">
              <w:t>4.7%</w:t>
            </w:r>
          </w:p>
        </w:tc>
        <w:tc>
          <w:tcPr>
            <w:tcW w:w="993" w:type="dxa"/>
            <w:tcBorders>
              <w:top w:val="nil"/>
              <w:bottom w:val="single" w:sz="12" w:space="0" w:color="000000"/>
              <w:right w:val="single" w:sz="18" w:space="0" w:color="000000"/>
            </w:tcBorders>
            <w:shd w:val="clear" w:color="auto" w:fill="FFFFFF"/>
            <w:vAlign w:val="center"/>
          </w:tcPr>
          <w:p w14:paraId="68900D03" w14:textId="77777777" w:rsidR="00E8227B" w:rsidRPr="00774919" w:rsidRDefault="00E8227B" w:rsidP="005932E5">
            <w:pPr>
              <w:jc w:val="center"/>
            </w:pPr>
          </w:p>
        </w:tc>
        <w:tc>
          <w:tcPr>
            <w:tcW w:w="1701" w:type="dxa"/>
            <w:tcBorders>
              <w:top w:val="nil"/>
              <w:bottom w:val="single" w:sz="12" w:space="0" w:color="000000"/>
              <w:right w:val="single" w:sz="18" w:space="0" w:color="000000"/>
            </w:tcBorders>
            <w:shd w:val="clear" w:color="auto" w:fill="FFFFFF"/>
          </w:tcPr>
          <w:p w14:paraId="79502266" w14:textId="7DFFCABE" w:rsidR="00E8227B" w:rsidRPr="00774919" w:rsidRDefault="00E8227B" w:rsidP="005932E5">
            <w:pPr>
              <w:jc w:val="center"/>
            </w:pPr>
            <w:r>
              <w:t>p=&lt;0.001</w:t>
            </w:r>
          </w:p>
        </w:tc>
      </w:tr>
    </w:tbl>
    <w:p w14:paraId="6D211957" w14:textId="77777777" w:rsidR="00E8227B" w:rsidRPr="00774919" w:rsidRDefault="00E8227B" w:rsidP="00E8227B"/>
    <w:p w14:paraId="29D6160B" w14:textId="679EA0DD" w:rsidR="00E8227B" w:rsidRDefault="000A07CF" w:rsidP="00E8227B">
      <w:r>
        <w:t>Table 2</w:t>
      </w:r>
    </w:p>
    <w:p w14:paraId="15186C28" w14:textId="77777777" w:rsidR="00E8227B" w:rsidRPr="00774919" w:rsidRDefault="00E8227B" w:rsidP="00E8227B"/>
    <w:tbl>
      <w:tblPr>
        <w:tblW w:w="949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6"/>
        <w:gridCol w:w="856"/>
        <w:gridCol w:w="709"/>
        <w:gridCol w:w="850"/>
        <w:gridCol w:w="992"/>
        <w:gridCol w:w="851"/>
        <w:gridCol w:w="850"/>
        <w:gridCol w:w="993"/>
        <w:gridCol w:w="1701"/>
      </w:tblGrid>
      <w:tr w:rsidR="00E8227B" w:rsidRPr="00774919" w14:paraId="4D6D9953" w14:textId="77777777" w:rsidTr="00E8227B">
        <w:trPr>
          <w:cantSplit/>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14:paraId="64F9EAEF" w14:textId="77777777" w:rsidR="00E8227B" w:rsidRPr="00774919" w:rsidRDefault="00E8227B" w:rsidP="005932E5"/>
        </w:tc>
        <w:tc>
          <w:tcPr>
            <w:tcW w:w="5245" w:type="dxa"/>
            <w:gridSpan w:val="6"/>
            <w:tcBorders>
              <w:top w:val="single" w:sz="16" w:space="0" w:color="000000"/>
              <w:left w:val="single" w:sz="16" w:space="0" w:color="000000"/>
              <w:right w:val="single" w:sz="16" w:space="0" w:color="000000"/>
            </w:tcBorders>
            <w:shd w:val="clear" w:color="auto" w:fill="FFFFFF"/>
            <w:vAlign w:val="bottom"/>
          </w:tcPr>
          <w:p w14:paraId="62B6B9B3" w14:textId="77777777" w:rsidR="00E8227B" w:rsidRPr="00774919" w:rsidRDefault="00E8227B" w:rsidP="00E8227B">
            <w:pPr>
              <w:jc w:val="center"/>
            </w:pPr>
            <w:r w:rsidRPr="00774919">
              <w:t>Community acquired AKI and Community Acquired Infection</w:t>
            </w:r>
            <w:r>
              <w:t xml:space="preserve"> in Care Homes</w:t>
            </w:r>
          </w:p>
        </w:tc>
        <w:tc>
          <w:tcPr>
            <w:tcW w:w="1701" w:type="dxa"/>
            <w:tcBorders>
              <w:top w:val="single" w:sz="16" w:space="0" w:color="000000"/>
              <w:left w:val="single" w:sz="16" w:space="0" w:color="000000"/>
              <w:right w:val="single" w:sz="16" w:space="0" w:color="000000"/>
            </w:tcBorders>
            <w:shd w:val="clear" w:color="auto" w:fill="FFFFFF"/>
          </w:tcPr>
          <w:p w14:paraId="16FEF0EE" w14:textId="77777777" w:rsidR="00E8227B" w:rsidRPr="00774919" w:rsidRDefault="00E8227B" w:rsidP="00E8227B">
            <w:pPr>
              <w:jc w:val="center"/>
            </w:pPr>
            <w:r>
              <w:t>Significance</w:t>
            </w:r>
          </w:p>
        </w:tc>
      </w:tr>
      <w:tr w:rsidR="00E8227B" w:rsidRPr="00774919" w14:paraId="6795921E" w14:textId="77777777" w:rsidTr="00E8227B">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14:paraId="009FEE35" w14:textId="77777777" w:rsidR="00E8227B" w:rsidRPr="00774919" w:rsidRDefault="00E8227B" w:rsidP="005932E5"/>
        </w:tc>
        <w:tc>
          <w:tcPr>
            <w:tcW w:w="2551" w:type="dxa"/>
            <w:gridSpan w:val="3"/>
            <w:tcBorders>
              <w:left w:val="single" w:sz="16" w:space="0" w:color="000000"/>
            </w:tcBorders>
            <w:shd w:val="clear" w:color="auto" w:fill="FFFFFF"/>
            <w:vAlign w:val="bottom"/>
          </w:tcPr>
          <w:p w14:paraId="12820DB2" w14:textId="77777777" w:rsidR="00E8227B" w:rsidRPr="00774919" w:rsidRDefault="00E8227B" w:rsidP="005932E5">
            <w:pPr>
              <w:jc w:val="center"/>
            </w:pPr>
            <w:r w:rsidRPr="00774919">
              <w:t>Yes</w:t>
            </w:r>
          </w:p>
        </w:tc>
        <w:tc>
          <w:tcPr>
            <w:tcW w:w="2694" w:type="dxa"/>
            <w:gridSpan w:val="3"/>
            <w:tcBorders>
              <w:right w:val="single" w:sz="16" w:space="0" w:color="000000"/>
            </w:tcBorders>
            <w:shd w:val="clear" w:color="auto" w:fill="FFFFFF"/>
            <w:vAlign w:val="bottom"/>
          </w:tcPr>
          <w:p w14:paraId="2254201D" w14:textId="77777777" w:rsidR="00E8227B" w:rsidRPr="00774919" w:rsidRDefault="00E8227B" w:rsidP="005932E5">
            <w:pPr>
              <w:jc w:val="center"/>
            </w:pPr>
            <w:r w:rsidRPr="00774919">
              <w:t>No</w:t>
            </w:r>
          </w:p>
        </w:tc>
        <w:tc>
          <w:tcPr>
            <w:tcW w:w="1701" w:type="dxa"/>
            <w:tcBorders>
              <w:right w:val="single" w:sz="16" w:space="0" w:color="000000"/>
            </w:tcBorders>
            <w:shd w:val="clear" w:color="auto" w:fill="FFFFFF"/>
          </w:tcPr>
          <w:p w14:paraId="1060AB3A" w14:textId="77777777" w:rsidR="00E8227B" w:rsidRPr="00774919" w:rsidRDefault="00E8227B" w:rsidP="00E8227B">
            <w:pPr>
              <w:jc w:val="center"/>
            </w:pPr>
          </w:p>
        </w:tc>
      </w:tr>
      <w:tr w:rsidR="00E8227B" w:rsidRPr="00774919" w14:paraId="6B91B12A" w14:textId="77777777" w:rsidTr="00E8227B">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14:paraId="70137A60" w14:textId="77777777" w:rsidR="00E8227B" w:rsidRPr="00774919" w:rsidRDefault="00E8227B" w:rsidP="005932E5"/>
        </w:tc>
        <w:tc>
          <w:tcPr>
            <w:tcW w:w="709" w:type="dxa"/>
            <w:tcBorders>
              <w:left w:val="single" w:sz="16" w:space="0" w:color="000000"/>
              <w:bottom w:val="single" w:sz="16" w:space="0" w:color="000000"/>
            </w:tcBorders>
            <w:shd w:val="clear" w:color="auto" w:fill="FFFFFF"/>
            <w:vAlign w:val="bottom"/>
          </w:tcPr>
          <w:p w14:paraId="364AA591" w14:textId="77777777" w:rsidR="00E8227B" w:rsidRPr="00774919" w:rsidRDefault="00E8227B" w:rsidP="005932E5">
            <w:pPr>
              <w:jc w:val="center"/>
            </w:pPr>
            <w:r w:rsidRPr="00774919">
              <w:t>Count</w:t>
            </w:r>
          </w:p>
        </w:tc>
        <w:tc>
          <w:tcPr>
            <w:tcW w:w="850" w:type="dxa"/>
            <w:tcBorders>
              <w:bottom w:val="single" w:sz="16" w:space="0" w:color="000000"/>
            </w:tcBorders>
            <w:shd w:val="clear" w:color="auto" w:fill="FFFFFF"/>
            <w:vAlign w:val="bottom"/>
          </w:tcPr>
          <w:p w14:paraId="68BE8CB5" w14:textId="77777777" w:rsidR="00E8227B" w:rsidRPr="00774919" w:rsidRDefault="00E8227B" w:rsidP="005932E5">
            <w:pPr>
              <w:jc w:val="center"/>
            </w:pPr>
            <w:r w:rsidRPr="00774919">
              <w:t>%</w:t>
            </w:r>
          </w:p>
        </w:tc>
        <w:tc>
          <w:tcPr>
            <w:tcW w:w="992" w:type="dxa"/>
            <w:tcBorders>
              <w:bottom w:val="single" w:sz="16" w:space="0" w:color="000000"/>
            </w:tcBorders>
            <w:shd w:val="clear" w:color="auto" w:fill="FFFFFF"/>
            <w:vAlign w:val="bottom"/>
          </w:tcPr>
          <w:p w14:paraId="7128DE35" w14:textId="77777777" w:rsidR="00E8227B" w:rsidRPr="00774919" w:rsidRDefault="00E8227B" w:rsidP="005932E5">
            <w:pPr>
              <w:jc w:val="center"/>
            </w:pPr>
            <w:r w:rsidRPr="00774919">
              <w:t>Median</w:t>
            </w:r>
          </w:p>
        </w:tc>
        <w:tc>
          <w:tcPr>
            <w:tcW w:w="851" w:type="dxa"/>
            <w:tcBorders>
              <w:bottom w:val="single" w:sz="16" w:space="0" w:color="000000"/>
            </w:tcBorders>
            <w:shd w:val="clear" w:color="auto" w:fill="FFFFFF"/>
            <w:vAlign w:val="bottom"/>
          </w:tcPr>
          <w:p w14:paraId="47E18B05" w14:textId="77777777" w:rsidR="00E8227B" w:rsidRPr="00774919" w:rsidRDefault="00E8227B" w:rsidP="005932E5">
            <w:pPr>
              <w:jc w:val="center"/>
            </w:pPr>
            <w:r w:rsidRPr="00774919">
              <w:t>Count</w:t>
            </w:r>
          </w:p>
        </w:tc>
        <w:tc>
          <w:tcPr>
            <w:tcW w:w="850" w:type="dxa"/>
            <w:tcBorders>
              <w:bottom w:val="single" w:sz="16" w:space="0" w:color="000000"/>
            </w:tcBorders>
            <w:shd w:val="clear" w:color="auto" w:fill="FFFFFF"/>
            <w:vAlign w:val="bottom"/>
          </w:tcPr>
          <w:p w14:paraId="329F0AB8" w14:textId="77777777" w:rsidR="00E8227B" w:rsidRPr="00774919" w:rsidRDefault="00E8227B" w:rsidP="005932E5">
            <w:pPr>
              <w:jc w:val="center"/>
            </w:pPr>
            <w:r w:rsidRPr="00774919">
              <w:t>%</w:t>
            </w:r>
          </w:p>
        </w:tc>
        <w:tc>
          <w:tcPr>
            <w:tcW w:w="993" w:type="dxa"/>
            <w:tcBorders>
              <w:bottom w:val="single" w:sz="16" w:space="0" w:color="000000"/>
              <w:right w:val="single" w:sz="16" w:space="0" w:color="000000"/>
            </w:tcBorders>
            <w:shd w:val="clear" w:color="auto" w:fill="FFFFFF"/>
            <w:vAlign w:val="bottom"/>
          </w:tcPr>
          <w:p w14:paraId="1A6B0EC3" w14:textId="77777777" w:rsidR="00E8227B" w:rsidRPr="00774919" w:rsidRDefault="00E8227B" w:rsidP="005932E5">
            <w:pPr>
              <w:jc w:val="center"/>
            </w:pPr>
            <w:r w:rsidRPr="00774919">
              <w:t>Median</w:t>
            </w:r>
          </w:p>
        </w:tc>
        <w:tc>
          <w:tcPr>
            <w:tcW w:w="1701" w:type="dxa"/>
            <w:tcBorders>
              <w:bottom w:val="single" w:sz="16" w:space="0" w:color="000000"/>
              <w:right w:val="single" w:sz="16" w:space="0" w:color="000000"/>
            </w:tcBorders>
            <w:shd w:val="clear" w:color="auto" w:fill="FFFFFF"/>
          </w:tcPr>
          <w:p w14:paraId="1822011F" w14:textId="77777777" w:rsidR="00E8227B" w:rsidRPr="00774919" w:rsidRDefault="00E8227B" w:rsidP="00E8227B">
            <w:pPr>
              <w:jc w:val="center"/>
            </w:pPr>
          </w:p>
        </w:tc>
      </w:tr>
      <w:tr w:rsidR="00E8227B" w:rsidRPr="00774919" w14:paraId="0F41ECC8" w14:textId="77777777" w:rsidTr="00E8227B">
        <w:trPr>
          <w:cantSplit/>
        </w:trPr>
        <w:tc>
          <w:tcPr>
            <w:tcW w:w="1696" w:type="dxa"/>
            <w:vMerge w:val="restart"/>
            <w:tcBorders>
              <w:top w:val="single" w:sz="16" w:space="0" w:color="000000"/>
              <w:left w:val="single" w:sz="16" w:space="0" w:color="000000"/>
              <w:bottom w:val="nil"/>
              <w:right w:val="nil"/>
            </w:tcBorders>
            <w:shd w:val="clear" w:color="auto" w:fill="FFFFFF"/>
          </w:tcPr>
          <w:p w14:paraId="4F468D38" w14:textId="77777777" w:rsidR="00E8227B" w:rsidRPr="00774919" w:rsidRDefault="00E8227B" w:rsidP="005932E5">
            <w:r w:rsidRPr="00774919">
              <w:t>Gender</w:t>
            </w:r>
          </w:p>
        </w:tc>
        <w:tc>
          <w:tcPr>
            <w:tcW w:w="856" w:type="dxa"/>
            <w:tcBorders>
              <w:top w:val="single" w:sz="16" w:space="0" w:color="000000"/>
              <w:left w:val="nil"/>
              <w:bottom w:val="nil"/>
              <w:right w:val="single" w:sz="16" w:space="0" w:color="000000"/>
            </w:tcBorders>
            <w:shd w:val="clear" w:color="auto" w:fill="FFFFFF"/>
          </w:tcPr>
          <w:p w14:paraId="60A48C03" w14:textId="77777777" w:rsidR="00E8227B" w:rsidRPr="00774919" w:rsidRDefault="00E8227B" w:rsidP="005932E5">
            <w:pPr>
              <w:jc w:val="center"/>
            </w:pPr>
            <w:r w:rsidRPr="00774919">
              <w:t>Male</w:t>
            </w:r>
          </w:p>
        </w:tc>
        <w:tc>
          <w:tcPr>
            <w:tcW w:w="709" w:type="dxa"/>
            <w:tcBorders>
              <w:top w:val="single" w:sz="16" w:space="0" w:color="000000"/>
              <w:left w:val="single" w:sz="16" w:space="0" w:color="000000"/>
              <w:bottom w:val="nil"/>
            </w:tcBorders>
            <w:shd w:val="clear" w:color="auto" w:fill="FFFFFF"/>
            <w:vAlign w:val="center"/>
          </w:tcPr>
          <w:p w14:paraId="239C33CC" w14:textId="77777777" w:rsidR="00E8227B" w:rsidRPr="00774919" w:rsidRDefault="00E8227B" w:rsidP="005932E5">
            <w:pPr>
              <w:jc w:val="center"/>
            </w:pPr>
            <w:r w:rsidRPr="00774919">
              <w:t>109</w:t>
            </w:r>
          </w:p>
        </w:tc>
        <w:tc>
          <w:tcPr>
            <w:tcW w:w="850" w:type="dxa"/>
            <w:tcBorders>
              <w:top w:val="single" w:sz="16" w:space="0" w:color="000000"/>
              <w:bottom w:val="nil"/>
            </w:tcBorders>
            <w:shd w:val="clear" w:color="auto" w:fill="FFFFFF"/>
            <w:vAlign w:val="center"/>
          </w:tcPr>
          <w:p w14:paraId="3A7BD162" w14:textId="77777777" w:rsidR="00E8227B" w:rsidRPr="00774919" w:rsidRDefault="00E8227B" w:rsidP="005932E5">
            <w:pPr>
              <w:jc w:val="center"/>
            </w:pPr>
            <w:r w:rsidRPr="00774919">
              <w:t>42.2%</w:t>
            </w:r>
          </w:p>
        </w:tc>
        <w:tc>
          <w:tcPr>
            <w:tcW w:w="992" w:type="dxa"/>
            <w:tcBorders>
              <w:top w:val="single" w:sz="16" w:space="0" w:color="000000"/>
              <w:bottom w:val="nil"/>
            </w:tcBorders>
            <w:shd w:val="clear" w:color="auto" w:fill="FFFFFF"/>
            <w:vAlign w:val="center"/>
          </w:tcPr>
          <w:p w14:paraId="3B1C5FE3" w14:textId="77777777" w:rsidR="00E8227B" w:rsidRPr="00774919" w:rsidRDefault="00E8227B" w:rsidP="005932E5">
            <w:pPr>
              <w:jc w:val="center"/>
            </w:pPr>
          </w:p>
        </w:tc>
        <w:tc>
          <w:tcPr>
            <w:tcW w:w="851" w:type="dxa"/>
            <w:tcBorders>
              <w:top w:val="single" w:sz="16" w:space="0" w:color="000000"/>
              <w:bottom w:val="nil"/>
            </w:tcBorders>
            <w:shd w:val="clear" w:color="auto" w:fill="FFFFFF"/>
            <w:vAlign w:val="center"/>
          </w:tcPr>
          <w:p w14:paraId="4A9765A6" w14:textId="77777777" w:rsidR="00E8227B" w:rsidRPr="00774919" w:rsidRDefault="00E8227B" w:rsidP="005932E5">
            <w:pPr>
              <w:jc w:val="center"/>
            </w:pPr>
            <w:r w:rsidRPr="00774919">
              <w:t>871</w:t>
            </w:r>
          </w:p>
        </w:tc>
        <w:tc>
          <w:tcPr>
            <w:tcW w:w="850" w:type="dxa"/>
            <w:tcBorders>
              <w:top w:val="single" w:sz="16" w:space="0" w:color="000000"/>
              <w:bottom w:val="nil"/>
            </w:tcBorders>
            <w:shd w:val="clear" w:color="auto" w:fill="FFFFFF"/>
            <w:vAlign w:val="center"/>
          </w:tcPr>
          <w:p w14:paraId="2D237782" w14:textId="77777777" w:rsidR="00E8227B" w:rsidRPr="00774919" w:rsidRDefault="00E8227B" w:rsidP="005932E5">
            <w:pPr>
              <w:jc w:val="center"/>
            </w:pPr>
            <w:r w:rsidRPr="00774919">
              <w:t>37.5%</w:t>
            </w:r>
          </w:p>
        </w:tc>
        <w:tc>
          <w:tcPr>
            <w:tcW w:w="993" w:type="dxa"/>
            <w:tcBorders>
              <w:top w:val="single" w:sz="16" w:space="0" w:color="000000"/>
              <w:bottom w:val="nil"/>
              <w:right w:val="single" w:sz="16" w:space="0" w:color="000000"/>
            </w:tcBorders>
            <w:shd w:val="clear" w:color="auto" w:fill="FFFFFF"/>
            <w:vAlign w:val="center"/>
          </w:tcPr>
          <w:p w14:paraId="44AC86C6" w14:textId="77777777" w:rsidR="00E8227B" w:rsidRPr="00774919" w:rsidRDefault="00E8227B" w:rsidP="005932E5">
            <w:pPr>
              <w:jc w:val="center"/>
            </w:pPr>
          </w:p>
        </w:tc>
        <w:tc>
          <w:tcPr>
            <w:tcW w:w="1701" w:type="dxa"/>
            <w:tcBorders>
              <w:top w:val="single" w:sz="16" w:space="0" w:color="000000"/>
              <w:bottom w:val="nil"/>
              <w:right w:val="single" w:sz="16" w:space="0" w:color="000000"/>
            </w:tcBorders>
            <w:shd w:val="clear" w:color="auto" w:fill="FFFFFF"/>
          </w:tcPr>
          <w:p w14:paraId="29BB3DE3" w14:textId="77777777" w:rsidR="00E8227B" w:rsidRPr="00774919" w:rsidRDefault="00E8227B" w:rsidP="00E8227B">
            <w:pPr>
              <w:jc w:val="center"/>
            </w:pPr>
          </w:p>
        </w:tc>
      </w:tr>
      <w:tr w:rsidR="00E8227B" w:rsidRPr="00774919" w14:paraId="7A05EC93" w14:textId="77777777" w:rsidTr="00E8227B">
        <w:trPr>
          <w:cantSplit/>
        </w:trPr>
        <w:tc>
          <w:tcPr>
            <w:tcW w:w="1696" w:type="dxa"/>
            <w:vMerge/>
            <w:tcBorders>
              <w:top w:val="single" w:sz="16" w:space="0" w:color="000000"/>
              <w:left w:val="single" w:sz="16" w:space="0" w:color="000000"/>
              <w:bottom w:val="nil"/>
              <w:right w:val="nil"/>
            </w:tcBorders>
            <w:shd w:val="clear" w:color="auto" w:fill="FFFFFF"/>
          </w:tcPr>
          <w:p w14:paraId="6F257AC9" w14:textId="77777777" w:rsidR="00E8227B" w:rsidRPr="00774919" w:rsidRDefault="00E8227B" w:rsidP="005932E5"/>
        </w:tc>
        <w:tc>
          <w:tcPr>
            <w:tcW w:w="856" w:type="dxa"/>
            <w:tcBorders>
              <w:top w:val="nil"/>
              <w:left w:val="nil"/>
              <w:bottom w:val="nil"/>
              <w:right w:val="single" w:sz="16" w:space="0" w:color="000000"/>
            </w:tcBorders>
            <w:shd w:val="clear" w:color="auto" w:fill="FFFFFF"/>
          </w:tcPr>
          <w:p w14:paraId="0BE471D3" w14:textId="77777777" w:rsidR="00E8227B" w:rsidRPr="00774919" w:rsidRDefault="00E8227B" w:rsidP="005932E5">
            <w:pPr>
              <w:jc w:val="center"/>
            </w:pPr>
            <w:r w:rsidRPr="00774919">
              <w:t>Female</w:t>
            </w:r>
          </w:p>
        </w:tc>
        <w:tc>
          <w:tcPr>
            <w:tcW w:w="709" w:type="dxa"/>
            <w:tcBorders>
              <w:top w:val="nil"/>
              <w:left w:val="single" w:sz="16" w:space="0" w:color="000000"/>
              <w:bottom w:val="nil"/>
            </w:tcBorders>
            <w:shd w:val="clear" w:color="auto" w:fill="FFFFFF"/>
            <w:vAlign w:val="center"/>
          </w:tcPr>
          <w:p w14:paraId="55EF686B" w14:textId="77777777" w:rsidR="00E8227B" w:rsidRPr="00774919" w:rsidRDefault="00E8227B" w:rsidP="005932E5">
            <w:pPr>
              <w:jc w:val="center"/>
            </w:pPr>
            <w:r w:rsidRPr="00774919">
              <w:t>149</w:t>
            </w:r>
          </w:p>
        </w:tc>
        <w:tc>
          <w:tcPr>
            <w:tcW w:w="850" w:type="dxa"/>
            <w:tcBorders>
              <w:top w:val="nil"/>
              <w:bottom w:val="nil"/>
            </w:tcBorders>
            <w:shd w:val="clear" w:color="auto" w:fill="FFFFFF"/>
            <w:vAlign w:val="center"/>
          </w:tcPr>
          <w:p w14:paraId="5C85B69F" w14:textId="77777777" w:rsidR="00E8227B" w:rsidRPr="00774919" w:rsidRDefault="00E8227B" w:rsidP="005932E5">
            <w:pPr>
              <w:jc w:val="center"/>
            </w:pPr>
            <w:r w:rsidRPr="00774919">
              <w:t>57.8%</w:t>
            </w:r>
          </w:p>
        </w:tc>
        <w:tc>
          <w:tcPr>
            <w:tcW w:w="992" w:type="dxa"/>
            <w:tcBorders>
              <w:top w:val="nil"/>
              <w:bottom w:val="nil"/>
            </w:tcBorders>
            <w:shd w:val="clear" w:color="auto" w:fill="FFFFFF"/>
            <w:vAlign w:val="center"/>
          </w:tcPr>
          <w:p w14:paraId="10BBE53B" w14:textId="77777777" w:rsidR="00E8227B" w:rsidRPr="00774919" w:rsidRDefault="00E8227B" w:rsidP="005932E5">
            <w:pPr>
              <w:jc w:val="center"/>
            </w:pPr>
          </w:p>
        </w:tc>
        <w:tc>
          <w:tcPr>
            <w:tcW w:w="851" w:type="dxa"/>
            <w:tcBorders>
              <w:top w:val="nil"/>
              <w:bottom w:val="nil"/>
            </w:tcBorders>
            <w:shd w:val="clear" w:color="auto" w:fill="FFFFFF"/>
            <w:vAlign w:val="center"/>
          </w:tcPr>
          <w:p w14:paraId="1355B864" w14:textId="77777777" w:rsidR="00E8227B" w:rsidRPr="00774919" w:rsidRDefault="00E8227B" w:rsidP="005932E5">
            <w:pPr>
              <w:jc w:val="center"/>
            </w:pPr>
            <w:r w:rsidRPr="00774919">
              <w:t>1451</w:t>
            </w:r>
          </w:p>
        </w:tc>
        <w:tc>
          <w:tcPr>
            <w:tcW w:w="850" w:type="dxa"/>
            <w:tcBorders>
              <w:top w:val="nil"/>
              <w:bottom w:val="nil"/>
            </w:tcBorders>
            <w:shd w:val="clear" w:color="auto" w:fill="FFFFFF"/>
            <w:vAlign w:val="center"/>
          </w:tcPr>
          <w:p w14:paraId="5A8F9165" w14:textId="77777777" w:rsidR="00E8227B" w:rsidRPr="00774919" w:rsidRDefault="00E8227B" w:rsidP="005932E5">
            <w:pPr>
              <w:jc w:val="center"/>
            </w:pPr>
            <w:r w:rsidRPr="00774919">
              <w:t>62.5%</w:t>
            </w:r>
          </w:p>
        </w:tc>
        <w:tc>
          <w:tcPr>
            <w:tcW w:w="993" w:type="dxa"/>
            <w:tcBorders>
              <w:top w:val="nil"/>
              <w:bottom w:val="nil"/>
              <w:right w:val="single" w:sz="16" w:space="0" w:color="000000"/>
            </w:tcBorders>
            <w:shd w:val="clear" w:color="auto" w:fill="FFFFFF"/>
            <w:vAlign w:val="center"/>
          </w:tcPr>
          <w:p w14:paraId="50C9AAF4" w14:textId="77777777" w:rsidR="00E8227B" w:rsidRPr="00774919" w:rsidRDefault="00E8227B" w:rsidP="005932E5">
            <w:pPr>
              <w:jc w:val="center"/>
            </w:pPr>
          </w:p>
        </w:tc>
        <w:tc>
          <w:tcPr>
            <w:tcW w:w="1701" w:type="dxa"/>
            <w:tcBorders>
              <w:top w:val="nil"/>
              <w:bottom w:val="nil"/>
              <w:right w:val="single" w:sz="16" w:space="0" w:color="000000"/>
            </w:tcBorders>
            <w:shd w:val="clear" w:color="auto" w:fill="FFFFFF"/>
          </w:tcPr>
          <w:p w14:paraId="63B0359E" w14:textId="7B073E20" w:rsidR="00E8227B" w:rsidRPr="00774919" w:rsidRDefault="00E8227B" w:rsidP="00E8227B">
            <w:pPr>
              <w:jc w:val="center"/>
            </w:pPr>
            <w:r>
              <w:t>p=0.137</w:t>
            </w:r>
          </w:p>
        </w:tc>
      </w:tr>
      <w:tr w:rsidR="00E8227B" w:rsidRPr="00774919" w14:paraId="611947EB" w14:textId="77777777" w:rsidTr="00E8227B">
        <w:trPr>
          <w:cantSplit/>
        </w:trPr>
        <w:tc>
          <w:tcPr>
            <w:tcW w:w="2552" w:type="dxa"/>
            <w:gridSpan w:val="2"/>
            <w:tcBorders>
              <w:top w:val="nil"/>
              <w:left w:val="single" w:sz="16" w:space="0" w:color="000000"/>
              <w:bottom w:val="nil"/>
              <w:right w:val="nil"/>
            </w:tcBorders>
            <w:shd w:val="clear" w:color="auto" w:fill="FFFFFF"/>
          </w:tcPr>
          <w:p w14:paraId="5051BF1C" w14:textId="77777777" w:rsidR="00E8227B" w:rsidRPr="00774919" w:rsidRDefault="00E8227B" w:rsidP="005932E5">
            <w:r w:rsidRPr="00774919">
              <w:t xml:space="preserve">Age </w:t>
            </w:r>
          </w:p>
        </w:tc>
        <w:tc>
          <w:tcPr>
            <w:tcW w:w="709" w:type="dxa"/>
            <w:tcBorders>
              <w:top w:val="nil"/>
              <w:left w:val="single" w:sz="16" w:space="0" w:color="000000"/>
              <w:bottom w:val="nil"/>
            </w:tcBorders>
            <w:shd w:val="clear" w:color="auto" w:fill="FFFFFF"/>
            <w:vAlign w:val="center"/>
          </w:tcPr>
          <w:p w14:paraId="6B1D6AD0" w14:textId="77777777" w:rsidR="00E8227B" w:rsidRPr="00774919" w:rsidRDefault="00E8227B" w:rsidP="005932E5">
            <w:pPr>
              <w:jc w:val="center"/>
            </w:pPr>
          </w:p>
        </w:tc>
        <w:tc>
          <w:tcPr>
            <w:tcW w:w="850" w:type="dxa"/>
            <w:tcBorders>
              <w:top w:val="nil"/>
              <w:bottom w:val="nil"/>
            </w:tcBorders>
            <w:shd w:val="clear" w:color="auto" w:fill="FFFFFF"/>
            <w:vAlign w:val="center"/>
          </w:tcPr>
          <w:p w14:paraId="62979F01" w14:textId="77777777" w:rsidR="00E8227B" w:rsidRPr="00774919" w:rsidRDefault="00E8227B" w:rsidP="005932E5">
            <w:pPr>
              <w:jc w:val="center"/>
            </w:pPr>
          </w:p>
        </w:tc>
        <w:tc>
          <w:tcPr>
            <w:tcW w:w="992" w:type="dxa"/>
            <w:tcBorders>
              <w:top w:val="nil"/>
              <w:bottom w:val="nil"/>
            </w:tcBorders>
            <w:shd w:val="clear" w:color="auto" w:fill="FFFFFF"/>
            <w:vAlign w:val="center"/>
          </w:tcPr>
          <w:p w14:paraId="6DBBC380" w14:textId="77777777" w:rsidR="00E8227B" w:rsidRPr="00774919" w:rsidRDefault="00E8227B" w:rsidP="005932E5">
            <w:pPr>
              <w:jc w:val="center"/>
            </w:pPr>
            <w:r w:rsidRPr="00774919">
              <w:t>85.0</w:t>
            </w:r>
          </w:p>
        </w:tc>
        <w:tc>
          <w:tcPr>
            <w:tcW w:w="851" w:type="dxa"/>
            <w:tcBorders>
              <w:top w:val="nil"/>
              <w:bottom w:val="nil"/>
            </w:tcBorders>
            <w:shd w:val="clear" w:color="auto" w:fill="FFFFFF"/>
            <w:vAlign w:val="center"/>
          </w:tcPr>
          <w:p w14:paraId="5747F30B" w14:textId="77777777" w:rsidR="00E8227B" w:rsidRPr="00774919" w:rsidRDefault="00E8227B" w:rsidP="005932E5">
            <w:pPr>
              <w:jc w:val="center"/>
            </w:pPr>
          </w:p>
        </w:tc>
        <w:tc>
          <w:tcPr>
            <w:tcW w:w="850" w:type="dxa"/>
            <w:tcBorders>
              <w:top w:val="nil"/>
              <w:bottom w:val="nil"/>
            </w:tcBorders>
            <w:shd w:val="clear" w:color="auto" w:fill="FFFFFF"/>
            <w:vAlign w:val="center"/>
          </w:tcPr>
          <w:p w14:paraId="7E43DC69" w14:textId="77777777" w:rsidR="00E8227B" w:rsidRPr="00774919" w:rsidRDefault="00E8227B" w:rsidP="005932E5">
            <w:pPr>
              <w:jc w:val="center"/>
            </w:pPr>
          </w:p>
        </w:tc>
        <w:tc>
          <w:tcPr>
            <w:tcW w:w="993" w:type="dxa"/>
            <w:tcBorders>
              <w:top w:val="nil"/>
              <w:bottom w:val="nil"/>
              <w:right w:val="single" w:sz="16" w:space="0" w:color="000000"/>
            </w:tcBorders>
            <w:shd w:val="clear" w:color="auto" w:fill="FFFFFF"/>
            <w:vAlign w:val="center"/>
          </w:tcPr>
          <w:p w14:paraId="0C6BAC2C" w14:textId="77777777" w:rsidR="00E8227B" w:rsidRPr="00774919" w:rsidRDefault="00E8227B" w:rsidP="005932E5">
            <w:pPr>
              <w:jc w:val="center"/>
            </w:pPr>
            <w:r w:rsidRPr="00774919">
              <w:t>85.0</w:t>
            </w:r>
          </w:p>
        </w:tc>
        <w:tc>
          <w:tcPr>
            <w:tcW w:w="1701" w:type="dxa"/>
            <w:tcBorders>
              <w:top w:val="nil"/>
              <w:bottom w:val="nil"/>
              <w:right w:val="single" w:sz="16" w:space="0" w:color="000000"/>
            </w:tcBorders>
            <w:shd w:val="clear" w:color="auto" w:fill="FFFFFF"/>
          </w:tcPr>
          <w:p w14:paraId="19B8C990" w14:textId="45698426" w:rsidR="00E8227B" w:rsidRPr="00774919" w:rsidRDefault="00E8227B" w:rsidP="00E8227B">
            <w:pPr>
              <w:jc w:val="center"/>
            </w:pPr>
            <w:r>
              <w:t>p=0.434</w:t>
            </w:r>
          </w:p>
        </w:tc>
      </w:tr>
      <w:tr w:rsidR="00E8227B" w:rsidRPr="00774919" w14:paraId="0C03C678" w14:textId="77777777" w:rsidTr="00E8227B">
        <w:trPr>
          <w:cantSplit/>
        </w:trPr>
        <w:tc>
          <w:tcPr>
            <w:tcW w:w="2552" w:type="dxa"/>
            <w:gridSpan w:val="2"/>
            <w:tcBorders>
              <w:top w:val="nil"/>
              <w:left w:val="single" w:sz="16" w:space="0" w:color="000000"/>
              <w:bottom w:val="nil"/>
              <w:right w:val="nil"/>
            </w:tcBorders>
            <w:shd w:val="clear" w:color="auto" w:fill="FFFFFF"/>
          </w:tcPr>
          <w:p w14:paraId="21E8DB77" w14:textId="77777777" w:rsidR="00E8227B" w:rsidRPr="00774919" w:rsidRDefault="00E8227B" w:rsidP="005932E5">
            <w:r w:rsidRPr="00774919">
              <w:t>L</w:t>
            </w:r>
            <w:r>
              <w:t xml:space="preserve">ength of Stay </w:t>
            </w:r>
            <w:r w:rsidRPr="00774919">
              <w:t>(days)</w:t>
            </w:r>
          </w:p>
        </w:tc>
        <w:tc>
          <w:tcPr>
            <w:tcW w:w="709" w:type="dxa"/>
            <w:tcBorders>
              <w:top w:val="nil"/>
              <w:left w:val="single" w:sz="16" w:space="0" w:color="000000"/>
              <w:bottom w:val="nil"/>
            </w:tcBorders>
            <w:shd w:val="clear" w:color="auto" w:fill="FFFFFF"/>
            <w:vAlign w:val="center"/>
          </w:tcPr>
          <w:p w14:paraId="7D381694" w14:textId="77777777" w:rsidR="00E8227B" w:rsidRPr="00774919" w:rsidRDefault="00E8227B" w:rsidP="005932E5">
            <w:pPr>
              <w:jc w:val="center"/>
            </w:pPr>
          </w:p>
        </w:tc>
        <w:tc>
          <w:tcPr>
            <w:tcW w:w="850" w:type="dxa"/>
            <w:tcBorders>
              <w:top w:val="nil"/>
              <w:bottom w:val="nil"/>
            </w:tcBorders>
            <w:shd w:val="clear" w:color="auto" w:fill="FFFFFF"/>
            <w:vAlign w:val="center"/>
          </w:tcPr>
          <w:p w14:paraId="6BC72E5D" w14:textId="77777777" w:rsidR="00E8227B" w:rsidRPr="00774919" w:rsidRDefault="00E8227B" w:rsidP="005932E5">
            <w:pPr>
              <w:jc w:val="center"/>
            </w:pPr>
          </w:p>
        </w:tc>
        <w:tc>
          <w:tcPr>
            <w:tcW w:w="992" w:type="dxa"/>
            <w:tcBorders>
              <w:top w:val="nil"/>
              <w:bottom w:val="nil"/>
            </w:tcBorders>
            <w:shd w:val="clear" w:color="auto" w:fill="FFFFFF"/>
            <w:vAlign w:val="center"/>
          </w:tcPr>
          <w:p w14:paraId="534A96B4" w14:textId="77777777" w:rsidR="00E8227B" w:rsidRPr="00774919" w:rsidRDefault="00E8227B" w:rsidP="005932E5">
            <w:pPr>
              <w:jc w:val="center"/>
            </w:pPr>
            <w:r w:rsidRPr="00774919">
              <w:t>7</w:t>
            </w:r>
          </w:p>
        </w:tc>
        <w:tc>
          <w:tcPr>
            <w:tcW w:w="851" w:type="dxa"/>
            <w:tcBorders>
              <w:top w:val="nil"/>
              <w:bottom w:val="nil"/>
            </w:tcBorders>
            <w:shd w:val="clear" w:color="auto" w:fill="FFFFFF"/>
            <w:vAlign w:val="center"/>
          </w:tcPr>
          <w:p w14:paraId="6F844709" w14:textId="77777777" w:rsidR="00E8227B" w:rsidRPr="00774919" w:rsidRDefault="00E8227B" w:rsidP="005932E5">
            <w:pPr>
              <w:jc w:val="center"/>
            </w:pPr>
          </w:p>
        </w:tc>
        <w:tc>
          <w:tcPr>
            <w:tcW w:w="850" w:type="dxa"/>
            <w:tcBorders>
              <w:top w:val="nil"/>
              <w:bottom w:val="nil"/>
            </w:tcBorders>
            <w:shd w:val="clear" w:color="auto" w:fill="FFFFFF"/>
            <w:vAlign w:val="center"/>
          </w:tcPr>
          <w:p w14:paraId="40A627B2" w14:textId="77777777" w:rsidR="00E8227B" w:rsidRPr="00774919" w:rsidRDefault="00E8227B" w:rsidP="005932E5">
            <w:pPr>
              <w:jc w:val="center"/>
            </w:pPr>
          </w:p>
        </w:tc>
        <w:tc>
          <w:tcPr>
            <w:tcW w:w="993" w:type="dxa"/>
            <w:tcBorders>
              <w:top w:val="nil"/>
              <w:bottom w:val="nil"/>
              <w:right w:val="single" w:sz="16" w:space="0" w:color="000000"/>
            </w:tcBorders>
            <w:shd w:val="clear" w:color="auto" w:fill="FFFFFF"/>
            <w:vAlign w:val="center"/>
          </w:tcPr>
          <w:p w14:paraId="414DA238" w14:textId="77777777" w:rsidR="00E8227B" w:rsidRPr="00774919" w:rsidRDefault="00E8227B" w:rsidP="005932E5">
            <w:pPr>
              <w:jc w:val="center"/>
            </w:pPr>
            <w:r w:rsidRPr="00774919">
              <w:t>3</w:t>
            </w:r>
          </w:p>
        </w:tc>
        <w:tc>
          <w:tcPr>
            <w:tcW w:w="1701" w:type="dxa"/>
            <w:tcBorders>
              <w:top w:val="nil"/>
              <w:bottom w:val="nil"/>
              <w:right w:val="single" w:sz="16" w:space="0" w:color="000000"/>
            </w:tcBorders>
            <w:shd w:val="clear" w:color="auto" w:fill="FFFFFF"/>
          </w:tcPr>
          <w:p w14:paraId="5A550DEB" w14:textId="1388D1D9" w:rsidR="00E8227B" w:rsidRPr="00774919" w:rsidRDefault="00E8227B" w:rsidP="00E8227B">
            <w:pPr>
              <w:jc w:val="center"/>
            </w:pPr>
            <w:r>
              <w:t>p=&lt;0.001</w:t>
            </w:r>
          </w:p>
        </w:tc>
      </w:tr>
      <w:tr w:rsidR="00E8227B" w:rsidRPr="00774919" w14:paraId="5B549AFC" w14:textId="77777777" w:rsidTr="00E8227B">
        <w:trPr>
          <w:cantSplit/>
        </w:trPr>
        <w:tc>
          <w:tcPr>
            <w:tcW w:w="1696" w:type="dxa"/>
            <w:tcBorders>
              <w:top w:val="nil"/>
              <w:left w:val="single" w:sz="16" w:space="0" w:color="000000"/>
              <w:bottom w:val="nil"/>
              <w:right w:val="nil"/>
            </w:tcBorders>
            <w:shd w:val="clear" w:color="auto" w:fill="FFFFFF"/>
          </w:tcPr>
          <w:p w14:paraId="07E191C2" w14:textId="77777777" w:rsidR="00E8227B" w:rsidRPr="00774919" w:rsidRDefault="00E8227B" w:rsidP="005932E5">
            <w:r w:rsidRPr="00774919">
              <w:lastRenderedPageBreak/>
              <w:t>ICU Admission</w:t>
            </w:r>
          </w:p>
        </w:tc>
        <w:tc>
          <w:tcPr>
            <w:tcW w:w="856" w:type="dxa"/>
            <w:tcBorders>
              <w:top w:val="nil"/>
              <w:left w:val="nil"/>
              <w:bottom w:val="nil"/>
              <w:right w:val="single" w:sz="16" w:space="0" w:color="000000"/>
            </w:tcBorders>
            <w:shd w:val="clear" w:color="auto" w:fill="FFFFFF"/>
          </w:tcPr>
          <w:p w14:paraId="73A180BC" w14:textId="77777777" w:rsidR="00E8227B" w:rsidRPr="00774919" w:rsidRDefault="00E8227B" w:rsidP="005932E5">
            <w:pPr>
              <w:jc w:val="center"/>
            </w:pPr>
          </w:p>
        </w:tc>
        <w:tc>
          <w:tcPr>
            <w:tcW w:w="709" w:type="dxa"/>
            <w:tcBorders>
              <w:top w:val="nil"/>
              <w:left w:val="single" w:sz="16" w:space="0" w:color="000000"/>
              <w:bottom w:val="nil"/>
            </w:tcBorders>
            <w:shd w:val="clear" w:color="auto" w:fill="FFFFFF"/>
            <w:vAlign w:val="center"/>
          </w:tcPr>
          <w:p w14:paraId="15D4B485" w14:textId="77777777" w:rsidR="00E8227B" w:rsidRPr="00774919" w:rsidRDefault="00E8227B" w:rsidP="005932E5">
            <w:pPr>
              <w:jc w:val="center"/>
            </w:pPr>
            <w:r w:rsidRPr="00774919">
              <w:t>23</w:t>
            </w:r>
          </w:p>
        </w:tc>
        <w:tc>
          <w:tcPr>
            <w:tcW w:w="850" w:type="dxa"/>
            <w:tcBorders>
              <w:top w:val="nil"/>
              <w:bottom w:val="nil"/>
            </w:tcBorders>
            <w:shd w:val="clear" w:color="auto" w:fill="FFFFFF"/>
            <w:vAlign w:val="center"/>
          </w:tcPr>
          <w:p w14:paraId="1C1E0E7D" w14:textId="77777777" w:rsidR="00E8227B" w:rsidRPr="00774919" w:rsidRDefault="00E8227B" w:rsidP="005932E5">
            <w:pPr>
              <w:jc w:val="center"/>
            </w:pPr>
            <w:r w:rsidRPr="00774919">
              <w:t>8.9%</w:t>
            </w:r>
          </w:p>
        </w:tc>
        <w:tc>
          <w:tcPr>
            <w:tcW w:w="992" w:type="dxa"/>
            <w:tcBorders>
              <w:top w:val="nil"/>
              <w:bottom w:val="nil"/>
            </w:tcBorders>
            <w:shd w:val="clear" w:color="auto" w:fill="FFFFFF"/>
            <w:vAlign w:val="center"/>
          </w:tcPr>
          <w:p w14:paraId="481E7F6A" w14:textId="77777777" w:rsidR="00E8227B" w:rsidRPr="00774919" w:rsidRDefault="00E8227B" w:rsidP="005932E5">
            <w:pPr>
              <w:jc w:val="center"/>
            </w:pPr>
          </w:p>
        </w:tc>
        <w:tc>
          <w:tcPr>
            <w:tcW w:w="851" w:type="dxa"/>
            <w:tcBorders>
              <w:top w:val="nil"/>
              <w:bottom w:val="nil"/>
            </w:tcBorders>
            <w:shd w:val="clear" w:color="auto" w:fill="FFFFFF"/>
            <w:vAlign w:val="center"/>
          </w:tcPr>
          <w:p w14:paraId="550AF394" w14:textId="77777777" w:rsidR="00E8227B" w:rsidRPr="00774919" w:rsidRDefault="00E8227B" w:rsidP="005932E5">
            <w:pPr>
              <w:jc w:val="center"/>
            </w:pPr>
            <w:r w:rsidRPr="00774919">
              <w:t>50</w:t>
            </w:r>
          </w:p>
        </w:tc>
        <w:tc>
          <w:tcPr>
            <w:tcW w:w="850" w:type="dxa"/>
            <w:tcBorders>
              <w:top w:val="nil"/>
              <w:bottom w:val="nil"/>
            </w:tcBorders>
            <w:shd w:val="clear" w:color="auto" w:fill="FFFFFF"/>
            <w:vAlign w:val="center"/>
          </w:tcPr>
          <w:p w14:paraId="202F4817" w14:textId="77777777" w:rsidR="00E8227B" w:rsidRPr="00774919" w:rsidRDefault="00E8227B" w:rsidP="005932E5">
            <w:pPr>
              <w:jc w:val="center"/>
            </w:pPr>
            <w:r w:rsidRPr="00774919">
              <w:t>2.2%</w:t>
            </w:r>
          </w:p>
        </w:tc>
        <w:tc>
          <w:tcPr>
            <w:tcW w:w="993" w:type="dxa"/>
            <w:tcBorders>
              <w:top w:val="nil"/>
              <w:bottom w:val="nil"/>
              <w:right w:val="single" w:sz="16" w:space="0" w:color="000000"/>
            </w:tcBorders>
            <w:shd w:val="clear" w:color="auto" w:fill="FFFFFF"/>
            <w:vAlign w:val="center"/>
          </w:tcPr>
          <w:p w14:paraId="50ED4D3B" w14:textId="77777777" w:rsidR="00E8227B" w:rsidRPr="00774919" w:rsidRDefault="00E8227B" w:rsidP="005932E5">
            <w:pPr>
              <w:jc w:val="center"/>
            </w:pPr>
          </w:p>
        </w:tc>
        <w:tc>
          <w:tcPr>
            <w:tcW w:w="1701" w:type="dxa"/>
            <w:tcBorders>
              <w:top w:val="nil"/>
              <w:bottom w:val="nil"/>
              <w:right w:val="single" w:sz="16" w:space="0" w:color="000000"/>
            </w:tcBorders>
            <w:shd w:val="clear" w:color="auto" w:fill="FFFFFF"/>
          </w:tcPr>
          <w:p w14:paraId="3AB8B716" w14:textId="7C71AC9F" w:rsidR="00E8227B" w:rsidRPr="00774919" w:rsidRDefault="00E8227B" w:rsidP="00E8227B">
            <w:pPr>
              <w:jc w:val="center"/>
            </w:pPr>
            <w:r>
              <w:t>p=&lt;0.001</w:t>
            </w:r>
          </w:p>
        </w:tc>
      </w:tr>
      <w:tr w:rsidR="00E8227B" w:rsidRPr="00774919" w14:paraId="76D652B8" w14:textId="77777777" w:rsidTr="00E8227B">
        <w:trPr>
          <w:cantSplit/>
        </w:trPr>
        <w:tc>
          <w:tcPr>
            <w:tcW w:w="1696" w:type="dxa"/>
            <w:tcBorders>
              <w:top w:val="nil"/>
              <w:left w:val="single" w:sz="18" w:space="0" w:color="000000"/>
              <w:bottom w:val="single" w:sz="12" w:space="0" w:color="000000"/>
              <w:right w:val="nil"/>
            </w:tcBorders>
            <w:shd w:val="clear" w:color="auto" w:fill="FFFFFF"/>
          </w:tcPr>
          <w:p w14:paraId="57CAA723" w14:textId="77777777" w:rsidR="00E8227B" w:rsidRPr="00774919" w:rsidRDefault="00E8227B" w:rsidP="005932E5">
            <w:r w:rsidRPr="00774919">
              <w:t>30 Day</w:t>
            </w:r>
            <w:r>
              <w:t xml:space="preserve"> Mortality</w:t>
            </w:r>
          </w:p>
        </w:tc>
        <w:tc>
          <w:tcPr>
            <w:tcW w:w="856" w:type="dxa"/>
            <w:tcBorders>
              <w:top w:val="nil"/>
              <w:left w:val="nil"/>
              <w:bottom w:val="single" w:sz="12" w:space="0" w:color="000000"/>
              <w:right w:val="single" w:sz="16" w:space="0" w:color="000000"/>
            </w:tcBorders>
            <w:shd w:val="clear" w:color="auto" w:fill="FFFFFF"/>
          </w:tcPr>
          <w:p w14:paraId="147AD1A5" w14:textId="77777777" w:rsidR="00E8227B" w:rsidRPr="00774919" w:rsidRDefault="00E8227B" w:rsidP="005932E5">
            <w:pPr>
              <w:jc w:val="center"/>
            </w:pPr>
          </w:p>
        </w:tc>
        <w:tc>
          <w:tcPr>
            <w:tcW w:w="709" w:type="dxa"/>
            <w:tcBorders>
              <w:top w:val="nil"/>
              <w:left w:val="single" w:sz="16" w:space="0" w:color="000000"/>
              <w:bottom w:val="single" w:sz="12" w:space="0" w:color="000000"/>
            </w:tcBorders>
            <w:shd w:val="clear" w:color="auto" w:fill="FFFFFF"/>
            <w:vAlign w:val="center"/>
          </w:tcPr>
          <w:p w14:paraId="46C957F2" w14:textId="77777777" w:rsidR="00E8227B" w:rsidRPr="00774919" w:rsidRDefault="00E8227B" w:rsidP="005932E5">
            <w:pPr>
              <w:jc w:val="center"/>
            </w:pPr>
            <w:r>
              <w:t>112</w:t>
            </w:r>
          </w:p>
        </w:tc>
        <w:tc>
          <w:tcPr>
            <w:tcW w:w="850" w:type="dxa"/>
            <w:tcBorders>
              <w:top w:val="nil"/>
              <w:bottom w:val="single" w:sz="12" w:space="0" w:color="000000"/>
            </w:tcBorders>
            <w:shd w:val="clear" w:color="auto" w:fill="FFFFFF"/>
            <w:vAlign w:val="center"/>
          </w:tcPr>
          <w:p w14:paraId="353FB0D0" w14:textId="77777777" w:rsidR="00E8227B" w:rsidRPr="00774919" w:rsidRDefault="00E8227B" w:rsidP="005932E5">
            <w:pPr>
              <w:jc w:val="center"/>
            </w:pPr>
            <w:r>
              <w:t>43.4%</w:t>
            </w:r>
          </w:p>
        </w:tc>
        <w:tc>
          <w:tcPr>
            <w:tcW w:w="992" w:type="dxa"/>
            <w:tcBorders>
              <w:top w:val="nil"/>
              <w:bottom w:val="single" w:sz="12" w:space="0" w:color="000000"/>
            </w:tcBorders>
            <w:shd w:val="clear" w:color="auto" w:fill="FFFFFF"/>
            <w:vAlign w:val="center"/>
          </w:tcPr>
          <w:p w14:paraId="676EE37E" w14:textId="77777777" w:rsidR="00E8227B" w:rsidRPr="00774919" w:rsidRDefault="00E8227B" w:rsidP="005932E5">
            <w:pPr>
              <w:jc w:val="center"/>
            </w:pPr>
          </w:p>
        </w:tc>
        <w:tc>
          <w:tcPr>
            <w:tcW w:w="851" w:type="dxa"/>
            <w:tcBorders>
              <w:top w:val="nil"/>
              <w:bottom w:val="single" w:sz="12" w:space="0" w:color="000000"/>
            </w:tcBorders>
            <w:shd w:val="clear" w:color="auto" w:fill="FFFFFF"/>
            <w:vAlign w:val="center"/>
          </w:tcPr>
          <w:p w14:paraId="241A4100" w14:textId="77777777" w:rsidR="00E8227B" w:rsidRPr="00774919" w:rsidRDefault="00E8227B" w:rsidP="005932E5">
            <w:pPr>
              <w:jc w:val="center"/>
            </w:pPr>
            <w:r>
              <w:t>416</w:t>
            </w:r>
          </w:p>
        </w:tc>
        <w:tc>
          <w:tcPr>
            <w:tcW w:w="850" w:type="dxa"/>
            <w:tcBorders>
              <w:top w:val="nil"/>
              <w:bottom w:val="single" w:sz="12" w:space="0" w:color="000000"/>
            </w:tcBorders>
            <w:shd w:val="clear" w:color="auto" w:fill="FFFFFF"/>
            <w:vAlign w:val="center"/>
          </w:tcPr>
          <w:p w14:paraId="1E3C69E1" w14:textId="77777777" w:rsidR="00E8227B" w:rsidRPr="00774919" w:rsidRDefault="00E8227B" w:rsidP="005932E5">
            <w:pPr>
              <w:jc w:val="center"/>
            </w:pPr>
            <w:r>
              <w:t>17.9%</w:t>
            </w:r>
          </w:p>
        </w:tc>
        <w:tc>
          <w:tcPr>
            <w:tcW w:w="993" w:type="dxa"/>
            <w:tcBorders>
              <w:top w:val="nil"/>
              <w:bottom w:val="single" w:sz="12" w:space="0" w:color="000000"/>
              <w:right w:val="single" w:sz="16" w:space="0" w:color="000000"/>
            </w:tcBorders>
            <w:shd w:val="clear" w:color="auto" w:fill="FFFFFF"/>
            <w:vAlign w:val="center"/>
          </w:tcPr>
          <w:p w14:paraId="0EB69E27" w14:textId="77777777" w:rsidR="00E8227B" w:rsidRPr="00774919" w:rsidRDefault="00E8227B" w:rsidP="005932E5">
            <w:pPr>
              <w:jc w:val="center"/>
            </w:pPr>
          </w:p>
        </w:tc>
        <w:tc>
          <w:tcPr>
            <w:tcW w:w="1701" w:type="dxa"/>
            <w:tcBorders>
              <w:top w:val="nil"/>
              <w:bottom w:val="single" w:sz="12" w:space="0" w:color="000000"/>
              <w:right w:val="single" w:sz="18" w:space="0" w:color="000000"/>
            </w:tcBorders>
            <w:shd w:val="clear" w:color="auto" w:fill="FFFFFF"/>
          </w:tcPr>
          <w:p w14:paraId="0EDE079A" w14:textId="63182B4D" w:rsidR="00E8227B" w:rsidRPr="00774919" w:rsidRDefault="00E8227B" w:rsidP="00E8227B">
            <w:pPr>
              <w:jc w:val="center"/>
            </w:pPr>
            <w:r>
              <w:t>p=&lt;0.001</w:t>
            </w:r>
          </w:p>
        </w:tc>
      </w:tr>
    </w:tbl>
    <w:p w14:paraId="17304A64" w14:textId="77777777" w:rsidR="00E8227B" w:rsidRPr="00774919" w:rsidRDefault="00E8227B" w:rsidP="00E8227B"/>
    <w:bookmarkEnd w:id="1"/>
    <w:p w14:paraId="32A2A762" w14:textId="77777777" w:rsidR="00E8227B" w:rsidRDefault="00E8227B" w:rsidP="00E8227B"/>
    <w:p w14:paraId="40BC0CC0" w14:textId="77777777" w:rsidR="00E8227B" w:rsidRDefault="00E8227B"/>
    <w:sectPr w:rsidR="00E8227B" w:rsidSect="00573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B76"/>
    <w:rsid w:val="00025ABF"/>
    <w:rsid w:val="000A07CF"/>
    <w:rsid w:val="001A2F5A"/>
    <w:rsid w:val="001F2384"/>
    <w:rsid w:val="00243707"/>
    <w:rsid w:val="002F0036"/>
    <w:rsid w:val="00337220"/>
    <w:rsid w:val="00377627"/>
    <w:rsid w:val="003975F5"/>
    <w:rsid w:val="003D2993"/>
    <w:rsid w:val="003F5F35"/>
    <w:rsid w:val="004F5922"/>
    <w:rsid w:val="00532CED"/>
    <w:rsid w:val="00573CC3"/>
    <w:rsid w:val="005A55DD"/>
    <w:rsid w:val="005A7487"/>
    <w:rsid w:val="005E52A3"/>
    <w:rsid w:val="006432C8"/>
    <w:rsid w:val="0066760D"/>
    <w:rsid w:val="0068797B"/>
    <w:rsid w:val="006F3811"/>
    <w:rsid w:val="00705A8D"/>
    <w:rsid w:val="00707B76"/>
    <w:rsid w:val="00754E9A"/>
    <w:rsid w:val="008F04AE"/>
    <w:rsid w:val="00973309"/>
    <w:rsid w:val="00A965DE"/>
    <w:rsid w:val="00C80AA5"/>
    <w:rsid w:val="00C9163C"/>
    <w:rsid w:val="00CC02D8"/>
    <w:rsid w:val="00CE4393"/>
    <w:rsid w:val="00CE5C8F"/>
    <w:rsid w:val="00D97CCC"/>
    <w:rsid w:val="00DD0A29"/>
    <w:rsid w:val="00DE4643"/>
    <w:rsid w:val="00E8227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2BC7"/>
  <w15:docId w15:val="{A604C07A-3006-4E6E-9909-1B9AB43C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384"/>
    <w:rPr>
      <w:rFonts w:ascii="Arial" w:hAnsi="Arial"/>
      <w:sz w:val="24"/>
    </w:rPr>
  </w:style>
  <w:style w:type="paragraph" w:styleId="Heading1">
    <w:name w:val="heading 1"/>
    <w:basedOn w:val="Normal"/>
    <w:next w:val="Normal"/>
    <w:link w:val="Heading1Char"/>
    <w:autoRedefine/>
    <w:uiPriority w:val="9"/>
    <w:qFormat/>
    <w:rsid w:val="003F5F35"/>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F35"/>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025ABF"/>
    <w:rPr>
      <w:sz w:val="16"/>
      <w:szCs w:val="16"/>
    </w:rPr>
  </w:style>
  <w:style w:type="paragraph" w:styleId="CommentText">
    <w:name w:val="annotation text"/>
    <w:basedOn w:val="Normal"/>
    <w:link w:val="CommentTextChar"/>
    <w:uiPriority w:val="99"/>
    <w:semiHidden/>
    <w:unhideWhenUsed/>
    <w:rsid w:val="00025ABF"/>
    <w:pPr>
      <w:spacing w:line="240" w:lineRule="auto"/>
    </w:pPr>
    <w:rPr>
      <w:sz w:val="20"/>
      <w:szCs w:val="20"/>
    </w:rPr>
  </w:style>
  <w:style w:type="character" w:customStyle="1" w:styleId="CommentTextChar">
    <w:name w:val="Comment Text Char"/>
    <w:basedOn w:val="DefaultParagraphFont"/>
    <w:link w:val="CommentText"/>
    <w:uiPriority w:val="99"/>
    <w:semiHidden/>
    <w:rsid w:val="00025A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5ABF"/>
    <w:rPr>
      <w:b/>
      <w:bCs/>
    </w:rPr>
  </w:style>
  <w:style w:type="character" w:customStyle="1" w:styleId="CommentSubjectChar">
    <w:name w:val="Comment Subject Char"/>
    <w:basedOn w:val="CommentTextChar"/>
    <w:link w:val="CommentSubject"/>
    <w:uiPriority w:val="99"/>
    <w:semiHidden/>
    <w:rsid w:val="00025ABF"/>
    <w:rPr>
      <w:rFonts w:ascii="Arial" w:hAnsi="Arial"/>
      <w:b/>
      <w:bCs/>
      <w:sz w:val="20"/>
      <w:szCs w:val="20"/>
    </w:rPr>
  </w:style>
  <w:style w:type="paragraph" w:styleId="BalloonText">
    <w:name w:val="Balloon Text"/>
    <w:basedOn w:val="Normal"/>
    <w:link w:val="BalloonTextChar"/>
    <w:uiPriority w:val="99"/>
    <w:semiHidden/>
    <w:unhideWhenUsed/>
    <w:rsid w:val="00025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05AE-C6F5-47F8-AEE3-3A093A05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Tollitt</dc:creator>
  <cp:lastModifiedBy>James Tollitt</cp:lastModifiedBy>
  <cp:revision>3</cp:revision>
  <dcterms:created xsi:type="dcterms:W3CDTF">2018-01-12T16:14:00Z</dcterms:created>
  <dcterms:modified xsi:type="dcterms:W3CDTF">2018-01-12T17:11:00Z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http://www.zotero.org/styles/bmc-nephrology</vt:lpwstr>
  </property>
  <property fmtid="{D5CDD505-2E9C-101B-9397-08002B2CF9AE}" pid="5" name="Mendeley Recent Style Name 1_1">
    <vt:lpwstr>BMC Nephrology</vt:lpwstr>
  </property>
  <property fmtid="{D5CDD505-2E9C-101B-9397-08002B2CF9AE}" pid="6" name="Mendeley Recent Style Id 2_1">
    <vt:lpwstr>http://csl.mendeley.com/styles/26846101/Harvardtollitt</vt:lpwstr>
  </property>
  <property fmtid="{D5CDD505-2E9C-101B-9397-08002B2CF9AE}" pid="7" name="Mendeley Recent Style Name 2_1">
    <vt:lpwstr>Cite Them Right 10th edition - Harvard - James Tollitt</vt:lpwstr>
  </property>
  <property fmtid="{D5CDD505-2E9C-101B-9397-08002B2CF9AE}" pid="8" name="Mendeley Recent Style Id 3_1">
    <vt:lpwstr>http://csl.mendeley.com/styles/26846101/Harvardtollitt-2</vt:lpwstr>
  </property>
  <property fmtid="{D5CDD505-2E9C-101B-9397-08002B2CF9AE}" pid="9" name="Mendeley Recent Style Name 3_1">
    <vt:lpwstr>Cite Them Right 10th edition - Harvard - James Tollitt</vt:lpwstr>
  </property>
  <property fmtid="{D5CDD505-2E9C-101B-9397-08002B2CF9AE}" pid="10" name="Mendeley Recent Style Id 4_1">
    <vt:lpwstr>http://www.zotero.org/styles/harvard-cite-them-right</vt:lpwstr>
  </property>
  <property fmtid="{D5CDD505-2E9C-101B-9397-08002B2CF9AE}" pid="11" name="Mendeley Recent Style Name 4_1">
    <vt:lpwstr>Harvard - Cite Them Right 9th edition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7th edition</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http://csl.mendeley.com/styles/26846101/vancouver-superscript</vt:lpwstr>
  </property>
  <property fmtid="{D5CDD505-2E9C-101B-9397-08002B2CF9AE}" pid="21" name="Mendeley Recent Style Name 9_1">
    <vt:lpwstr>Vancouver (superscript) - James Tollitt</vt:lpwstr>
  </property>
  <property fmtid="{D5CDD505-2E9C-101B-9397-08002B2CF9AE}" pid="22" name="Mendeley Document_1">
    <vt:lpwstr>True</vt:lpwstr>
  </property>
  <property fmtid="{D5CDD505-2E9C-101B-9397-08002B2CF9AE}" pid="23" name="Mendeley Unique User Id_1">
    <vt:lpwstr>f4aa21af-41e5-3700-8405-533b1e0bec54</vt:lpwstr>
  </property>
  <property fmtid="{D5CDD505-2E9C-101B-9397-08002B2CF9AE}" pid="24" name="Mendeley Citation Style_1">
    <vt:lpwstr>http://csl.mendeley.com/styles/26846101/vancouver-superscript</vt:lpwstr>
  </property>
</Properties>
</file>