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EF" w:rsidRPr="00CA6A45" w:rsidRDefault="00CA5AEF" w:rsidP="00CA6A45">
      <w:pPr>
        <w:jc w:val="both"/>
        <w:rPr>
          <w:rFonts w:ascii="Times New Roman" w:hAnsi="Times New Roman"/>
          <w:sz w:val="22"/>
          <w:szCs w:val="22"/>
        </w:rPr>
      </w:pPr>
      <w:r w:rsidRPr="00CA6A45">
        <w:rPr>
          <w:rFonts w:ascii="Times New Roman" w:hAnsi="Times New Roman"/>
          <w:b/>
          <w:sz w:val="22"/>
          <w:szCs w:val="22"/>
        </w:rPr>
        <w:t>Background</w:t>
      </w:r>
    </w:p>
    <w:p w:rsidR="00E4220C" w:rsidRPr="00CA6A45" w:rsidRDefault="00BE0550" w:rsidP="00CA6A45">
      <w:pPr>
        <w:jc w:val="both"/>
        <w:rPr>
          <w:rFonts w:ascii="Times New Roman" w:hAnsi="Times New Roman"/>
          <w:sz w:val="22"/>
          <w:szCs w:val="22"/>
          <w:lang w:val="en-GB"/>
        </w:rPr>
      </w:pPr>
      <w:r w:rsidRPr="00CA6A45">
        <w:rPr>
          <w:rFonts w:ascii="Times New Roman" w:hAnsi="Times New Roman"/>
          <w:sz w:val="22"/>
          <w:szCs w:val="22"/>
          <w:lang w:val="en-GB"/>
        </w:rPr>
        <w:t xml:space="preserve">Systemic Lupus Erythematosus (SLE) is frequently complicated by co-morbidities such as cardiovascular disease and stroke. Understanding </w:t>
      </w:r>
      <w:r w:rsidR="00120E11" w:rsidRPr="00CA6A45">
        <w:rPr>
          <w:rFonts w:ascii="Times New Roman" w:hAnsi="Times New Roman"/>
          <w:sz w:val="22"/>
          <w:szCs w:val="22"/>
          <w:lang w:val="en-GB"/>
        </w:rPr>
        <w:t xml:space="preserve">shared </w:t>
      </w:r>
      <w:r w:rsidRPr="00CA6A45">
        <w:rPr>
          <w:rFonts w:ascii="Times New Roman" w:hAnsi="Times New Roman"/>
          <w:sz w:val="22"/>
          <w:szCs w:val="22"/>
          <w:lang w:val="en-GB"/>
        </w:rPr>
        <w:t>biolog</w:t>
      </w:r>
      <w:r w:rsidR="00120E11" w:rsidRPr="00CA6A45">
        <w:rPr>
          <w:rFonts w:ascii="Times New Roman" w:hAnsi="Times New Roman"/>
          <w:sz w:val="22"/>
          <w:szCs w:val="22"/>
          <w:lang w:val="en-GB"/>
        </w:rPr>
        <w:t>y</w:t>
      </w:r>
      <w:r w:rsidRPr="00CA6A45">
        <w:rPr>
          <w:rFonts w:ascii="Times New Roman" w:hAnsi="Times New Roman"/>
          <w:sz w:val="22"/>
          <w:szCs w:val="22"/>
          <w:lang w:val="en-GB"/>
        </w:rPr>
        <w:t xml:space="preserve"> between SLE and </w:t>
      </w:r>
      <w:r w:rsidR="00120E11" w:rsidRPr="00CA6A45">
        <w:rPr>
          <w:rFonts w:ascii="Times New Roman" w:hAnsi="Times New Roman"/>
          <w:sz w:val="22"/>
          <w:szCs w:val="22"/>
          <w:lang w:val="en-GB"/>
        </w:rPr>
        <w:t xml:space="preserve">its </w:t>
      </w:r>
      <w:r w:rsidRPr="00CA6A45">
        <w:rPr>
          <w:rFonts w:ascii="Times New Roman" w:hAnsi="Times New Roman"/>
          <w:sz w:val="22"/>
          <w:szCs w:val="22"/>
          <w:lang w:val="en-GB"/>
        </w:rPr>
        <w:t>co-morbidities could increase</w:t>
      </w:r>
      <w:r w:rsidR="00E4220C" w:rsidRPr="00CA6A45">
        <w:rPr>
          <w:rFonts w:ascii="Times New Roman" w:hAnsi="Times New Roman"/>
          <w:sz w:val="22"/>
          <w:szCs w:val="22"/>
          <w:lang w:val="en-GB"/>
        </w:rPr>
        <w:t xml:space="preserve"> knowledge </w:t>
      </w:r>
      <w:r w:rsidRPr="00CA6A45">
        <w:rPr>
          <w:rFonts w:ascii="Times New Roman" w:hAnsi="Times New Roman"/>
          <w:sz w:val="22"/>
          <w:szCs w:val="22"/>
          <w:lang w:val="en-GB"/>
        </w:rPr>
        <w:t>of the pathogenesis of SLE, gui</w:t>
      </w:r>
      <w:r w:rsidR="00E4220C" w:rsidRPr="00CA6A45">
        <w:rPr>
          <w:rFonts w:ascii="Times New Roman" w:hAnsi="Times New Roman"/>
          <w:sz w:val="22"/>
          <w:szCs w:val="22"/>
          <w:lang w:val="en-GB"/>
        </w:rPr>
        <w:t xml:space="preserve">de </w:t>
      </w:r>
      <w:r w:rsidR="00EF18B0" w:rsidRPr="00CA6A45">
        <w:rPr>
          <w:rFonts w:ascii="Times New Roman" w:hAnsi="Times New Roman"/>
          <w:sz w:val="22"/>
          <w:szCs w:val="22"/>
          <w:lang w:val="en-GB"/>
        </w:rPr>
        <w:t xml:space="preserve">tailored </w:t>
      </w:r>
      <w:r w:rsidR="00E4220C" w:rsidRPr="00CA6A45">
        <w:rPr>
          <w:rFonts w:ascii="Times New Roman" w:hAnsi="Times New Roman"/>
          <w:sz w:val="22"/>
          <w:szCs w:val="22"/>
          <w:lang w:val="en-GB"/>
        </w:rPr>
        <w:t>treatment decisions</w:t>
      </w:r>
      <w:r w:rsidRPr="00CA6A45">
        <w:rPr>
          <w:rFonts w:ascii="Times New Roman" w:hAnsi="Times New Roman"/>
          <w:sz w:val="22"/>
          <w:szCs w:val="22"/>
          <w:lang w:val="en-GB"/>
        </w:rPr>
        <w:t xml:space="preserve">, and delineate </w:t>
      </w:r>
      <w:r w:rsidR="003B6624" w:rsidRPr="00CA6A45">
        <w:rPr>
          <w:rFonts w:ascii="Times New Roman" w:hAnsi="Times New Roman"/>
          <w:sz w:val="22"/>
          <w:szCs w:val="22"/>
          <w:lang w:val="en-GB"/>
        </w:rPr>
        <w:t>novel</w:t>
      </w:r>
      <w:r w:rsidRPr="00CA6A45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EF18B0" w:rsidRPr="00CA6A45">
        <w:rPr>
          <w:rFonts w:ascii="Times New Roman" w:hAnsi="Times New Roman"/>
          <w:sz w:val="22"/>
          <w:szCs w:val="22"/>
          <w:lang w:val="en-GB"/>
        </w:rPr>
        <w:t xml:space="preserve">disease </w:t>
      </w:r>
      <w:r w:rsidRPr="00CA6A45">
        <w:rPr>
          <w:rFonts w:ascii="Times New Roman" w:hAnsi="Times New Roman"/>
          <w:sz w:val="22"/>
          <w:szCs w:val="22"/>
          <w:lang w:val="en-GB"/>
        </w:rPr>
        <w:t>biomarkers.</w:t>
      </w:r>
      <w:r w:rsidR="00120E11" w:rsidRPr="00CA6A45">
        <w:rPr>
          <w:rFonts w:ascii="Times New Roman" w:hAnsi="Times New Roman"/>
          <w:sz w:val="22"/>
          <w:szCs w:val="22"/>
          <w:lang w:val="en-GB"/>
        </w:rPr>
        <w:t xml:space="preserve"> </w:t>
      </w:r>
      <w:r w:rsidR="00E4220C" w:rsidRPr="00CA6A45">
        <w:rPr>
          <w:rFonts w:ascii="Times New Roman" w:hAnsi="Times New Roman"/>
          <w:sz w:val="22"/>
          <w:szCs w:val="22"/>
          <w:lang w:val="en-GB"/>
        </w:rPr>
        <w:t>Here, we use b</w:t>
      </w:r>
      <w:r w:rsidR="00120E11" w:rsidRPr="00CA6A45">
        <w:rPr>
          <w:rFonts w:ascii="Times New Roman" w:hAnsi="Times New Roman"/>
          <w:sz w:val="22"/>
          <w:szCs w:val="22"/>
          <w:lang w:val="en-GB"/>
        </w:rPr>
        <w:t xml:space="preserve">ig data </w:t>
      </w:r>
      <w:r w:rsidR="00E4220C" w:rsidRPr="00CA6A45">
        <w:rPr>
          <w:rFonts w:ascii="Times New Roman" w:hAnsi="Times New Roman"/>
          <w:sz w:val="22"/>
          <w:szCs w:val="22"/>
          <w:lang w:val="en-GB"/>
        </w:rPr>
        <w:t>analytics to examine numerous relevant large-scale datasets.</w:t>
      </w:r>
    </w:p>
    <w:p w:rsidR="003B6624" w:rsidRPr="00CA6A45" w:rsidRDefault="003B6624" w:rsidP="00CA6A45">
      <w:pPr>
        <w:jc w:val="both"/>
        <w:rPr>
          <w:rFonts w:ascii="Times New Roman" w:hAnsi="Times New Roman"/>
          <w:sz w:val="22"/>
          <w:szCs w:val="22"/>
        </w:rPr>
      </w:pPr>
    </w:p>
    <w:p w:rsidR="005947D6" w:rsidRPr="00CA6A45" w:rsidRDefault="004744A8" w:rsidP="00CA6A45">
      <w:pPr>
        <w:jc w:val="both"/>
        <w:rPr>
          <w:rFonts w:ascii="Times New Roman" w:hAnsi="Times New Roman"/>
          <w:b/>
          <w:sz w:val="22"/>
          <w:szCs w:val="22"/>
        </w:rPr>
      </w:pPr>
      <w:r w:rsidRPr="00CA6A45">
        <w:rPr>
          <w:rFonts w:ascii="Times New Roman" w:hAnsi="Times New Roman"/>
          <w:b/>
          <w:sz w:val="22"/>
          <w:szCs w:val="22"/>
        </w:rPr>
        <w:t>Methods</w:t>
      </w:r>
    </w:p>
    <w:p w:rsidR="004744A8" w:rsidRPr="00CA6A45" w:rsidRDefault="005947D6" w:rsidP="00CA6A45">
      <w:pPr>
        <w:jc w:val="both"/>
        <w:rPr>
          <w:rFonts w:ascii="Times New Roman" w:hAnsi="Times New Roman"/>
          <w:sz w:val="22"/>
          <w:szCs w:val="22"/>
        </w:rPr>
      </w:pPr>
      <w:r w:rsidRPr="00CA6A45">
        <w:rPr>
          <w:rFonts w:ascii="Times New Roman" w:hAnsi="Times New Roman"/>
          <w:sz w:val="22"/>
          <w:szCs w:val="22"/>
        </w:rPr>
        <w:t xml:space="preserve">We identified </w:t>
      </w:r>
      <w:r w:rsidR="000B4991" w:rsidRPr="00CA6A45">
        <w:rPr>
          <w:rFonts w:ascii="Times New Roman" w:hAnsi="Times New Roman"/>
          <w:sz w:val="22"/>
          <w:szCs w:val="22"/>
        </w:rPr>
        <w:t>chronic kidney disease</w:t>
      </w:r>
      <w:r w:rsidRPr="00CA6A45">
        <w:rPr>
          <w:rFonts w:ascii="Times New Roman" w:hAnsi="Times New Roman"/>
          <w:sz w:val="22"/>
          <w:szCs w:val="22"/>
        </w:rPr>
        <w:t>, stroke, cardiovascular disease, osteoporosis, lung cancer, Hodgkin lymphoma, and viral infection as relevant co-morbidities of SLE</w:t>
      </w:r>
      <w:r w:rsidR="003E6C06" w:rsidRPr="00CA6A45">
        <w:rPr>
          <w:rFonts w:ascii="Times New Roman" w:hAnsi="Times New Roman"/>
          <w:sz w:val="22"/>
          <w:szCs w:val="22"/>
        </w:rPr>
        <w:t xml:space="preserve"> in a UK patient population (PMID: 26473719),</w:t>
      </w:r>
      <w:r w:rsidRPr="00CA6A45">
        <w:rPr>
          <w:rFonts w:ascii="Times New Roman" w:hAnsi="Times New Roman"/>
          <w:sz w:val="22"/>
          <w:szCs w:val="22"/>
        </w:rPr>
        <w:t xml:space="preserve"> and searched</w:t>
      </w:r>
      <w:r w:rsidR="0028322A" w:rsidRPr="00CA6A45">
        <w:rPr>
          <w:rFonts w:ascii="Times New Roman" w:hAnsi="Times New Roman"/>
          <w:sz w:val="22"/>
          <w:szCs w:val="22"/>
        </w:rPr>
        <w:t xml:space="preserve"> t</w:t>
      </w:r>
      <w:r w:rsidR="00053AE8" w:rsidRPr="00CA6A45">
        <w:rPr>
          <w:rFonts w:ascii="Times New Roman" w:hAnsi="Times New Roman"/>
          <w:sz w:val="22"/>
          <w:szCs w:val="22"/>
        </w:rPr>
        <w:t xml:space="preserve">he </w:t>
      </w:r>
      <w:r w:rsidRPr="00CA6A45">
        <w:rPr>
          <w:rFonts w:ascii="Times New Roman" w:hAnsi="Times New Roman"/>
          <w:sz w:val="22"/>
          <w:szCs w:val="22"/>
        </w:rPr>
        <w:t xml:space="preserve">Gene Expression Omnibus for gene expression datasets of </w:t>
      </w:r>
      <w:r w:rsidR="0028322A" w:rsidRPr="00CA6A45">
        <w:rPr>
          <w:rFonts w:ascii="Times New Roman" w:hAnsi="Times New Roman"/>
          <w:sz w:val="22"/>
          <w:szCs w:val="22"/>
        </w:rPr>
        <w:t xml:space="preserve">SLE and </w:t>
      </w:r>
      <w:r w:rsidRPr="00CA6A45">
        <w:rPr>
          <w:rFonts w:ascii="Times New Roman" w:hAnsi="Times New Roman"/>
          <w:sz w:val="22"/>
          <w:szCs w:val="22"/>
        </w:rPr>
        <w:t>these</w:t>
      </w:r>
      <w:r w:rsidR="00FE0C43" w:rsidRPr="00CA6A45">
        <w:rPr>
          <w:rFonts w:ascii="Times New Roman" w:hAnsi="Times New Roman"/>
          <w:sz w:val="22"/>
          <w:szCs w:val="22"/>
        </w:rPr>
        <w:t xml:space="preserve"> diseases</w:t>
      </w:r>
      <w:r w:rsidRPr="00CA6A45">
        <w:rPr>
          <w:rFonts w:ascii="Times New Roman" w:hAnsi="Times New Roman"/>
          <w:sz w:val="22"/>
          <w:szCs w:val="22"/>
        </w:rPr>
        <w:t>. Datasets with over 30 human subjects in a case-control des</w:t>
      </w:r>
      <w:r w:rsidR="0028322A" w:rsidRPr="00CA6A45">
        <w:rPr>
          <w:rFonts w:ascii="Times New Roman" w:hAnsi="Times New Roman"/>
          <w:sz w:val="22"/>
          <w:szCs w:val="22"/>
        </w:rPr>
        <w:t xml:space="preserve">ign were retained for analysis. </w:t>
      </w:r>
      <w:r w:rsidR="003B6624" w:rsidRPr="00CA6A45">
        <w:rPr>
          <w:rFonts w:ascii="Times New Roman" w:hAnsi="Times New Roman"/>
          <w:sz w:val="22"/>
          <w:szCs w:val="22"/>
        </w:rPr>
        <w:t>P</w:t>
      </w:r>
      <w:r w:rsidR="00FE0C43" w:rsidRPr="00CA6A45">
        <w:rPr>
          <w:rFonts w:ascii="Times New Roman" w:hAnsi="Times New Roman"/>
          <w:sz w:val="22"/>
          <w:szCs w:val="22"/>
        </w:rPr>
        <w:t>reviously published methods (</w:t>
      </w:r>
      <w:r w:rsidR="00265C7F" w:rsidRPr="00CA6A45">
        <w:rPr>
          <w:rFonts w:ascii="Times New Roman" w:hAnsi="Times New Roman"/>
          <w:sz w:val="22"/>
          <w:szCs w:val="22"/>
        </w:rPr>
        <w:t>PMID: 27842596</w:t>
      </w:r>
      <w:r w:rsidR="00FE0C43" w:rsidRPr="00CA6A45">
        <w:rPr>
          <w:rFonts w:ascii="Times New Roman" w:hAnsi="Times New Roman"/>
          <w:sz w:val="22"/>
          <w:szCs w:val="22"/>
        </w:rPr>
        <w:t>)</w:t>
      </w:r>
      <w:r w:rsidR="003B6624" w:rsidRPr="00CA6A45">
        <w:rPr>
          <w:rFonts w:ascii="Times New Roman" w:hAnsi="Times New Roman"/>
          <w:sz w:val="22"/>
          <w:szCs w:val="22"/>
        </w:rPr>
        <w:t xml:space="preserve"> were used to</w:t>
      </w:r>
      <w:r w:rsidRPr="00CA6A45">
        <w:rPr>
          <w:rFonts w:ascii="Times New Roman" w:hAnsi="Times New Roman"/>
          <w:sz w:val="22"/>
          <w:szCs w:val="22"/>
        </w:rPr>
        <w:t xml:space="preserve"> compute differentially expressed genes (DEGs) per dataset and then </w:t>
      </w:r>
      <w:r w:rsidR="00FE0C43" w:rsidRPr="00CA6A45">
        <w:rPr>
          <w:rFonts w:ascii="Times New Roman" w:hAnsi="Times New Roman"/>
          <w:sz w:val="22"/>
          <w:szCs w:val="22"/>
        </w:rPr>
        <w:t xml:space="preserve">per </w:t>
      </w:r>
      <w:r w:rsidRPr="00CA6A45">
        <w:rPr>
          <w:rFonts w:ascii="Times New Roman" w:hAnsi="Times New Roman"/>
          <w:sz w:val="22"/>
          <w:szCs w:val="22"/>
        </w:rPr>
        <w:t xml:space="preserve">disease. Next, we identified enriched biological pathways in each disease and </w:t>
      </w:r>
      <w:r w:rsidR="000B4991" w:rsidRPr="00CA6A45">
        <w:rPr>
          <w:rFonts w:ascii="Times New Roman" w:hAnsi="Times New Roman"/>
          <w:sz w:val="22"/>
          <w:szCs w:val="22"/>
        </w:rPr>
        <w:t>computed which pathways are enriched across SLE and all co-morbidities</w:t>
      </w:r>
      <w:r w:rsidR="00FE0C43" w:rsidRPr="00CA6A45">
        <w:rPr>
          <w:rFonts w:ascii="Times New Roman" w:hAnsi="Times New Roman"/>
          <w:sz w:val="22"/>
          <w:szCs w:val="22"/>
        </w:rPr>
        <w:t xml:space="preserve"> contained in this analysis</w:t>
      </w:r>
      <w:r w:rsidR="000B4991" w:rsidRPr="00CA6A45">
        <w:rPr>
          <w:rFonts w:ascii="Times New Roman" w:hAnsi="Times New Roman"/>
          <w:sz w:val="22"/>
          <w:szCs w:val="22"/>
        </w:rPr>
        <w:t>.</w:t>
      </w:r>
      <w:r w:rsidR="00053AE8" w:rsidRPr="00CA6A45">
        <w:rPr>
          <w:rFonts w:ascii="Times New Roman" w:hAnsi="Times New Roman"/>
          <w:sz w:val="22"/>
          <w:szCs w:val="22"/>
        </w:rPr>
        <w:t xml:space="preserve"> </w:t>
      </w:r>
    </w:p>
    <w:p w:rsidR="004744A8" w:rsidRPr="00CA6A45" w:rsidRDefault="004744A8" w:rsidP="00CA6A45">
      <w:pPr>
        <w:jc w:val="both"/>
        <w:rPr>
          <w:rFonts w:ascii="Times New Roman" w:hAnsi="Times New Roman"/>
          <w:sz w:val="22"/>
          <w:szCs w:val="22"/>
        </w:rPr>
      </w:pPr>
    </w:p>
    <w:p w:rsidR="004744A8" w:rsidRPr="00CA6A45" w:rsidRDefault="004744A8" w:rsidP="00CA6A45">
      <w:pPr>
        <w:jc w:val="both"/>
        <w:rPr>
          <w:rFonts w:ascii="Times New Roman" w:hAnsi="Times New Roman"/>
          <w:b/>
          <w:sz w:val="22"/>
          <w:szCs w:val="22"/>
        </w:rPr>
      </w:pPr>
      <w:r w:rsidRPr="00CA6A45">
        <w:rPr>
          <w:rFonts w:ascii="Times New Roman" w:hAnsi="Times New Roman"/>
          <w:b/>
          <w:sz w:val="22"/>
          <w:szCs w:val="22"/>
        </w:rPr>
        <w:t>Results</w:t>
      </w:r>
    </w:p>
    <w:p w:rsidR="00053AE8" w:rsidRPr="00CA6A45" w:rsidRDefault="000358FD" w:rsidP="00CA6A45">
      <w:pPr>
        <w:jc w:val="both"/>
        <w:rPr>
          <w:rFonts w:ascii="Times New Roman" w:hAnsi="Times New Roman"/>
          <w:sz w:val="22"/>
          <w:szCs w:val="22"/>
          <w:lang w:val="en-GB"/>
        </w:rPr>
      </w:pPr>
      <w:r w:rsidRPr="00CA6A45">
        <w:rPr>
          <w:rFonts w:ascii="Times New Roman" w:hAnsi="Times New Roman"/>
          <w:sz w:val="22"/>
          <w:szCs w:val="22"/>
        </w:rPr>
        <w:t>36</w:t>
      </w:r>
      <w:r w:rsidR="00A1147E" w:rsidRPr="00CA6A45">
        <w:rPr>
          <w:rFonts w:ascii="Times New Roman" w:hAnsi="Times New Roman"/>
          <w:sz w:val="22"/>
          <w:szCs w:val="22"/>
        </w:rPr>
        <w:t xml:space="preserve"> </w:t>
      </w:r>
      <w:r w:rsidR="002572AB" w:rsidRPr="00CA6A45">
        <w:rPr>
          <w:rFonts w:ascii="Times New Roman" w:hAnsi="Times New Roman"/>
          <w:sz w:val="22"/>
          <w:szCs w:val="22"/>
        </w:rPr>
        <w:t xml:space="preserve">datasets </w:t>
      </w:r>
      <w:r w:rsidR="000B4991" w:rsidRPr="00CA6A45">
        <w:rPr>
          <w:rFonts w:ascii="Times New Roman" w:hAnsi="Times New Roman"/>
          <w:sz w:val="22"/>
          <w:szCs w:val="22"/>
        </w:rPr>
        <w:t>passed the filter criteria</w:t>
      </w:r>
      <w:r w:rsidR="002572AB" w:rsidRPr="00CA6A45">
        <w:rPr>
          <w:rFonts w:ascii="Times New Roman" w:hAnsi="Times New Roman"/>
          <w:sz w:val="22"/>
          <w:szCs w:val="22"/>
        </w:rPr>
        <w:t xml:space="preserve">. </w:t>
      </w:r>
      <w:r w:rsidRPr="00CA6A45">
        <w:rPr>
          <w:rFonts w:ascii="Times New Roman" w:hAnsi="Times New Roman"/>
          <w:sz w:val="22"/>
          <w:szCs w:val="22"/>
        </w:rPr>
        <w:t>These</w:t>
      </w:r>
      <w:r w:rsidR="009D6FEC" w:rsidRPr="00CA6A45">
        <w:rPr>
          <w:rFonts w:ascii="Times New Roman" w:hAnsi="Times New Roman"/>
          <w:sz w:val="22"/>
          <w:szCs w:val="22"/>
        </w:rPr>
        <w:t xml:space="preserve"> </w:t>
      </w:r>
      <w:r w:rsidR="00994C95" w:rsidRPr="00CA6A45">
        <w:rPr>
          <w:rFonts w:ascii="Times New Roman" w:hAnsi="Times New Roman"/>
          <w:sz w:val="22"/>
          <w:szCs w:val="22"/>
        </w:rPr>
        <w:t>contain</w:t>
      </w:r>
      <w:r w:rsidRPr="00CA6A45">
        <w:rPr>
          <w:rFonts w:ascii="Times New Roman" w:hAnsi="Times New Roman"/>
          <w:sz w:val="22"/>
          <w:szCs w:val="22"/>
        </w:rPr>
        <w:t>ed</w:t>
      </w:r>
      <w:r w:rsidR="00994C95" w:rsidRPr="00CA6A45">
        <w:rPr>
          <w:rFonts w:ascii="Times New Roman" w:hAnsi="Times New Roman"/>
          <w:sz w:val="22"/>
          <w:szCs w:val="22"/>
        </w:rPr>
        <w:t xml:space="preserve"> expression data from 4</w:t>
      </w:r>
      <w:r w:rsidR="005B2BF7" w:rsidRPr="00CA6A45">
        <w:rPr>
          <w:rFonts w:ascii="Times New Roman" w:hAnsi="Times New Roman"/>
          <w:sz w:val="22"/>
          <w:szCs w:val="22"/>
        </w:rPr>
        <w:t>,</w:t>
      </w:r>
      <w:r w:rsidR="006763FF" w:rsidRPr="00CA6A45">
        <w:rPr>
          <w:rFonts w:ascii="Times New Roman" w:hAnsi="Times New Roman"/>
          <w:sz w:val="22"/>
          <w:szCs w:val="22"/>
        </w:rPr>
        <w:t>776</w:t>
      </w:r>
      <w:r w:rsidR="00994C95" w:rsidRPr="00CA6A45">
        <w:rPr>
          <w:rFonts w:ascii="Times New Roman" w:hAnsi="Times New Roman"/>
          <w:sz w:val="22"/>
          <w:szCs w:val="22"/>
        </w:rPr>
        <w:t xml:space="preserve"> individuals (3</w:t>
      </w:r>
      <w:r w:rsidR="005B2BF7" w:rsidRPr="00CA6A45">
        <w:rPr>
          <w:rFonts w:ascii="Times New Roman" w:hAnsi="Times New Roman"/>
          <w:sz w:val="22"/>
          <w:szCs w:val="22"/>
        </w:rPr>
        <w:t>,</w:t>
      </w:r>
      <w:r w:rsidR="00994C95" w:rsidRPr="00CA6A45">
        <w:rPr>
          <w:rFonts w:ascii="Times New Roman" w:hAnsi="Times New Roman"/>
          <w:sz w:val="22"/>
          <w:szCs w:val="22"/>
        </w:rPr>
        <w:t>320 cases, 1</w:t>
      </w:r>
      <w:r w:rsidR="005B2BF7" w:rsidRPr="00CA6A45">
        <w:rPr>
          <w:rFonts w:ascii="Times New Roman" w:hAnsi="Times New Roman"/>
          <w:sz w:val="22"/>
          <w:szCs w:val="22"/>
        </w:rPr>
        <w:t>,</w:t>
      </w:r>
      <w:r w:rsidR="00994C95" w:rsidRPr="00CA6A45">
        <w:rPr>
          <w:rFonts w:ascii="Times New Roman" w:hAnsi="Times New Roman"/>
          <w:sz w:val="22"/>
          <w:szCs w:val="22"/>
        </w:rPr>
        <w:t>456 controls).</w:t>
      </w:r>
      <w:r w:rsidR="000B4991" w:rsidRPr="00CA6A45">
        <w:rPr>
          <w:rFonts w:ascii="Times New Roman" w:hAnsi="Times New Roman"/>
          <w:sz w:val="22"/>
          <w:szCs w:val="22"/>
        </w:rPr>
        <w:t xml:space="preserve"> </w:t>
      </w:r>
      <w:r w:rsidR="00DD6D04" w:rsidRPr="00CA6A45">
        <w:rPr>
          <w:rFonts w:ascii="Times New Roman" w:hAnsi="Times New Roman"/>
          <w:sz w:val="22"/>
          <w:szCs w:val="22"/>
          <w:lang w:val="en-GB"/>
        </w:rPr>
        <w:t>Number of DEGs per disease varied from a minimum of 2 (</w:t>
      </w:r>
      <w:r w:rsidR="00FE0C43" w:rsidRPr="00CA6A45">
        <w:rPr>
          <w:rFonts w:ascii="Times New Roman" w:hAnsi="Times New Roman"/>
          <w:sz w:val="22"/>
          <w:szCs w:val="22"/>
          <w:lang w:val="en-GB"/>
        </w:rPr>
        <w:t>o</w:t>
      </w:r>
      <w:r w:rsidR="00DD6D04" w:rsidRPr="00CA6A45">
        <w:rPr>
          <w:rFonts w:ascii="Times New Roman" w:hAnsi="Times New Roman"/>
          <w:sz w:val="22"/>
          <w:szCs w:val="22"/>
          <w:lang w:val="en-GB"/>
        </w:rPr>
        <w:t>steo</w:t>
      </w:r>
      <w:r w:rsidR="00FE0C43" w:rsidRPr="00CA6A45">
        <w:rPr>
          <w:rFonts w:ascii="Times New Roman" w:hAnsi="Times New Roman"/>
          <w:sz w:val="22"/>
          <w:szCs w:val="22"/>
          <w:lang w:val="en-GB"/>
        </w:rPr>
        <w:t>porosis</w:t>
      </w:r>
      <w:r w:rsidR="00DD6D04" w:rsidRPr="00CA6A45">
        <w:rPr>
          <w:rFonts w:ascii="Times New Roman" w:hAnsi="Times New Roman"/>
          <w:sz w:val="22"/>
          <w:szCs w:val="22"/>
          <w:lang w:val="en-GB"/>
        </w:rPr>
        <w:t>) to a maximum of 5,408 (</w:t>
      </w:r>
      <w:r w:rsidR="00FE0C43" w:rsidRPr="00CA6A45">
        <w:rPr>
          <w:rFonts w:ascii="Times New Roman" w:hAnsi="Times New Roman"/>
          <w:sz w:val="22"/>
          <w:szCs w:val="22"/>
          <w:lang w:val="en-GB"/>
        </w:rPr>
        <w:t>l</w:t>
      </w:r>
      <w:r w:rsidR="00DD6D04" w:rsidRPr="00CA6A45">
        <w:rPr>
          <w:rFonts w:ascii="Times New Roman" w:hAnsi="Times New Roman"/>
          <w:sz w:val="22"/>
          <w:szCs w:val="22"/>
          <w:lang w:val="en-GB"/>
        </w:rPr>
        <w:t>u</w:t>
      </w:r>
      <w:r w:rsidR="00FE0C43" w:rsidRPr="00CA6A45">
        <w:rPr>
          <w:rFonts w:ascii="Times New Roman" w:hAnsi="Times New Roman"/>
          <w:sz w:val="22"/>
          <w:szCs w:val="22"/>
          <w:lang w:val="en-GB"/>
        </w:rPr>
        <w:t>ng c</w:t>
      </w:r>
      <w:r w:rsidR="000B4991" w:rsidRPr="00CA6A45">
        <w:rPr>
          <w:rFonts w:ascii="Times New Roman" w:hAnsi="Times New Roman"/>
          <w:sz w:val="22"/>
          <w:szCs w:val="22"/>
          <w:lang w:val="en-GB"/>
        </w:rPr>
        <w:t>a</w:t>
      </w:r>
      <w:r w:rsidR="00FE0C43" w:rsidRPr="00CA6A45">
        <w:rPr>
          <w:rFonts w:ascii="Times New Roman" w:hAnsi="Times New Roman"/>
          <w:sz w:val="22"/>
          <w:szCs w:val="22"/>
          <w:lang w:val="en-GB"/>
        </w:rPr>
        <w:t>ncer</w:t>
      </w:r>
      <w:r w:rsidR="00DD6D04" w:rsidRPr="00CA6A45">
        <w:rPr>
          <w:rFonts w:ascii="Times New Roman" w:hAnsi="Times New Roman"/>
          <w:sz w:val="22"/>
          <w:szCs w:val="22"/>
          <w:lang w:val="en-GB"/>
        </w:rPr>
        <w:t>) genes (m</w:t>
      </w:r>
      <w:r w:rsidR="00FE0C43" w:rsidRPr="00CA6A45">
        <w:rPr>
          <w:rFonts w:ascii="Times New Roman" w:hAnsi="Times New Roman"/>
          <w:sz w:val="22"/>
          <w:szCs w:val="22"/>
          <w:lang w:val="en-GB"/>
        </w:rPr>
        <w:t>edian 2,644, IQR 4,608). S</w:t>
      </w:r>
      <w:r w:rsidR="00DD6D04" w:rsidRPr="00CA6A45">
        <w:rPr>
          <w:rFonts w:ascii="Times New Roman" w:hAnsi="Times New Roman"/>
          <w:sz w:val="22"/>
          <w:szCs w:val="22"/>
          <w:lang w:val="en-GB"/>
        </w:rPr>
        <w:t xml:space="preserve">ubsequent numbers of enriched </w:t>
      </w:r>
      <w:r w:rsidR="008356A6">
        <w:rPr>
          <w:rFonts w:ascii="Times New Roman" w:hAnsi="Times New Roman"/>
          <w:sz w:val="22"/>
          <w:szCs w:val="22"/>
          <w:lang w:val="en-GB"/>
        </w:rPr>
        <w:t xml:space="preserve">KEGG </w:t>
      </w:r>
      <w:r w:rsidR="0028322A" w:rsidRPr="00CA6A45">
        <w:rPr>
          <w:rFonts w:ascii="Times New Roman" w:hAnsi="Times New Roman"/>
          <w:sz w:val="22"/>
          <w:szCs w:val="22"/>
          <w:lang w:val="en-GB"/>
        </w:rPr>
        <w:t xml:space="preserve">biological </w:t>
      </w:r>
      <w:r w:rsidR="00DD6D04" w:rsidRPr="00CA6A45">
        <w:rPr>
          <w:rFonts w:ascii="Times New Roman" w:hAnsi="Times New Roman"/>
          <w:sz w:val="22"/>
          <w:szCs w:val="22"/>
          <w:lang w:val="en-GB"/>
        </w:rPr>
        <w:t>pathways per disease varied from 0 (</w:t>
      </w:r>
      <w:r w:rsidR="00FE0C43" w:rsidRPr="00CA6A45">
        <w:rPr>
          <w:rFonts w:ascii="Times New Roman" w:hAnsi="Times New Roman"/>
          <w:sz w:val="22"/>
          <w:szCs w:val="22"/>
          <w:lang w:val="en-GB"/>
        </w:rPr>
        <w:t>oste</w:t>
      </w:r>
      <w:r w:rsidR="008356A6">
        <w:rPr>
          <w:rFonts w:ascii="Times New Roman" w:hAnsi="Times New Roman"/>
          <w:sz w:val="22"/>
          <w:szCs w:val="22"/>
          <w:lang w:val="en-GB"/>
        </w:rPr>
        <w:t>o</w:t>
      </w:r>
      <w:r w:rsidR="00FE0C43" w:rsidRPr="00CA6A45">
        <w:rPr>
          <w:rFonts w:ascii="Times New Roman" w:hAnsi="Times New Roman"/>
          <w:sz w:val="22"/>
          <w:szCs w:val="22"/>
          <w:lang w:val="en-GB"/>
        </w:rPr>
        <w:t>porosis</w:t>
      </w:r>
      <w:r w:rsidR="00DD6D04" w:rsidRPr="00CA6A45">
        <w:rPr>
          <w:rFonts w:ascii="Times New Roman" w:hAnsi="Times New Roman"/>
          <w:sz w:val="22"/>
          <w:szCs w:val="22"/>
          <w:lang w:val="en-GB"/>
        </w:rPr>
        <w:t>) to 43 (</w:t>
      </w:r>
      <w:r w:rsidR="00FE0C43" w:rsidRPr="00CA6A45">
        <w:rPr>
          <w:rFonts w:ascii="Times New Roman" w:hAnsi="Times New Roman"/>
          <w:sz w:val="22"/>
          <w:szCs w:val="22"/>
          <w:lang w:val="en-GB"/>
        </w:rPr>
        <w:t>stroke</w:t>
      </w:r>
      <w:r w:rsidR="00DD6D04" w:rsidRPr="00CA6A45">
        <w:rPr>
          <w:rFonts w:ascii="Times New Roman" w:hAnsi="Times New Roman"/>
          <w:sz w:val="22"/>
          <w:szCs w:val="22"/>
          <w:lang w:val="en-GB"/>
        </w:rPr>
        <w:t xml:space="preserve">) pathways (Median 12, IQR 18). </w:t>
      </w:r>
      <w:r w:rsidR="000B4991" w:rsidRPr="00CA6A45">
        <w:rPr>
          <w:rFonts w:ascii="Times New Roman" w:hAnsi="Times New Roman"/>
          <w:sz w:val="22"/>
          <w:szCs w:val="22"/>
          <w:lang w:val="en-GB"/>
        </w:rPr>
        <w:t xml:space="preserve">Extracting </w:t>
      </w:r>
      <w:r w:rsidR="008356A6">
        <w:rPr>
          <w:rFonts w:ascii="Times New Roman" w:hAnsi="Times New Roman"/>
          <w:sz w:val="22"/>
          <w:szCs w:val="22"/>
          <w:lang w:val="en-GB"/>
        </w:rPr>
        <w:t xml:space="preserve">KEGG </w:t>
      </w:r>
      <w:r w:rsidR="000B4991" w:rsidRPr="00CA6A45">
        <w:rPr>
          <w:rFonts w:ascii="Times New Roman" w:hAnsi="Times New Roman"/>
          <w:sz w:val="22"/>
          <w:szCs w:val="22"/>
          <w:lang w:val="en-GB"/>
        </w:rPr>
        <w:t xml:space="preserve">pathways that were significantly </w:t>
      </w:r>
      <w:r w:rsidR="00FE0C43" w:rsidRPr="00CA6A45">
        <w:rPr>
          <w:rFonts w:ascii="Times New Roman" w:hAnsi="Times New Roman"/>
          <w:sz w:val="22"/>
          <w:szCs w:val="22"/>
          <w:lang w:val="en-GB"/>
        </w:rPr>
        <w:t xml:space="preserve">enriched across </w:t>
      </w:r>
      <w:r w:rsidR="000B4991" w:rsidRPr="00CA6A45">
        <w:rPr>
          <w:rFonts w:ascii="Times New Roman" w:hAnsi="Times New Roman"/>
          <w:sz w:val="22"/>
          <w:szCs w:val="22"/>
          <w:lang w:val="en-GB"/>
        </w:rPr>
        <w:t>all diseases provided a set of 7 biological pathways</w:t>
      </w:r>
      <w:r w:rsidR="00CA6A45" w:rsidRPr="00CA6A45">
        <w:rPr>
          <w:rFonts w:ascii="Times New Roman" w:hAnsi="Times New Roman"/>
          <w:sz w:val="22"/>
          <w:szCs w:val="22"/>
          <w:lang w:val="en-GB"/>
        </w:rPr>
        <w:t xml:space="preserve"> (see table)</w:t>
      </w:r>
      <w:r w:rsidR="000B4991" w:rsidRPr="00CA6A45">
        <w:rPr>
          <w:rFonts w:ascii="Times New Roman" w:hAnsi="Times New Roman"/>
          <w:sz w:val="22"/>
          <w:szCs w:val="22"/>
          <w:lang w:val="en-GB"/>
        </w:rPr>
        <w:t>, of which ‘SLE’ (P=5.0x10</w:t>
      </w:r>
      <w:r w:rsidR="000B4991" w:rsidRPr="00CA6A45">
        <w:rPr>
          <w:rFonts w:ascii="Times New Roman" w:hAnsi="Times New Roman"/>
          <w:sz w:val="22"/>
          <w:szCs w:val="22"/>
          <w:vertAlign w:val="superscript"/>
          <w:lang w:val="en-GB"/>
        </w:rPr>
        <w:t>-7</w:t>
      </w:r>
      <w:r w:rsidR="000B4991" w:rsidRPr="00CA6A45">
        <w:rPr>
          <w:rFonts w:ascii="Times New Roman" w:hAnsi="Times New Roman"/>
          <w:sz w:val="22"/>
          <w:szCs w:val="22"/>
          <w:lang w:val="en-GB"/>
        </w:rPr>
        <w:t xml:space="preserve">) and </w:t>
      </w:r>
      <w:r w:rsidR="008356A6">
        <w:rPr>
          <w:rFonts w:ascii="Times New Roman" w:hAnsi="Times New Roman"/>
          <w:sz w:val="22"/>
          <w:szCs w:val="22"/>
          <w:lang w:val="en-GB"/>
        </w:rPr>
        <w:t>‘Antigen Processing &amp; Presentation</w:t>
      </w:r>
      <w:r w:rsidR="000B4991" w:rsidRPr="00CA6A45">
        <w:rPr>
          <w:rFonts w:ascii="Times New Roman" w:hAnsi="Times New Roman"/>
          <w:sz w:val="22"/>
          <w:szCs w:val="22"/>
          <w:lang w:val="en-GB"/>
        </w:rPr>
        <w:t>’ (P=5.2x10</w:t>
      </w:r>
      <w:r w:rsidR="000B4991" w:rsidRPr="00CA6A45">
        <w:rPr>
          <w:rFonts w:ascii="Times New Roman" w:hAnsi="Times New Roman"/>
          <w:sz w:val="22"/>
          <w:szCs w:val="22"/>
          <w:vertAlign w:val="superscript"/>
          <w:lang w:val="en-GB"/>
        </w:rPr>
        <w:t>-7</w:t>
      </w:r>
      <w:r w:rsidR="000B4991" w:rsidRPr="00CA6A45">
        <w:rPr>
          <w:rFonts w:ascii="Times New Roman" w:hAnsi="Times New Roman"/>
          <w:sz w:val="22"/>
          <w:szCs w:val="22"/>
          <w:lang w:val="en-GB"/>
        </w:rPr>
        <w:t xml:space="preserve">) </w:t>
      </w:r>
      <w:r w:rsidR="00053AE8" w:rsidRPr="00CA6A45">
        <w:rPr>
          <w:rFonts w:ascii="Times New Roman" w:hAnsi="Times New Roman"/>
          <w:sz w:val="22"/>
          <w:szCs w:val="22"/>
          <w:lang w:val="en-GB"/>
        </w:rPr>
        <w:t>showed the largest enrichment</w:t>
      </w:r>
      <w:r w:rsidR="000B4991" w:rsidRPr="00CA6A45">
        <w:rPr>
          <w:rFonts w:ascii="Times New Roman" w:hAnsi="Times New Roman"/>
          <w:sz w:val="22"/>
          <w:szCs w:val="22"/>
          <w:lang w:val="en-GB"/>
        </w:rPr>
        <w:t>.</w:t>
      </w:r>
      <w:r w:rsidR="0028322A" w:rsidRPr="00CA6A45">
        <w:rPr>
          <w:rFonts w:ascii="Times New Roman" w:hAnsi="Times New Roman"/>
          <w:sz w:val="22"/>
          <w:szCs w:val="22"/>
          <w:lang w:val="en-GB"/>
        </w:rPr>
        <w:t xml:space="preserve"> Other enriched pathways included those </w:t>
      </w:r>
      <w:r w:rsidR="005401DE" w:rsidRPr="00CA6A45">
        <w:rPr>
          <w:rFonts w:ascii="Times New Roman" w:hAnsi="Times New Roman"/>
          <w:sz w:val="22"/>
          <w:szCs w:val="22"/>
          <w:lang w:val="en-GB"/>
        </w:rPr>
        <w:t>representing</w:t>
      </w:r>
      <w:r w:rsidR="00AD4146" w:rsidRPr="00CA6A45">
        <w:rPr>
          <w:rFonts w:ascii="Times New Roman" w:hAnsi="Times New Roman"/>
          <w:sz w:val="22"/>
          <w:szCs w:val="22"/>
          <w:lang w:val="en-GB"/>
        </w:rPr>
        <w:t xml:space="preserve"> natural k</w:t>
      </w:r>
      <w:r w:rsidR="0028322A" w:rsidRPr="00CA6A45">
        <w:rPr>
          <w:rFonts w:ascii="Times New Roman" w:hAnsi="Times New Roman"/>
          <w:sz w:val="22"/>
          <w:szCs w:val="22"/>
          <w:lang w:val="en-GB"/>
        </w:rPr>
        <w:t>iller</w:t>
      </w:r>
      <w:r w:rsidR="00CA6A45" w:rsidRPr="00CA6A45">
        <w:rPr>
          <w:rFonts w:ascii="Times New Roman" w:hAnsi="Times New Roman"/>
          <w:sz w:val="22"/>
          <w:szCs w:val="22"/>
          <w:lang w:val="en-GB"/>
        </w:rPr>
        <w:t xml:space="preserve"> (NK) </w:t>
      </w:r>
      <w:r w:rsidR="00AD4146" w:rsidRPr="00CA6A45">
        <w:rPr>
          <w:rFonts w:ascii="Times New Roman" w:hAnsi="Times New Roman"/>
          <w:sz w:val="22"/>
          <w:szCs w:val="22"/>
          <w:lang w:val="en-GB"/>
        </w:rPr>
        <w:t>c</w:t>
      </w:r>
      <w:r w:rsidR="0028322A" w:rsidRPr="00CA6A45">
        <w:rPr>
          <w:rFonts w:ascii="Times New Roman" w:hAnsi="Times New Roman"/>
          <w:sz w:val="22"/>
          <w:szCs w:val="22"/>
          <w:lang w:val="en-GB"/>
        </w:rPr>
        <w:t xml:space="preserve">ell </w:t>
      </w:r>
      <w:r w:rsidR="00183C1C">
        <w:rPr>
          <w:rFonts w:ascii="Times New Roman" w:hAnsi="Times New Roman"/>
          <w:sz w:val="22"/>
          <w:szCs w:val="22"/>
          <w:lang w:val="en-GB"/>
        </w:rPr>
        <w:t xml:space="preserve">and </w:t>
      </w:r>
      <w:r w:rsidR="00183C1C" w:rsidRPr="00CA6A45">
        <w:rPr>
          <w:rFonts w:ascii="Times New Roman" w:hAnsi="Times New Roman"/>
          <w:sz w:val="22"/>
          <w:szCs w:val="22"/>
          <w:lang w:val="en-GB"/>
        </w:rPr>
        <w:t xml:space="preserve">spliceosome </w:t>
      </w:r>
      <w:r w:rsidR="0028322A" w:rsidRPr="00CA6A45">
        <w:rPr>
          <w:rFonts w:ascii="Times New Roman" w:hAnsi="Times New Roman"/>
          <w:sz w:val="22"/>
          <w:szCs w:val="22"/>
          <w:lang w:val="en-GB"/>
        </w:rPr>
        <w:t>activity.</w:t>
      </w:r>
    </w:p>
    <w:p w:rsidR="003B6624" w:rsidRPr="00CA6A45" w:rsidRDefault="003B6624" w:rsidP="00CA6A45">
      <w:pPr>
        <w:jc w:val="both"/>
        <w:rPr>
          <w:rFonts w:ascii="Times New Roman" w:hAnsi="Times New Roman"/>
          <w:sz w:val="22"/>
          <w:szCs w:val="22"/>
          <w:lang w:val="en-GB"/>
        </w:rPr>
      </w:pPr>
    </w:p>
    <w:tbl>
      <w:tblPr>
        <w:tblStyle w:val="TableGrid"/>
        <w:tblW w:w="0" w:type="auto"/>
        <w:tblInd w:w="1296" w:type="dxa"/>
        <w:tblLook w:val="04A0"/>
      </w:tblPr>
      <w:tblGrid>
        <w:gridCol w:w="3616"/>
        <w:gridCol w:w="2563"/>
      </w:tblGrid>
      <w:tr w:rsidR="003B6624" w:rsidRPr="00CA6A45">
        <w:tc>
          <w:tcPr>
            <w:tcW w:w="3616" w:type="dxa"/>
          </w:tcPr>
          <w:p w:rsidR="003B6624" w:rsidRPr="00CA6A45" w:rsidRDefault="008356A6" w:rsidP="008356A6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KEGG </w:t>
            </w:r>
            <w:r w:rsidR="003B6624" w:rsidRPr="00CA6A4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Pathway</w:t>
            </w:r>
          </w:p>
        </w:tc>
        <w:tc>
          <w:tcPr>
            <w:tcW w:w="2563" w:type="dxa"/>
          </w:tcPr>
          <w:p w:rsidR="003B6624" w:rsidRPr="00CA6A45" w:rsidRDefault="003B6624" w:rsidP="008356A6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CA6A45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Enrichment P-Value</w:t>
            </w:r>
          </w:p>
        </w:tc>
      </w:tr>
      <w:tr w:rsidR="003B6624" w:rsidRPr="00CA6A45">
        <w:tc>
          <w:tcPr>
            <w:tcW w:w="3616" w:type="dxa"/>
          </w:tcPr>
          <w:p w:rsidR="003B6624" w:rsidRPr="00CA6A45" w:rsidRDefault="003B6624" w:rsidP="008356A6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CA6A45">
              <w:rPr>
                <w:rFonts w:ascii="Times New Roman" w:hAnsi="Times New Roman"/>
                <w:sz w:val="22"/>
                <w:szCs w:val="22"/>
                <w:lang w:val="en-GB"/>
              </w:rPr>
              <w:t>SLE</w:t>
            </w:r>
          </w:p>
        </w:tc>
        <w:tc>
          <w:tcPr>
            <w:tcW w:w="2563" w:type="dxa"/>
          </w:tcPr>
          <w:p w:rsidR="003B6624" w:rsidRPr="00CA6A45" w:rsidRDefault="003B6624" w:rsidP="008356A6">
            <w:pPr>
              <w:jc w:val="right"/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</w:pPr>
            <w:r w:rsidRPr="00CA6A45">
              <w:rPr>
                <w:rFonts w:ascii="Times New Roman" w:hAnsi="Times New Roman"/>
                <w:sz w:val="22"/>
                <w:szCs w:val="22"/>
                <w:lang w:val="en-GB"/>
              </w:rPr>
              <w:t>5.0x10</w:t>
            </w:r>
            <w:r w:rsidRPr="00CA6A45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-7</w:t>
            </w:r>
          </w:p>
        </w:tc>
      </w:tr>
      <w:tr w:rsidR="003B6624" w:rsidRPr="00CA6A45">
        <w:tc>
          <w:tcPr>
            <w:tcW w:w="3616" w:type="dxa"/>
          </w:tcPr>
          <w:p w:rsidR="003B6624" w:rsidRPr="00CA6A45" w:rsidRDefault="003B6624" w:rsidP="008356A6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CA6A45">
              <w:rPr>
                <w:rFonts w:ascii="Times New Roman" w:hAnsi="Times New Roman"/>
                <w:sz w:val="22"/>
                <w:szCs w:val="22"/>
                <w:lang w:val="en-GB"/>
              </w:rPr>
              <w:t>Antigen</w:t>
            </w:r>
            <w:r w:rsidR="00A24734" w:rsidRPr="00CA6A45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Processing &amp; Presentation</w:t>
            </w:r>
          </w:p>
        </w:tc>
        <w:tc>
          <w:tcPr>
            <w:tcW w:w="2563" w:type="dxa"/>
          </w:tcPr>
          <w:p w:rsidR="003B6624" w:rsidRPr="00CA6A45" w:rsidRDefault="003B6624" w:rsidP="008356A6">
            <w:pPr>
              <w:jc w:val="right"/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</w:pPr>
            <w:r w:rsidRPr="00CA6A45">
              <w:rPr>
                <w:rFonts w:ascii="Times New Roman" w:hAnsi="Times New Roman"/>
                <w:sz w:val="22"/>
                <w:szCs w:val="22"/>
                <w:lang w:val="en-GB"/>
              </w:rPr>
              <w:t>5.2x10</w:t>
            </w:r>
            <w:r w:rsidRPr="00CA6A45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-7</w:t>
            </w:r>
          </w:p>
        </w:tc>
      </w:tr>
      <w:tr w:rsidR="003B6624" w:rsidRPr="00CA6A45">
        <w:tc>
          <w:tcPr>
            <w:tcW w:w="3616" w:type="dxa"/>
          </w:tcPr>
          <w:p w:rsidR="003B6624" w:rsidRPr="00CA6A45" w:rsidRDefault="00A24734" w:rsidP="008356A6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CA6A45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NK Cell Mediated Cytotoxicity </w:t>
            </w:r>
          </w:p>
        </w:tc>
        <w:tc>
          <w:tcPr>
            <w:tcW w:w="2563" w:type="dxa"/>
          </w:tcPr>
          <w:p w:rsidR="003B6624" w:rsidRPr="00CA6A45" w:rsidRDefault="003B6624" w:rsidP="008356A6">
            <w:pPr>
              <w:jc w:val="right"/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</w:pPr>
            <w:r w:rsidRPr="00CA6A45">
              <w:rPr>
                <w:rFonts w:ascii="Times New Roman" w:hAnsi="Times New Roman"/>
                <w:sz w:val="22"/>
                <w:szCs w:val="22"/>
                <w:lang w:val="en-GB"/>
              </w:rPr>
              <w:t>5.9x10</w:t>
            </w:r>
            <w:r w:rsidRPr="00CA6A45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-6</w:t>
            </w:r>
          </w:p>
        </w:tc>
      </w:tr>
      <w:tr w:rsidR="003B6624" w:rsidRPr="00CA6A45">
        <w:tc>
          <w:tcPr>
            <w:tcW w:w="3616" w:type="dxa"/>
          </w:tcPr>
          <w:p w:rsidR="003B6624" w:rsidRPr="00CA6A45" w:rsidRDefault="003B6624" w:rsidP="008356A6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CA6A45">
              <w:rPr>
                <w:rFonts w:ascii="Times New Roman" w:hAnsi="Times New Roman"/>
                <w:sz w:val="22"/>
                <w:szCs w:val="22"/>
                <w:lang w:val="en-GB"/>
              </w:rPr>
              <w:t>Spliceosome</w:t>
            </w:r>
          </w:p>
        </w:tc>
        <w:tc>
          <w:tcPr>
            <w:tcW w:w="2563" w:type="dxa"/>
          </w:tcPr>
          <w:p w:rsidR="003B6624" w:rsidRPr="00CA6A45" w:rsidRDefault="003B6624" w:rsidP="008356A6">
            <w:pPr>
              <w:jc w:val="right"/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</w:pPr>
            <w:r w:rsidRPr="00CA6A45">
              <w:rPr>
                <w:rFonts w:ascii="Times New Roman" w:hAnsi="Times New Roman"/>
                <w:sz w:val="22"/>
                <w:szCs w:val="22"/>
                <w:lang w:val="en-GB"/>
              </w:rPr>
              <w:t>8.4x10</w:t>
            </w:r>
            <w:r w:rsidRPr="00CA6A45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-6</w:t>
            </w:r>
          </w:p>
        </w:tc>
      </w:tr>
      <w:tr w:rsidR="00A24734" w:rsidRPr="00CA6A45">
        <w:tc>
          <w:tcPr>
            <w:tcW w:w="3616" w:type="dxa"/>
          </w:tcPr>
          <w:p w:rsidR="00A24734" w:rsidRPr="00CA6A45" w:rsidRDefault="00A24734" w:rsidP="008356A6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CA6A45">
              <w:rPr>
                <w:rFonts w:ascii="Times New Roman" w:hAnsi="Times New Roman"/>
                <w:sz w:val="22"/>
                <w:szCs w:val="22"/>
                <w:lang w:val="en-GB"/>
              </w:rPr>
              <w:t>Leishmania Infection</w:t>
            </w:r>
          </w:p>
        </w:tc>
        <w:tc>
          <w:tcPr>
            <w:tcW w:w="2563" w:type="dxa"/>
          </w:tcPr>
          <w:p w:rsidR="00A24734" w:rsidRPr="00CA6A45" w:rsidRDefault="00A24734" w:rsidP="008356A6">
            <w:pPr>
              <w:jc w:val="right"/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</w:pPr>
            <w:r w:rsidRPr="00CA6A45">
              <w:rPr>
                <w:rFonts w:ascii="Times New Roman" w:hAnsi="Times New Roman"/>
                <w:sz w:val="22"/>
                <w:szCs w:val="22"/>
                <w:lang w:val="en-GB"/>
              </w:rPr>
              <w:t>2.5x10</w:t>
            </w:r>
            <w:r w:rsidRPr="00CA6A45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-4</w:t>
            </w:r>
          </w:p>
        </w:tc>
      </w:tr>
      <w:tr w:rsidR="00A24734" w:rsidRPr="00CA6A45">
        <w:tc>
          <w:tcPr>
            <w:tcW w:w="3616" w:type="dxa"/>
          </w:tcPr>
          <w:p w:rsidR="00A24734" w:rsidRPr="00CA6A45" w:rsidRDefault="00A24734" w:rsidP="008356A6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CA6A45">
              <w:rPr>
                <w:rFonts w:ascii="Times New Roman" w:hAnsi="Times New Roman"/>
                <w:sz w:val="22"/>
                <w:szCs w:val="22"/>
                <w:lang w:val="en-GB"/>
              </w:rPr>
              <w:t>Ribosome</w:t>
            </w:r>
          </w:p>
        </w:tc>
        <w:tc>
          <w:tcPr>
            <w:tcW w:w="2563" w:type="dxa"/>
          </w:tcPr>
          <w:p w:rsidR="00A24734" w:rsidRPr="00CA6A45" w:rsidRDefault="00A24734" w:rsidP="008356A6">
            <w:pPr>
              <w:jc w:val="right"/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</w:pPr>
            <w:r w:rsidRPr="00CA6A45">
              <w:rPr>
                <w:rFonts w:ascii="Times New Roman" w:hAnsi="Times New Roman"/>
                <w:sz w:val="22"/>
                <w:szCs w:val="22"/>
                <w:lang w:val="en-GB"/>
              </w:rPr>
              <w:t>4.5x10</w:t>
            </w:r>
            <w:r w:rsidRPr="00CA6A45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-4</w:t>
            </w:r>
          </w:p>
        </w:tc>
      </w:tr>
      <w:tr w:rsidR="00A24734" w:rsidRPr="00CA6A45">
        <w:tc>
          <w:tcPr>
            <w:tcW w:w="3616" w:type="dxa"/>
          </w:tcPr>
          <w:p w:rsidR="00A24734" w:rsidRPr="00CA6A45" w:rsidRDefault="00A24734" w:rsidP="008356A6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CA6A45">
              <w:rPr>
                <w:rFonts w:ascii="Times New Roman" w:hAnsi="Times New Roman"/>
                <w:sz w:val="22"/>
                <w:szCs w:val="22"/>
                <w:lang w:val="en-GB"/>
              </w:rPr>
              <w:t>Graft Versus Host Disease</w:t>
            </w:r>
          </w:p>
        </w:tc>
        <w:tc>
          <w:tcPr>
            <w:tcW w:w="2563" w:type="dxa"/>
          </w:tcPr>
          <w:p w:rsidR="00A24734" w:rsidRPr="00CA6A45" w:rsidRDefault="00A24734" w:rsidP="008356A6">
            <w:pPr>
              <w:jc w:val="right"/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</w:pPr>
            <w:r w:rsidRPr="00CA6A45">
              <w:rPr>
                <w:rFonts w:ascii="Times New Roman" w:hAnsi="Times New Roman"/>
                <w:sz w:val="22"/>
                <w:szCs w:val="22"/>
                <w:lang w:val="en-GB"/>
              </w:rPr>
              <w:t>2.5x10</w:t>
            </w:r>
            <w:r w:rsidRPr="00CA6A45">
              <w:rPr>
                <w:rFonts w:ascii="Times New Roman" w:hAnsi="Times New Roman"/>
                <w:sz w:val="22"/>
                <w:szCs w:val="22"/>
                <w:vertAlign w:val="superscript"/>
                <w:lang w:val="en-GB"/>
              </w:rPr>
              <w:t>-3</w:t>
            </w:r>
          </w:p>
        </w:tc>
      </w:tr>
    </w:tbl>
    <w:p w:rsidR="003B6624" w:rsidRPr="00CA6A45" w:rsidRDefault="003B6624" w:rsidP="00CA6A45">
      <w:pPr>
        <w:jc w:val="both"/>
        <w:rPr>
          <w:rFonts w:ascii="Times New Roman" w:hAnsi="Times New Roman"/>
          <w:sz w:val="22"/>
          <w:szCs w:val="22"/>
          <w:lang w:val="en-GB"/>
        </w:rPr>
      </w:pPr>
    </w:p>
    <w:p w:rsidR="0095046F" w:rsidRPr="00CA6A45" w:rsidRDefault="004744A8" w:rsidP="00CA6A45">
      <w:pPr>
        <w:jc w:val="both"/>
        <w:rPr>
          <w:rFonts w:ascii="Times New Roman" w:hAnsi="Times New Roman"/>
          <w:b/>
          <w:sz w:val="22"/>
          <w:szCs w:val="22"/>
        </w:rPr>
      </w:pPr>
      <w:r w:rsidRPr="00CA6A45">
        <w:rPr>
          <w:rFonts w:ascii="Times New Roman" w:hAnsi="Times New Roman"/>
          <w:b/>
          <w:sz w:val="22"/>
          <w:szCs w:val="22"/>
        </w:rPr>
        <w:t>Conclusions</w:t>
      </w:r>
    </w:p>
    <w:p w:rsidR="0028322A" w:rsidRPr="00CA6A45" w:rsidRDefault="0095046F" w:rsidP="00CA6A45">
      <w:pPr>
        <w:jc w:val="both"/>
        <w:rPr>
          <w:rFonts w:ascii="Times New Roman" w:hAnsi="Times New Roman"/>
          <w:sz w:val="22"/>
          <w:szCs w:val="22"/>
        </w:rPr>
      </w:pPr>
      <w:r w:rsidRPr="00CA6A45">
        <w:rPr>
          <w:rFonts w:ascii="Times New Roman" w:hAnsi="Times New Roman"/>
          <w:sz w:val="22"/>
          <w:szCs w:val="22"/>
        </w:rPr>
        <w:t>The</w:t>
      </w:r>
      <w:r w:rsidR="00C864A5" w:rsidRPr="00CA6A45">
        <w:rPr>
          <w:rFonts w:ascii="Times New Roman" w:hAnsi="Times New Roman"/>
          <w:sz w:val="22"/>
          <w:szCs w:val="22"/>
        </w:rPr>
        <w:t xml:space="preserve"> significant enrichment of </w:t>
      </w:r>
      <w:r w:rsidR="008356A6">
        <w:rPr>
          <w:rFonts w:ascii="Times New Roman" w:hAnsi="Times New Roman"/>
          <w:sz w:val="22"/>
          <w:szCs w:val="22"/>
        </w:rPr>
        <w:t xml:space="preserve">KEGG </w:t>
      </w:r>
      <w:r w:rsidR="009F0F1F" w:rsidRPr="00CA6A45">
        <w:rPr>
          <w:rFonts w:ascii="Times New Roman" w:hAnsi="Times New Roman"/>
          <w:sz w:val="22"/>
          <w:szCs w:val="22"/>
        </w:rPr>
        <w:t>pathway gene sets</w:t>
      </w:r>
      <w:r w:rsidR="00C864A5" w:rsidRPr="00CA6A45">
        <w:rPr>
          <w:rFonts w:ascii="Times New Roman" w:hAnsi="Times New Roman"/>
          <w:sz w:val="22"/>
          <w:szCs w:val="22"/>
        </w:rPr>
        <w:t xml:space="preserve"> across SLE and its co-morbidities </w:t>
      </w:r>
      <w:r w:rsidR="00957687" w:rsidRPr="00CA6A45">
        <w:rPr>
          <w:rFonts w:ascii="Times New Roman" w:hAnsi="Times New Roman"/>
          <w:sz w:val="22"/>
          <w:szCs w:val="22"/>
        </w:rPr>
        <w:t>suggest</w:t>
      </w:r>
      <w:r w:rsidRPr="00CA6A45">
        <w:rPr>
          <w:rFonts w:ascii="Times New Roman" w:hAnsi="Times New Roman"/>
          <w:sz w:val="22"/>
          <w:szCs w:val="22"/>
        </w:rPr>
        <w:t xml:space="preserve"> that </w:t>
      </w:r>
      <w:r w:rsidR="00C864A5" w:rsidRPr="00CA6A45">
        <w:rPr>
          <w:rFonts w:ascii="Times New Roman" w:hAnsi="Times New Roman"/>
          <w:sz w:val="22"/>
          <w:szCs w:val="22"/>
        </w:rPr>
        <w:t xml:space="preserve">these diseases </w:t>
      </w:r>
      <w:r w:rsidRPr="00CA6A45">
        <w:rPr>
          <w:rFonts w:ascii="Times New Roman" w:hAnsi="Times New Roman"/>
          <w:sz w:val="22"/>
          <w:szCs w:val="22"/>
        </w:rPr>
        <w:t xml:space="preserve">may share an underlying molecular architecture. </w:t>
      </w:r>
      <w:r w:rsidR="0028322A" w:rsidRPr="00CA6A45">
        <w:rPr>
          <w:rFonts w:ascii="Times New Roman" w:hAnsi="Times New Roman"/>
          <w:sz w:val="22"/>
          <w:szCs w:val="22"/>
        </w:rPr>
        <w:t xml:space="preserve">The detection of the </w:t>
      </w:r>
      <w:r w:rsidR="008356A6">
        <w:rPr>
          <w:rFonts w:ascii="Times New Roman" w:hAnsi="Times New Roman"/>
          <w:sz w:val="22"/>
          <w:szCs w:val="22"/>
        </w:rPr>
        <w:t>‘</w:t>
      </w:r>
      <w:r w:rsidR="0028322A" w:rsidRPr="00CA6A45">
        <w:rPr>
          <w:rFonts w:ascii="Times New Roman" w:hAnsi="Times New Roman"/>
          <w:sz w:val="22"/>
          <w:szCs w:val="22"/>
        </w:rPr>
        <w:t>SLE</w:t>
      </w:r>
      <w:r w:rsidR="008356A6">
        <w:rPr>
          <w:rFonts w:ascii="Times New Roman" w:hAnsi="Times New Roman"/>
          <w:sz w:val="22"/>
          <w:szCs w:val="22"/>
        </w:rPr>
        <w:t>’</w:t>
      </w:r>
      <w:r w:rsidR="0028322A" w:rsidRPr="00CA6A45">
        <w:rPr>
          <w:rFonts w:ascii="Times New Roman" w:hAnsi="Times New Roman"/>
          <w:sz w:val="22"/>
          <w:szCs w:val="22"/>
        </w:rPr>
        <w:t xml:space="preserve"> </w:t>
      </w:r>
      <w:r w:rsidR="008356A6">
        <w:rPr>
          <w:rFonts w:ascii="Times New Roman" w:hAnsi="Times New Roman"/>
          <w:sz w:val="22"/>
          <w:szCs w:val="22"/>
        </w:rPr>
        <w:t xml:space="preserve">KEGG </w:t>
      </w:r>
      <w:r w:rsidR="0028322A" w:rsidRPr="00CA6A45">
        <w:rPr>
          <w:rFonts w:ascii="Times New Roman" w:hAnsi="Times New Roman"/>
          <w:sz w:val="22"/>
          <w:szCs w:val="22"/>
        </w:rPr>
        <w:t xml:space="preserve">pathway as enriched </w:t>
      </w:r>
      <w:r w:rsidR="00100EAA" w:rsidRPr="00CA6A45">
        <w:rPr>
          <w:rFonts w:ascii="Times New Roman" w:hAnsi="Times New Roman"/>
          <w:sz w:val="22"/>
          <w:szCs w:val="22"/>
        </w:rPr>
        <w:t xml:space="preserve">in these data </w:t>
      </w:r>
      <w:r w:rsidR="0028322A" w:rsidRPr="00CA6A45">
        <w:rPr>
          <w:rFonts w:ascii="Times New Roman" w:hAnsi="Times New Roman"/>
          <w:sz w:val="22"/>
          <w:szCs w:val="22"/>
        </w:rPr>
        <w:t>serves as int</w:t>
      </w:r>
      <w:r w:rsidR="00F2068C" w:rsidRPr="00CA6A45">
        <w:rPr>
          <w:rFonts w:ascii="Times New Roman" w:hAnsi="Times New Roman"/>
          <w:sz w:val="22"/>
          <w:szCs w:val="22"/>
        </w:rPr>
        <w:t>ernal validation of this method.</w:t>
      </w:r>
      <w:r w:rsidR="00D733B6" w:rsidRPr="00CA6A45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="00CA6A45" w:rsidRPr="00CA6A45">
        <w:rPr>
          <w:rFonts w:ascii="Times New Roman" w:hAnsi="Times New Roman"/>
          <w:sz w:val="22"/>
          <w:szCs w:val="22"/>
        </w:rPr>
        <w:t>Additionally, subsets of NK cell populations exhibit unique phenotypes in patients with active SLE</w:t>
      </w:r>
      <w:r w:rsidR="00183C1C">
        <w:rPr>
          <w:rFonts w:ascii="Times New Roman" w:hAnsi="Times New Roman"/>
          <w:sz w:val="22"/>
          <w:szCs w:val="22"/>
        </w:rPr>
        <w:t>,</w:t>
      </w:r>
      <w:r w:rsidR="00CA6A45" w:rsidRPr="00CA6A45">
        <w:rPr>
          <w:rFonts w:ascii="Times New Roman" w:hAnsi="Times New Roman"/>
          <w:sz w:val="22"/>
          <w:szCs w:val="22"/>
        </w:rPr>
        <w:t xml:space="preserve"> and high levels of anti-spliceosomal autoantibodies are commonly found in serum from SLE patients.</w:t>
      </w:r>
    </w:p>
    <w:p w:rsidR="0028322A" w:rsidRPr="00CA6A45" w:rsidRDefault="0028322A" w:rsidP="00CA6A45">
      <w:pPr>
        <w:jc w:val="both"/>
        <w:rPr>
          <w:rFonts w:ascii="Times New Roman" w:hAnsi="Times New Roman"/>
          <w:sz w:val="22"/>
          <w:szCs w:val="22"/>
        </w:rPr>
      </w:pPr>
    </w:p>
    <w:p w:rsidR="00CA5AEF" w:rsidRPr="00CA6A45" w:rsidRDefault="0095046F" w:rsidP="00CA6A45">
      <w:pPr>
        <w:jc w:val="both"/>
        <w:rPr>
          <w:rFonts w:ascii="Times New Roman" w:hAnsi="Times New Roman"/>
          <w:sz w:val="22"/>
          <w:szCs w:val="22"/>
        </w:rPr>
      </w:pPr>
      <w:r w:rsidRPr="00CA6A45">
        <w:rPr>
          <w:rFonts w:ascii="Times New Roman" w:hAnsi="Times New Roman"/>
          <w:sz w:val="22"/>
          <w:szCs w:val="22"/>
        </w:rPr>
        <w:t xml:space="preserve">Further analysis of these data may be able to guide treatment </w:t>
      </w:r>
      <w:r w:rsidR="00973354" w:rsidRPr="00CA6A45">
        <w:rPr>
          <w:rFonts w:ascii="Times New Roman" w:hAnsi="Times New Roman"/>
          <w:sz w:val="22"/>
          <w:szCs w:val="22"/>
        </w:rPr>
        <w:t xml:space="preserve">decisions when </w:t>
      </w:r>
      <w:r w:rsidRPr="00CA6A45">
        <w:rPr>
          <w:rFonts w:ascii="Times New Roman" w:hAnsi="Times New Roman"/>
          <w:sz w:val="22"/>
          <w:szCs w:val="22"/>
        </w:rPr>
        <w:t xml:space="preserve">SLE </w:t>
      </w:r>
      <w:r w:rsidR="00973354" w:rsidRPr="00CA6A45">
        <w:rPr>
          <w:rFonts w:ascii="Times New Roman" w:hAnsi="Times New Roman"/>
          <w:sz w:val="22"/>
          <w:szCs w:val="22"/>
        </w:rPr>
        <w:t xml:space="preserve">is complicated by </w:t>
      </w:r>
      <w:r w:rsidRPr="00CA6A45">
        <w:rPr>
          <w:rFonts w:ascii="Times New Roman" w:hAnsi="Times New Roman"/>
          <w:sz w:val="22"/>
          <w:szCs w:val="22"/>
        </w:rPr>
        <w:t>co-morbidities</w:t>
      </w:r>
      <w:r w:rsidR="00973354" w:rsidRPr="00CA6A45">
        <w:rPr>
          <w:rFonts w:ascii="Times New Roman" w:hAnsi="Times New Roman"/>
          <w:sz w:val="22"/>
          <w:szCs w:val="22"/>
        </w:rPr>
        <w:t xml:space="preserve">, </w:t>
      </w:r>
      <w:r w:rsidRPr="00CA6A45">
        <w:rPr>
          <w:rFonts w:ascii="Times New Roman" w:hAnsi="Times New Roman"/>
          <w:sz w:val="22"/>
          <w:szCs w:val="22"/>
        </w:rPr>
        <w:t>or delineate gene</w:t>
      </w:r>
      <w:r w:rsidR="00957687" w:rsidRPr="00CA6A45">
        <w:rPr>
          <w:rFonts w:ascii="Times New Roman" w:hAnsi="Times New Roman"/>
          <w:sz w:val="22"/>
          <w:szCs w:val="22"/>
        </w:rPr>
        <w:t xml:space="preserve"> </w:t>
      </w:r>
      <w:r w:rsidRPr="00CA6A45">
        <w:rPr>
          <w:rFonts w:ascii="Times New Roman" w:hAnsi="Times New Roman"/>
          <w:sz w:val="22"/>
          <w:szCs w:val="22"/>
        </w:rPr>
        <w:t>expression signatures that could prompt focused screening of patients with SLE for relevant co-morbidities.</w:t>
      </w:r>
      <w:r w:rsidR="00D733B6" w:rsidRPr="00CA6A45">
        <w:rPr>
          <w:rFonts w:ascii="Times New Roman" w:hAnsi="Times New Roman"/>
          <w:sz w:val="22"/>
          <w:szCs w:val="22"/>
        </w:rPr>
        <w:t xml:space="preserve"> </w:t>
      </w:r>
    </w:p>
    <w:sectPr w:rsidR="00CA5AEF" w:rsidRPr="00CA6A45" w:rsidSect="00CA5AE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24D"/>
    <w:multiLevelType w:val="hybridMultilevel"/>
    <w:tmpl w:val="64B01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07EFC"/>
    <w:multiLevelType w:val="multilevel"/>
    <w:tmpl w:val="148A6D60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8A20D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D53799B"/>
    <w:multiLevelType w:val="multilevel"/>
    <w:tmpl w:val="3E828C3C"/>
    <w:styleLink w:val="111111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CA5AEF"/>
    <w:rsid w:val="00013AAF"/>
    <w:rsid w:val="00016FA5"/>
    <w:rsid w:val="000276CC"/>
    <w:rsid w:val="000358FD"/>
    <w:rsid w:val="00044061"/>
    <w:rsid w:val="00053AE8"/>
    <w:rsid w:val="0009261D"/>
    <w:rsid w:val="000B4991"/>
    <w:rsid w:val="00100EAA"/>
    <w:rsid w:val="00120E11"/>
    <w:rsid w:val="00145E52"/>
    <w:rsid w:val="00183C1C"/>
    <w:rsid w:val="001A2F91"/>
    <w:rsid w:val="001C76CB"/>
    <w:rsid w:val="00220494"/>
    <w:rsid w:val="002300FE"/>
    <w:rsid w:val="00230DE9"/>
    <w:rsid w:val="00235EA7"/>
    <w:rsid w:val="002572AB"/>
    <w:rsid w:val="002613F7"/>
    <w:rsid w:val="00265C7F"/>
    <w:rsid w:val="00270D2D"/>
    <w:rsid w:val="0028322A"/>
    <w:rsid w:val="00290AF4"/>
    <w:rsid w:val="00320BB6"/>
    <w:rsid w:val="003210D3"/>
    <w:rsid w:val="00333954"/>
    <w:rsid w:val="00376348"/>
    <w:rsid w:val="003B6624"/>
    <w:rsid w:val="003E6C06"/>
    <w:rsid w:val="004564AA"/>
    <w:rsid w:val="004611AF"/>
    <w:rsid w:val="004744A8"/>
    <w:rsid w:val="004A3DCC"/>
    <w:rsid w:val="004E61EE"/>
    <w:rsid w:val="005076BA"/>
    <w:rsid w:val="005401DE"/>
    <w:rsid w:val="005947D6"/>
    <w:rsid w:val="005B2BF7"/>
    <w:rsid w:val="005B3C6E"/>
    <w:rsid w:val="0061796D"/>
    <w:rsid w:val="00643A22"/>
    <w:rsid w:val="00644ED6"/>
    <w:rsid w:val="00672696"/>
    <w:rsid w:val="006763FF"/>
    <w:rsid w:val="00683F38"/>
    <w:rsid w:val="006A789D"/>
    <w:rsid w:val="006C7EAD"/>
    <w:rsid w:val="006E1E0B"/>
    <w:rsid w:val="007802D5"/>
    <w:rsid w:val="00796741"/>
    <w:rsid w:val="007B789B"/>
    <w:rsid w:val="007F5566"/>
    <w:rsid w:val="007F7B91"/>
    <w:rsid w:val="00802CA5"/>
    <w:rsid w:val="0081099B"/>
    <w:rsid w:val="008356A6"/>
    <w:rsid w:val="00847727"/>
    <w:rsid w:val="008740E8"/>
    <w:rsid w:val="00894B3F"/>
    <w:rsid w:val="008B303F"/>
    <w:rsid w:val="008F08A9"/>
    <w:rsid w:val="008F4176"/>
    <w:rsid w:val="0095046F"/>
    <w:rsid w:val="00957687"/>
    <w:rsid w:val="00973354"/>
    <w:rsid w:val="00993801"/>
    <w:rsid w:val="00994C95"/>
    <w:rsid w:val="009D6FEC"/>
    <w:rsid w:val="009F0F1F"/>
    <w:rsid w:val="009F68B6"/>
    <w:rsid w:val="00A1147E"/>
    <w:rsid w:val="00A132CE"/>
    <w:rsid w:val="00A24734"/>
    <w:rsid w:val="00A47F45"/>
    <w:rsid w:val="00A508FC"/>
    <w:rsid w:val="00AA4152"/>
    <w:rsid w:val="00AA46C5"/>
    <w:rsid w:val="00AD4146"/>
    <w:rsid w:val="00B32E3C"/>
    <w:rsid w:val="00B42053"/>
    <w:rsid w:val="00B554FA"/>
    <w:rsid w:val="00B555D0"/>
    <w:rsid w:val="00B611E1"/>
    <w:rsid w:val="00B643E8"/>
    <w:rsid w:val="00B74ACA"/>
    <w:rsid w:val="00BE0550"/>
    <w:rsid w:val="00C1515B"/>
    <w:rsid w:val="00C6085C"/>
    <w:rsid w:val="00C80B8B"/>
    <w:rsid w:val="00C864A5"/>
    <w:rsid w:val="00CA5AEF"/>
    <w:rsid w:val="00CA6A45"/>
    <w:rsid w:val="00D00C21"/>
    <w:rsid w:val="00D34908"/>
    <w:rsid w:val="00D42D95"/>
    <w:rsid w:val="00D55F49"/>
    <w:rsid w:val="00D733B6"/>
    <w:rsid w:val="00D7695C"/>
    <w:rsid w:val="00DA1B0A"/>
    <w:rsid w:val="00DB28BA"/>
    <w:rsid w:val="00DD6D04"/>
    <w:rsid w:val="00DE0F0C"/>
    <w:rsid w:val="00DF0C0D"/>
    <w:rsid w:val="00E04253"/>
    <w:rsid w:val="00E4220C"/>
    <w:rsid w:val="00E734E2"/>
    <w:rsid w:val="00E81E2D"/>
    <w:rsid w:val="00EC5CCC"/>
    <w:rsid w:val="00EF18B0"/>
    <w:rsid w:val="00F00C07"/>
    <w:rsid w:val="00F2068C"/>
    <w:rsid w:val="00F35710"/>
    <w:rsid w:val="00F5576F"/>
    <w:rsid w:val="00F961C0"/>
    <w:rsid w:val="00FA5DC2"/>
    <w:rsid w:val="00FC1A2B"/>
    <w:rsid w:val="00FC22F8"/>
    <w:rsid w:val="00FE0C43"/>
    <w:rsid w:val="00FE1767"/>
    <w:rsid w:val="00FF556E"/>
  </w:rsids>
  <m:mathPr>
    <m:mathFont m:val="Abadi MT Condensed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939EC"/>
  </w:style>
  <w:style w:type="paragraph" w:styleId="Heading1">
    <w:name w:val="heading 1"/>
    <w:basedOn w:val="Normal"/>
    <w:next w:val="Normal"/>
    <w:link w:val="Heading1Char"/>
    <w:uiPriority w:val="9"/>
    <w:qFormat/>
    <w:rsid w:val="00820B31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820B31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20B31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20B31"/>
    <w:rPr>
      <w:rFonts w:asciiTheme="majorHAnsi" w:eastAsiaTheme="majorEastAsia" w:hAnsiTheme="majorHAnsi" w:cstheme="majorBidi"/>
      <w:b/>
      <w:bCs/>
      <w:sz w:val="32"/>
      <w:szCs w:val="32"/>
    </w:rPr>
  </w:style>
  <w:style w:type="numbering" w:styleId="111111">
    <w:name w:val="Outline List 2"/>
    <w:basedOn w:val="NoList"/>
    <w:uiPriority w:val="99"/>
    <w:unhideWhenUsed/>
    <w:rsid w:val="00820B31"/>
    <w:pPr>
      <w:numPr>
        <w:numId w:val="3"/>
      </w:numPr>
    </w:pPr>
  </w:style>
  <w:style w:type="character" w:styleId="Strong">
    <w:name w:val="Strong"/>
    <w:basedOn w:val="DefaultParagraphFont"/>
    <w:uiPriority w:val="22"/>
    <w:qFormat/>
    <w:rsid w:val="002613F7"/>
    <w:rPr>
      <w:b/>
      <w:bCs/>
    </w:rPr>
  </w:style>
  <w:style w:type="paragraph" w:styleId="NormalWeb">
    <w:name w:val="Normal (Web)"/>
    <w:basedOn w:val="Normal"/>
    <w:uiPriority w:val="99"/>
    <w:rsid w:val="00DD6D04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rsid w:val="00053AE8"/>
    <w:pPr>
      <w:ind w:left="720"/>
      <w:contextualSpacing/>
    </w:pPr>
  </w:style>
  <w:style w:type="table" w:styleId="TableGrid">
    <w:name w:val="Table Grid"/>
    <w:basedOn w:val="TableNormal"/>
    <w:rsid w:val="003B6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99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4939EC"/>
  </w:style>
  <w:style w:type="paragraph" w:styleId="Heading1">
    <w:name w:val="heading 1"/>
    <w:basedOn w:val="Normal"/>
    <w:next w:val="Normal"/>
    <w:link w:val="Heading1Char"/>
    <w:uiPriority w:val="9"/>
    <w:qFormat/>
    <w:rsid w:val="00820B31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820B31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20B31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20B31"/>
    <w:rPr>
      <w:rFonts w:asciiTheme="majorHAnsi" w:eastAsiaTheme="majorEastAsia" w:hAnsiTheme="majorHAnsi" w:cstheme="majorBidi"/>
      <w:b/>
      <w:bCs/>
      <w:sz w:val="32"/>
      <w:szCs w:val="32"/>
    </w:rPr>
  </w:style>
  <w:style w:type="numbering" w:styleId="111111">
    <w:name w:val="Outline List 2"/>
    <w:basedOn w:val="NoList"/>
    <w:uiPriority w:val="99"/>
    <w:unhideWhenUsed/>
    <w:rsid w:val="00820B31"/>
    <w:pPr>
      <w:numPr>
        <w:numId w:val="3"/>
      </w:numPr>
    </w:pPr>
  </w:style>
  <w:style w:type="character" w:styleId="Strong">
    <w:name w:val="Strong"/>
    <w:basedOn w:val="DefaultParagraphFont"/>
    <w:uiPriority w:val="22"/>
    <w:qFormat/>
    <w:rsid w:val="002613F7"/>
    <w:rPr>
      <w:b/>
      <w:bCs/>
    </w:rPr>
  </w:style>
  <w:style w:type="paragraph" w:styleId="NormalWeb">
    <w:name w:val="Normal (Web)"/>
    <w:basedOn w:val="Normal"/>
    <w:uiPriority w:val="99"/>
    <w:rsid w:val="00DD6D04"/>
    <w:pPr>
      <w:spacing w:beforeLines="1" w:afterLines="1"/>
    </w:pPr>
    <w:rPr>
      <w:rFonts w:ascii="Times" w:hAnsi="Times" w:cs="Times New Roman"/>
      <w:sz w:val="20"/>
      <w:szCs w:val="20"/>
      <w:lang w:val="en-GB"/>
    </w:rPr>
  </w:style>
  <w:style w:type="paragraph" w:styleId="ListParagraph">
    <w:name w:val="List Paragraph"/>
    <w:basedOn w:val="Normal"/>
    <w:rsid w:val="00053AE8"/>
    <w:pPr>
      <w:ind w:left="720"/>
      <w:contextualSpacing/>
    </w:pPr>
  </w:style>
  <w:style w:type="table" w:styleId="TableGrid">
    <w:name w:val="Table Grid"/>
    <w:basedOn w:val="TableNormal"/>
    <w:rsid w:val="003B6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31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8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56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5479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322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508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787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6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87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19C93-DDEF-CB44-84ED-15E84D4C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384</Words>
  <Characters>2194</Characters>
  <Application>Microsoft Macintosh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Oates</dc:creator>
  <cp:lastModifiedBy>Thomas Oates</cp:lastModifiedBy>
  <cp:revision>18</cp:revision>
  <dcterms:created xsi:type="dcterms:W3CDTF">2018-01-09T11:05:00Z</dcterms:created>
  <dcterms:modified xsi:type="dcterms:W3CDTF">2018-01-09T18:02:00Z</dcterms:modified>
</cp:coreProperties>
</file>