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4A" w:rsidRPr="00027FA3" w:rsidRDefault="007A1C4A" w:rsidP="007A1C4A">
      <w:pPr>
        <w:spacing w:after="0"/>
        <w:rPr>
          <w:rFonts w:ascii="Times New Roman" w:hAnsi="Times New Roman" w:cs="Times New Roman"/>
          <w:b/>
        </w:rPr>
      </w:pPr>
      <w:r w:rsidRPr="00027FA3">
        <w:rPr>
          <w:rFonts w:ascii="Times New Roman" w:hAnsi="Times New Roman" w:cs="Times New Roman"/>
          <w:b/>
        </w:rPr>
        <w:t>P</w:t>
      </w:r>
      <w:r w:rsidR="00003562">
        <w:rPr>
          <w:rFonts w:ascii="Times New Roman" w:hAnsi="Times New Roman" w:cs="Times New Roman"/>
          <w:b/>
        </w:rPr>
        <w:t>atient</w:t>
      </w:r>
      <w:r w:rsidRPr="00027FA3">
        <w:rPr>
          <w:rFonts w:ascii="Times New Roman" w:hAnsi="Times New Roman" w:cs="Times New Roman"/>
          <w:b/>
        </w:rPr>
        <w:t xml:space="preserve"> E</w:t>
      </w:r>
      <w:r w:rsidR="00003562">
        <w:rPr>
          <w:rFonts w:ascii="Times New Roman" w:hAnsi="Times New Roman" w:cs="Times New Roman"/>
          <w:b/>
        </w:rPr>
        <w:t xml:space="preserve">ngagement </w:t>
      </w:r>
      <w:proofErr w:type="gramStart"/>
      <w:r w:rsidR="00003562">
        <w:rPr>
          <w:rFonts w:ascii="Times New Roman" w:hAnsi="Times New Roman" w:cs="Times New Roman"/>
          <w:b/>
        </w:rPr>
        <w:t>In</w:t>
      </w:r>
      <w:proofErr w:type="gramEnd"/>
      <w:r w:rsidR="00003562">
        <w:rPr>
          <w:rFonts w:ascii="Times New Roman" w:hAnsi="Times New Roman" w:cs="Times New Roman"/>
          <w:b/>
        </w:rPr>
        <w:t xml:space="preserve"> The Renal Transplant Clinic</w:t>
      </w:r>
    </w:p>
    <w:p w:rsidR="00142206" w:rsidRDefault="00142206" w:rsidP="007A1C4A">
      <w:pPr>
        <w:spacing w:after="0"/>
        <w:rPr>
          <w:rFonts w:ascii="Times New Roman" w:hAnsi="Times New Roman" w:cs="Times New Roman"/>
        </w:rPr>
      </w:pPr>
    </w:p>
    <w:p w:rsidR="007A1C4A" w:rsidRPr="00027FA3" w:rsidRDefault="007A1C4A" w:rsidP="007A1C4A">
      <w:pPr>
        <w:spacing w:after="0"/>
        <w:rPr>
          <w:rFonts w:ascii="Times New Roman" w:hAnsi="Times New Roman" w:cs="Times New Roman"/>
          <w:b/>
        </w:rPr>
      </w:pPr>
      <w:r w:rsidRPr="00027FA3">
        <w:rPr>
          <w:rFonts w:ascii="Times New Roman" w:hAnsi="Times New Roman" w:cs="Times New Roman"/>
          <w:b/>
        </w:rPr>
        <w:t>I</w:t>
      </w:r>
      <w:r w:rsidR="00003562">
        <w:rPr>
          <w:rFonts w:ascii="Times New Roman" w:hAnsi="Times New Roman" w:cs="Times New Roman"/>
          <w:b/>
        </w:rPr>
        <w:t>ntroduction</w:t>
      </w:r>
      <w:r w:rsidRPr="00027FA3">
        <w:rPr>
          <w:rFonts w:ascii="Times New Roman" w:hAnsi="Times New Roman" w:cs="Times New Roman"/>
          <w:b/>
        </w:rPr>
        <w:t>:</w:t>
      </w:r>
    </w:p>
    <w:p w:rsidR="00027FA3" w:rsidRPr="00027FA3" w:rsidRDefault="00142206" w:rsidP="007A1C4A">
      <w:pPr>
        <w:spacing w:after="0"/>
        <w:rPr>
          <w:rFonts w:ascii="Times New Roman" w:hAnsi="Times New Roman" w:cs="Times New Roman"/>
        </w:rPr>
      </w:pPr>
      <w:r>
        <w:rPr>
          <w:rFonts w:ascii="Times New Roman" w:hAnsi="Times New Roman" w:cs="Times New Roman"/>
        </w:rPr>
        <w:t>The renal unit wa</w:t>
      </w:r>
      <w:r w:rsidR="007A1C4A" w:rsidRPr="00027FA3">
        <w:rPr>
          <w:rFonts w:ascii="Times New Roman" w:hAnsi="Times New Roman" w:cs="Times New Roman"/>
        </w:rPr>
        <w:t>s involved in the Transforming Participation in Chronic Kidney D</w:t>
      </w:r>
      <w:r>
        <w:rPr>
          <w:rFonts w:ascii="Times New Roman" w:hAnsi="Times New Roman" w:cs="Times New Roman"/>
        </w:rPr>
        <w:t>isease (TP-CKD) programme,</w:t>
      </w:r>
      <w:r w:rsidR="007A1C4A" w:rsidRPr="00027FA3">
        <w:rPr>
          <w:rFonts w:ascii="Times New Roman" w:hAnsi="Times New Roman" w:cs="Times New Roman"/>
        </w:rPr>
        <w:t xml:space="preserve"> </w:t>
      </w:r>
      <w:proofErr w:type="gramStart"/>
      <w:r w:rsidR="007A1C4A" w:rsidRPr="00027FA3">
        <w:rPr>
          <w:rFonts w:ascii="Times New Roman" w:hAnsi="Times New Roman" w:cs="Times New Roman"/>
        </w:rPr>
        <w:t>a collaboration</w:t>
      </w:r>
      <w:proofErr w:type="gramEnd"/>
      <w:r w:rsidR="007A1C4A" w:rsidRPr="00027FA3">
        <w:rPr>
          <w:rFonts w:ascii="Times New Roman" w:hAnsi="Times New Roman" w:cs="Times New Roman"/>
        </w:rPr>
        <w:t xml:space="preserve"> between NHS England and the UK Renal </w:t>
      </w:r>
      <w:r w:rsidR="00027FA3">
        <w:rPr>
          <w:rFonts w:ascii="Times New Roman" w:hAnsi="Times New Roman" w:cs="Times New Roman"/>
        </w:rPr>
        <w:t>Registry. The overall aim of TP-CKD</w:t>
      </w:r>
      <w:r w:rsidR="007A1C4A" w:rsidRPr="00027FA3">
        <w:rPr>
          <w:rFonts w:ascii="Times New Roman" w:hAnsi="Times New Roman" w:cs="Times New Roman"/>
        </w:rPr>
        <w:t xml:space="preserve"> is to support patients to gain the knowledge, skills and confidence to self-manage their condition. </w:t>
      </w:r>
      <w:r w:rsidR="00027FA3">
        <w:rPr>
          <w:rFonts w:ascii="Times New Roman" w:hAnsi="Times New Roman" w:cs="Times New Roman"/>
        </w:rPr>
        <w:t>The TP-CKD programme was implemented alongside repatriation of post-transplant immunosuppressant prescribing in the renal transplant clinic.</w:t>
      </w:r>
    </w:p>
    <w:p w:rsidR="00AD05EB" w:rsidRPr="00027FA3" w:rsidRDefault="00003562" w:rsidP="007A1C4A">
      <w:pPr>
        <w:spacing w:after="0"/>
        <w:rPr>
          <w:rFonts w:ascii="Times New Roman" w:hAnsi="Times New Roman" w:cs="Times New Roman"/>
          <w:b/>
        </w:rPr>
      </w:pPr>
      <w:r>
        <w:rPr>
          <w:rFonts w:ascii="Times New Roman" w:hAnsi="Times New Roman" w:cs="Times New Roman"/>
          <w:b/>
        </w:rPr>
        <w:t>Objectives</w:t>
      </w:r>
      <w:r w:rsidR="007A1C4A" w:rsidRPr="00027FA3">
        <w:rPr>
          <w:rFonts w:ascii="Times New Roman" w:hAnsi="Times New Roman" w:cs="Times New Roman"/>
          <w:b/>
        </w:rPr>
        <w:t>:</w:t>
      </w:r>
    </w:p>
    <w:p w:rsidR="007A1C4A" w:rsidRPr="00027FA3" w:rsidRDefault="007A1C4A" w:rsidP="007A1C4A">
      <w:pPr>
        <w:spacing w:after="0"/>
        <w:rPr>
          <w:rFonts w:ascii="Times New Roman" w:hAnsi="Times New Roman" w:cs="Times New Roman"/>
        </w:rPr>
      </w:pPr>
      <w:r w:rsidRPr="00027FA3">
        <w:rPr>
          <w:rFonts w:ascii="Times New Roman" w:hAnsi="Times New Roman" w:cs="Times New Roman"/>
        </w:rPr>
        <w:t xml:space="preserve">To embed interventions designed to measure and improve patient engagement in </w:t>
      </w:r>
      <w:r w:rsidR="00027FA3">
        <w:rPr>
          <w:rFonts w:ascii="Times New Roman" w:hAnsi="Times New Roman" w:cs="Times New Roman"/>
        </w:rPr>
        <w:t>clinic</w:t>
      </w:r>
      <w:r w:rsidRPr="00027FA3">
        <w:rPr>
          <w:rFonts w:ascii="Times New Roman" w:hAnsi="Times New Roman" w:cs="Times New Roman"/>
        </w:rPr>
        <w:t xml:space="preserve"> consultation</w:t>
      </w:r>
      <w:r w:rsidR="00027FA3">
        <w:rPr>
          <w:rFonts w:ascii="Times New Roman" w:hAnsi="Times New Roman" w:cs="Times New Roman"/>
        </w:rPr>
        <w:t>s</w:t>
      </w:r>
      <w:r w:rsidR="00AF4C2C">
        <w:rPr>
          <w:rFonts w:ascii="Times New Roman" w:hAnsi="Times New Roman" w:cs="Times New Roman"/>
        </w:rPr>
        <w:t>.</w:t>
      </w:r>
    </w:p>
    <w:p w:rsidR="007A1C4A" w:rsidRPr="00027FA3" w:rsidRDefault="007A1C4A" w:rsidP="007A1C4A">
      <w:pPr>
        <w:spacing w:after="0"/>
        <w:rPr>
          <w:rFonts w:ascii="Times New Roman" w:hAnsi="Times New Roman" w:cs="Times New Roman"/>
        </w:rPr>
      </w:pPr>
      <w:proofErr w:type="gramStart"/>
      <w:r w:rsidRPr="00027FA3">
        <w:rPr>
          <w:rFonts w:ascii="Times New Roman" w:hAnsi="Times New Roman" w:cs="Times New Roman"/>
        </w:rPr>
        <w:t xml:space="preserve">To </w:t>
      </w:r>
      <w:r w:rsidR="00027FA3">
        <w:rPr>
          <w:rFonts w:ascii="Times New Roman" w:hAnsi="Times New Roman" w:cs="Times New Roman"/>
        </w:rPr>
        <w:t>collect</w:t>
      </w:r>
      <w:r w:rsidRPr="00027FA3">
        <w:rPr>
          <w:rFonts w:ascii="Times New Roman" w:hAnsi="Times New Roman" w:cs="Times New Roman"/>
        </w:rPr>
        <w:t xml:space="preserve"> Patie</w:t>
      </w:r>
      <w:r w:rsidR="00F411F0">
        <w:rPr>
          <w:rFonts w:ascii="Times New Roman" w:hAnsi="Times New Roman" w:cs="Times New Roman"/>
        </w:rPr>
        <w:t xml:space="preserve">nt Activation Measure (PAM) </w:t>
      </w:r>
      <w:r w:rsidRPr="00027FA3">
        <w:rPr>
          <w:rFonts w:ascii="Times New Roman" w:hAnsi="Times New Roman" w:cs="Times New Roman"/>
        </w:rPr>
        <w:t>data</w:t>
      </w:r>
      <w:r w:rsidR="00F411F0">
        <w:rPr>
          <w:rFonts w:ascii="Times New Roman" w:hAnsi="Times New Roman" w:cs="Times New Roman"/>
        </w:rPr>
        <w:t xml:space="preserve"> at baseline</w:t>
      </w:r>
      <w:r w:rsidR="00027FA3">
        <w:rPr>
          <w:rFonts w:ascii="Times New Roman" w:hAnsi="Times New Roman" w:cs="Times New Roman"/>
        </w:rPr>
        <w:t xml:space="preserve"> and </w:t>
      </w:r>
      <w:r w:rsidR="000C2498">
        <w:rPr>
          <w:rFonts w:ascii="Times New Roman" w:hAnsi="Times New Roman" w:cs="Times New Roman"/>
        </w:rPr>
        <w:t>4 to 6 months later.</w:t>
      </w:r>
      <w:proofErr w:type="gramEnd"/>
    </w:p>
    <w:p w:rsidR="00AD05EB" w:rsidRPr="00027FA3" w:rsidRDefault="00003562" w:rsidP="007A1C4A">
      <w:pPr>
        <w:spacing w:after="0"/>
        <w:rPr>
          <w:rFonts w:ascii="Times New Roman" w:hAnsi="Times New Roman" w:cs="Times New Roman"/>
          <w:b/>
        </w:rPr>
      </w:pPr>
      <w:r>
        <w:rPr>
          <w:rFonts w:ascii="Times New Roman" w:hAnsi="Times New Roman" w:cs="Times New Roman"/>
          <w:b/>
        </w:rPr>
        <w:t>Method</w:t>
      </w:r>
      <w:r w:rsidR="00AD05EB" w:rsidRPr="00027FA3">
        <w:rPr>
          <w:rFonts w:ascii="Times New Roman" w:hAnsi="Times New Roman" w:cs="Times New Roman"/>
          <w:b/>
        </w:rPr>
        <w:t>:</w:t>
      </w:r>
    </w:p>
    <w:p w:rsidR="007A1C4A" w:rsidRPr="00027FA3" w:rsidRDefault="007A1C4A" w:rsidP="007A1C4A">
      <w:pPr>
        <w:spacing w:after="0"/>
        <w:rPr>
          <w:rFonts w:ascii="Times New Roman" w:hAnsi="Times New Roman" w:cs="Times New Roman"/>
        </w:rPr>
      </w:pPr>
      <w:r w:rsidRPr="00027FA3">
        <w:rPr>
          <w:rFonts w:ascii="Times New Roman" w:hAnsi="Times New Roman" w:cs="Times New Roman"/>
        </w:rPr>
        <w:t>Each renal transplant patient was offered an appointment, in conjunction with their rout</w:t>
      </w:r>
      <w:r w:rsidR="00AF4C2C">
        <w:rPr>
          <w:rFonts w:ascii="Times New Roman" w:hAnsi="Times New Roman" w:cs="Times New Roman"/>
        </w:rPr>
        <w:t>ine clinic attendance, to see a</w:t>
      </w:r>
      <w:r w:rsidRPr="00027FA3">
        <w:rPr>
          <w:rFonts w:ascii="Times New Roman" w:hAnsi="Times New Roman" w:cs="Times New Roman"/>
        </w:rPr>
        <w:t xml:space="preserve"> pharmacist and/o</w:t>
      </w:r>
      <w:r w:rsidR="00AD05EB" w:rsidRPr="00027FA3">
        <w:rPr>
          <w:rFonts w:ascii="Times New Roman" w:hAnsi="Times New Roman" w:cs="Times New Roman"/>
        </w:rPr>
        <w:t>r specialist nurse to discuss</w:t>
      </w:r>
      <w:r w:rsidRPr="00027FA3">
        <w:rPr>
          <w:rFonts w:ascii="Times New Roman" w:hAnsi="Times New Roman" w:cs="Times New Roman"/>
        </w:rPr>
        <w:t xml:space="preserve"> repatriation of immunosuppressant prescribing. The repatriation appointment also included:</w:t>
      </w:r>
    </w:p>
    <w:p w:rsidR="007A1C4A" w:rsidRPr="00027FA3" w:rsidRDefault="007A1C4A" w:rsidP="00E3588F">
      <w:pPr>
        <w:pStyle w:val="ListParagraph"/>
        <w:numPr>
          <w:ilvl w:val="0"/>
          <w:numId w:val="1"/>
        </w:numPr>
        <w:spacing w:after="0"/>
        <w:rPr>
          <w:rFonts w:ascii="Times New Roman" w:hAnsi="Times New Roman" w:cs="Times New Roman"/>
        </w:rPr>
      </w:pPr>
      <w:r w:rsidRPr="00027FA3">
        <w:rPr>
          <w:rFonts w:ascii="Times New Roman" w:hAnsi="Times New Roman" w:cs="Times New Roman"/>
        </w:rPr>
        <w:t>Encouragement to sign up to and to use Patient View</w:t>
      </w:r>
    </w:p>
    <w:p w:rsidR="007A1C4A" w:rsidRPr="00027FA3" w:rsidRDefault="007A1C4A" w:rsidP="007A1C4A">
      <w:pPr>
        <w:pStyle w:val="ListParagraph"/>
        <w:numPr>
          <w:ilvl w:val="0"/>
          <w:numId w:val="1"/>
        </w:numPr>
        <w:spacing w:after="0"/>
        <w:rPr>
          <w:rFonts w:ascii="Times New Roman" w:hAnsi="Times New Roman" w:cs="Times New Roman"/>
        </w:rPr>
      </w:pPr>
      <w:r w:rsidRPr="00027FA3">
        <w:rPr>
          <w:rFonts w:ascii="Times New Roman" w:hAnsi="Times New Roman" w:cs="Times New Roman"/>
        </w:rPr>
        <w:t xml:space="preserve">Enrolment to “Florence” text messaging service, which allows brand switch reminders and dose adjustment instructions to be communicated via text message </w:t>
      </w:r>
    </w:p>
    <w:p w:rsidR="007A1C4A" w:rsidRPr="00027FA3" w:rsidRDefault="007A1C4A" w:rsidP="007A1C4A">
      <w:pPr>
        <w:pStyle w:val="ListParagraph"/>
        <w:numPr>
          <w:ilvl w:val="0"/>
          <w:numId w:val="1"/>
        </w:numPr>
        <w:spacing w:after="0"/>
        <w:rPr>
          <w:rFonts w:ascii="Times New Roman" w:hAnsi="Times New Roman" w:cs="Times New Roman"/>
        </w:rPr>
      </w:pPr>
      <w:r w:rsidRPr="00027FA3">
        <w:rPr>
          <w:rFonts w:ascii="Times New Roman" w:hAnsi="Times New Roman" w:cs="Times New Roman"/>
        </w:rPr>
        <w:t>Medication and concordance review, includi</w:t>
      </w:r>
      <w:r w:rsidR="00055F7B">
        <w:rPr>
          <w:rFonts w:ascii="Times New Roman" w:hAnsi="Times New Roman" w:cs="Times New Roman"/>
        </w:rPr>
        <w:t>ng advice on timing of doses,</w:t>
      </w:r>
      <w:r w:rsidRPr="00027FA3">
        <w:rPr>
          <w:rFonts w:ascii="Times New Roman" w:hAnsi="Times New Roman" w:cs="Times New Roman"/>
        </w:rPr>
        <w:t xml:space="preserve"> simplification of dose regimens and disposal of medicines that are expired or no longer required </w:t>
      </w:r>
    </w:p>
    <w:p w:rsidR="007A1C4A" w:rsidRDefault="007A1C4A" w:rsidP="007A1C4A">
      <w:pPr>
        <w:pStyle w:val="ListParagraph"/>
        <w:numPr>
          <w:ilvl w:val="0"/>
          <w:numId w:val="1"/>
        </w:numPr>
        <w:spacing w:after="0"/>
        <w:rPr>
          <w:rFonts w:ascii="Times New Roman" w:hAnsi="Times New Roman" w:cs="Times New Roman"/>
        </w:rPr>
      </w:pPr>
      <w:r w:rsidRPr="00027FA3">
        <w:rPr>
          <w:rFonts w:ascii="Times New Roman" w:hAnsi="Times New Roman" w:cs="Times New Roman"/>
        </w:rPr>
        <w:t xml:space="preserve">Provision of a medication reminder card and advice on use of weekly </w:t>
      </w:r>
      <w:proofErr w:type="spellStart"/>
      <w:r w:rsidRPr="00027FA3">
        <w:rPr>
          <w:rFonts w:ascii="Times New Roman" w:hAnsi="Times New Roman" w:cs="Times New Roman"/>
        </w:rPr>
        <w:t>medipacks</w:t>
      </w:r>
      <w:proofErr w:type="spellEnd"/>
      <w:r w:rsidRPr="00027FA3">
        <w:rPr>
          <w:rFonts w:ascii="Times New Roman" w:hAnsi="Times New Roman" w:cs="Times New Roman"/>
        </w:rPr>
        <w:t xml:space="preserve"> if needed</w:t>
      </w:r>
    </w:p>
    <w:p w:rsidR="003B782D" w:rsidRPr="003B782D" w:rsidRDefault="003B782D" w:rsidP="003B782D">
      <w:pPr>
        <w:spacing w:after="0"/>
        <w:rPr>
          <w:rFonts w:ascii="Times New Roman" w:hAnsi="Times New Roman" w:cs="Times New Roman"/>
        </w:rPr>
      </w:pPr>
      <w:r>
        <w:rPr>
          <w:rFonts w:ascii="Times New Roman" w:hAnsi="Times New Roman" w:cs="Times New Roman"/>
        </w:rPr>
        <w:t>Patients were asked to complete a</w:t>
      </w:r>
      <w:r w:rsidR="00F411F0">
        <w:rPr>
          <w:rFonts w:ascii="Times New Roman" w:hAnsi="Times New Roman" w:cs="Times New Roman"/>
        </w:rPr>
        <w:t xml:space="preserve"> PAM </w:t>
      </w:r>
      <w:r w:rsidR="00E3588F">
        <w:rPr>
          <w:rFonts w:ascii="Times New Roman" w:hAnsi="Times New Roman" w:cs="Times New Roman"/>
        </w:rPr>
        <w:t xml:space="preserve">survey as part of the TP-CKD programme whilst waiting to be seen, and completed a </w:t>
      </w:r>
      <w:r w:rsidR="00F411F0">
        <w:rPr>
          <w:rFonts w:ascii="Times New Roman" w:hAnsi="Times New Roman" w:cs="Times New Roman"/>
        </w:rPr>
        <w:t>second PAM</w:t>
      </w:r>
      <w:r>
        <w:rPr>
          <w:rFonts w:ascii="Times New Roman" w:hAnsi="Times New Roman" w:cs="Times New Roman"/>
        </w:rPr>
        <w:t xml:space="preserve"> survey at </w:t>
      </w:r>
      <w:r w:rsidR="00E3588F">
        <w:rPr>
          <w:rFonts w:ascii="Times New Roman" w:hAnsi="Times New Roman" w:cs="Times New Roman"/>
        </w:rPr>
        <w:t>a</w:t>
      </w:r>
      <w:r w:rsidR="00505596">
        <w:rPr>
          <w:rFonts w:ascii="Times New Roman" w:hAnsi="Times New Roman" w:cs="Times New Roman"/>
        </w:rPr>
        <w:t xml:space="preserve"> subsequent</w:t>
      </w:r>
      <w:r>
        <w:rPr>
          <w:rFonts w:ascii="Times New Roman" w:hAnsi="Times New Roman" w:cs="Times New Roman"/>
        </w:rPr>
        <w:t xml:space="preserve"> clinic review. </w:t>
      </w:r>
    </w:p>
    <w:p w:rsidR="007A1C4A" w:rsidRDefault="007A1C4A" w:rsidP="007A1C4A">
      <w:pPr>
        <w:spacing w:after="0"/>
        <w:rPr>
          <w:rFonts w:ascii="Times New Roman" w:hAnsi="Times New Roman" w:cs="Times New Roman"/>
          <w:b/>
        </w:rPr>
      </w:pPr>
      <w:r w:rsidRPr="00027FA3">
        <w:rPr>
          <w:rFonts w:ascii="Times New Roman" w:hAnsi="Times New Roman" w:cs="Times New Roman"/>
          <w:b/>
        </w:rPr>
        <w:t>R</w:t>
      </w:r>
      <w:r w:rsidR="00003562">
        <w:rPr>
          <w:rFonts w:ascii="Times New Roman" w:hAnsi="Times New Roman" w:cs="Times New Roman"/>
          <w:b/>
        </w:rPr>
        <w:t>esults</w:t>
      </w:r>
      <w:r w:rsidRPr="00027FA3">
        <w:rPr>
          <w:rFonts w:ascii="Times New Roman" w:hAnsi="Times New Roman" w:cs="Times New Roman"/>
          <w:b/>
        </w:rPr>
        <w:t>:</w:t>
      </w:r>
    </w:p>
    <w:p w:rsidR="00055F7B" w:rsidRPr="00055F7B" w:rsidRDefault="00055F7B" w:rsidP="007A1C4A">
      <w:pPr>
        <w:spacing w:after="0"/>
        <w:rPr>
          <w:rFonts w:ascii="Times New Roman" w:hAnsi="Times New Roman" w:cs="Times New Roman"/>
        </w:rPr>
      </w:pPr>
      <w:r>
        <w:rPr>
          <w:rFonts w:ascii="Times New Roman" w:hAnsi="Times New Roman" w:cs="Times New Roman"/>
        </w:rPr>
        <w:t xml:space="preserve">PAM results are </w:t>
      </w:r>
      <w:r w:rsidR="00F93648">
        <w:rPr>
          <w:rFonts w:ascii="Times New Roman" w:hAnsi="Times New Roman" w:cs="Times New Roman"/>
        </w:rPr>
        <w:t>shown graphically below</w:t>
      </w:r>
      <w:r>
        <w:rPr>
          <w:rFonts w:ascii="Times New Roman" w:hAnsi="Times New Roman" w:cs="Times New Roman"/>
        </w:rPr>
        <w:t>.</w:t>
      </w:r>
      <w:r w:rsidR="00F93648">
        <w:rPr>
          <w:rFonts w:ascii="Times New Roman" w:hAnsi="Times New Roman" w:cs="Times New Roman"/>
        </w:rPr>
        <w:t xml:space="preserve"> There is a small apparent increase in patient activation although the difference in the proportion of patients at each level is not statistically significant (</w:t>
      </w:r>
      <w:r w:rsidR="00F411F0">
        <w:rPr>
          <w:rFonts w:ascii="Times New Roman" w:hAnsi="Times New Roman" w:cs="Times New Roman"/>
        </w:rPr>
        <w:t>Pearson’s c</w:t>
      </w:r>
      <w:r w:rsidR="00F93648">
        <w:rPr>
          <w:rFonts w:ascii="Times New Roman" w:hAnsi="Times New Roman" w:cs="Times New Roman"/>
        </w:rPr>
        <w:t>hi</w:t>
      </w:r>
      <w:r w:rsidR="00F411F0">
        <w:rPr>
          <w:rFonts w:ascii="Times New Roman" w:hAnsi="Times New Roman" w:cs="Times New Roman"/>
        </w:rPr>
        <w:t>-squared test</w:t>
      </w:r>
      <w:r w:rsidR="00F93648">
        <w:rPr>
          <w:rFonts w:ascii="Times New Roman" w:hAnsi="Times New Roman" w:cs="Times New Roman"/>
        </w:rPr>
        <w:t>).</w:t>
      </w:r>
      <w:r>
        <w:rPr>
          <w:rFonts w:ascii="Times New Roman" w:hAnsi="Times New Roman" w:cs="Times New Roman"/>
        </w:rPr>
        <w:t xml:space="preserve"> </w:t>
      </w:r>
    </w:p>
    <w:p w:rsidR="00FF6367" w:rsidRDefault="0075041E" w:rsidP="007337E4">
      <w:pPr>
        <w:spacing w:after="0"/>
        <w:rPr>
          <w:rFonts w:ascii="Times New Roman" w:hAnsi="Times New Roman" w:cs="Times New Roman"/>
        </w:rPr>
      </w:pPr>
      <w:r>
        <w:rPr>
          <w:noProof/>
          <w:lang w:eastAsia="en-GB"/>
        </w:rPr>
        <w:drawing>
          <wp:inline distT="0" distB="0" distL="0" distR="0" wp14:anchorId="0625F103" wp14:editId="0C90CFCA">
            <wp:extent cx="5899867" cy="2178657"/>
            <wp:effectExtent l="0" t="0" r="2476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1C4A" w:rsidRPr="00027FA3" w:rsidRDefault="00F93648" w:rsidP="007A1C4A">
      <w:pPr>
        <w:spacing w:after="0"/>
        <w:rPr>
          <w:rFonts w:ascii="Times New Roman" w:hAnsi="Times New Roman" w:cs="Times New Roman"/>
          <w:b/>
        </w:rPr>
      </w:pPr>
      <w:r>
        <w:rPr>
          <w:rFonts w:ascii="Times New Roman" w:hAnsi="Times New Roman" w:cs="Times New Roman"/>
          <w:b/>
        </w:rPr>
        <w:t>D</w:t>
      </w:r>
      <w:r w:rsidR="00003562">
        <w:rPr>
          <w:rFonts w:ascii="Times New Roman" w:hAnsi="Times New Roman" w:cs="Times New Roman"/>
          <w:b/>
        </w:rPr>
        <w:t>iscussion</w:t>
      </w:r>
      <w:r w:rsidR="007A1C4A" w:rsidRPr="00027FA3">
        <w:rPr>
          <w:rFonts w:ascii="Times New Roman" w:hAnsi="Times New Roman" w:cs="Times New Roman"/>
          <w:b/>
        </w:rPr>
        <w:t>:</w:t>
      </w:r>
    </w:p>
    <w:p w:rsidR="00F93648" w:rsidRPr="00F93648" w:rsidRDefault="007337E4" w:rsidP="007A1C4A">
      <w:pPr>
        <w:spacing w:after="0"/>
        <w:rPr>
          <w:rFonts w:ascii="Times New Roman" w:hAnsi="Times New Roman" w:cs="Times New Roman"/>
        </w:rPr>
      </w:pPr>
      <w:r w:rsidRPr="007337E4">
        <w:rPr>
          <w:rFonts w:ascii="Times New Roman" w:hAnsi="Times New Roman" w:cs="Times New Roman"/>
        </w:rPr>
        <w:t xml:space="preserve">We have </w:t>
      </w:r>
      <w:r w:rsidR="001115AA">
        <w:rPr>
          <w:rFonts w:ascii="Times New Roman" w:hAnsi="Times New Roman" w:cs="Times New Roman"/>
        </w:rPr>
        <w:t>established</w:t>
      </w:r>
      <w:r>
        <w:rPr>
          <w:rFonts w:ascii="Times New Roman" w:hAnsi="Times New Roman" w:cs="Times New Roman"/>
        </w:rPr>
        <w:t xml:space="preserve"> the</w:t>
      </w:r>
      <w:r w:rsidR="001115AA">
        <w:rPr>
          <w:rFonts w:ascii="Times New Roman" w:hAnsi="Times New Roman" w:cs="Times New Roman"/>
        </w:rPr>
        <w:t xml:space="preserve"> routine</w:t>
      </w:r>
      <w:r>
        <w:rPr>
          <w:rFonts w:ascii="Times New Roman" w:hAnsi="Times New Roman" w:cs="Times New Roman"/>
        </w:rPr>
        <w:t xml:space="preserve"> collection of PAM data in the repatriation clinic.</w:t>
      </w:r>
      <w:r w:rsidR="0096111F">
        <w:rPr>
          <w:rFonts w:ascii="Times New Roman" w:hAnsi="Times New Roman" w:cs="Times New Roman"/>
        </w:rPr>
        <w:t xml:space="preserve"> We have incorporated interventions aimed at increasing patient engagement, such as enrolling patients on Patient View and “Florence”</w:t>
      </w:r>
      <w:r w:rsidR="001115AA">
        <w:rPr>
          <w:rFonts w:ascii="Times New Roman" w:hAnsi="Times New Roman" w:cs="Times New Roman"/>
        </w:rPr>
        <w:t xml:space="preserve"> </w:t>
      </w:r>
      <w:r w:rsidR="0096111F">
        <w:rPr>
          <w:rFonts w:ascii="Times New Roman" w:hAnsi="Times New Roman" w:cs="Times New Roman"/>
        </w:rPr>
        <w:t>into our consultations.</w:t>
      </w:r>
      <w:r w:rsidR="00F93648">
        <w:rPr>
          <w:rFonts w:ascii="Times New Roman" w:hAnsi="Times New Roman" w:cs="Times New Roman"/>
        </w:rPr>
        <w:t xml:space="preserve"> </w:t>
      </w:r>
      <w:r w:rsidR="00F93648" w:rsidRPr="00F93648">
        <w:rPr>
          <w:rFonts w:ascii="Times New Roman" w:hAnsi="Times New Roman" w:cs="Times New Roman"/>
        </w:rPr>
        <w:t>Furth</w:t>
      </w:r>
      <w:r w:rsidR="00F93648">
        <w:rPr>
          <w:rFonts w:ascii="Times New Roman" w:hAnsi="Times New Roman" w:cs="Times New Roman"/>
        </w:rPr>
        <w:t xml:space="preserve">er study is needed to </w:t>
      </w:r>
      <w:r w:rsidR="00AF4C2C">
        <w:rPr>
          <w:rFonts w:ascii="Times New Roman" w:hAnsi="Times New Roman" w:cs="Times New Roman"/>
        </w:rPr>
        <w:t>establish which of these (if any) can result in an increased PAM score.</w:t>
      </w:r>
    </w:p>
    <w:p w:rsidR="00BE5F70" w:rsidRPr="00027FA3" w:rsidRDefault="007A1C4A" w:rsidP="00BE5F70">
      <w:pPr>
        <w:spacing w:after="0"/>
        <w:rPr>
          <w:rFonts w:ascii="Times New Roman" w:hAnsi="Times New Roman" w:cs="Times New Roman"/>
        </w:rPr>
      </w:pPr>
      <w:r w:rsidRPr="00027FA3">
        <w:rPr>
          <w:rFonts w:ascii="Times New Roman" w:hAnsi="Times New Roman" w:cs="Times New Roman"/>
        </w:rPr>
        <w:t xml:space="preserve">As a multidisciplinary team, we are working with our TP-CKD colleagues to improve our knowledge and ability to interpret PAM results, and to identify interventions that we can use with individual patients to help increase their knowledge, skills and confidence to manage their </w:t>
      </w:r>
      <w:r w:rsidR="00505596">
        <w:rPr>
          <w:rFonts w:ascii="Times New Roman" w:hAnsi="Times New Roman" w:cs="Times New Roman"/>
        </w:rPr>
        <w:t>condition</w:t>
      </w:r>
      <w:r w:rsidRPr="00027FA3">
        <w:rPr>
          <w:rFonts w:ascii="Times New Roman" w:hAnsi="Times New Roman" w:cs="Times New Roman"/>
        </w:rPr>
        <w:t>.</w:t>
      </w:r>
      <w:bookmarkStart w:id="0" w:name="_GoBack"/>
      <w:bookmarkEnd w:id="0"/>
    </w:p>
    <w:sectPr w:rsidR="00BE5F70" w:rsidRPr="00027FA3" w:rsidSect="00CC2976">
      <w:pgSz w:w="11906" w:h="16838"/>
      <w:pgMar w:top="1247" w:right="1304" w:bottom="124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0FD"/>
    <w:multiLevelType w:val="hybridMultilevel"/>
    <w:tmpl w:val="3F6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548B3"/>
    <w:multiLevelType w:val="hybridMultilevel"/>
    <w:tmpl w:val="5A305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806AA9"/>
    <w:multiLevelType w:val="hybridMultilevel"/>
    <w:tmpl w:val="2E501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225C8B"/>
    <w:multiLevelType w:val="hybridMultilevel"/>
    <w:tmpl w:val="F3F2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4A"/>
    <w:rsid w:val="00003562"/>
    <w:rsid w:val="00027FA3"/>
    <w:rsid w:val="00055F7B"/>
    <w:rsid w:val="000C2498"/>
    <w:rsid w:val="001115AA"/>
    <w:rsid w:val="00142206"/>
    <w:rsid w:val="0037417A"/>
    <w:rsid w:val="003B782D"/>
    <w:rsid w:val="00505596"/>
    <w:rsid w:val="006E15D9"/>
    <w:rsid w:val="007149A0"/>
    <w:rsid w:val="007337E4"/>
    <w:rsid w:val="0075041E"/>
    <w:rsid w:val="007A1C4A"/>
    <w:rsid w:val="00802781"/>
    <w:rsid w:val="00834334"/>
    <w:rsid w:val="008919F3"/>
    <w:rsid w:val="00925BA0"/>
    <w:rsid w:val="0096111F"/>
    <w:rsid w:val="00AD05EB"/>
    <w:rsid w:val="00AF4C2C"/>
    <w:rsid w:val="00B007C8"/>
    <w:rsid w:val="00BE5F70"/>
    <w:rsid w:val="00C513DD"/>
    <w:rsid w:val="00CC2976"/>
    <w:rsid w:val="00E05E90"/>
    <w:rsid w:val="00E3588F"/>
    <w:rsid w:val="00EA55FA"/>
    <w:rsid w:val="00F411F0"/>
    <w:rsid w:val="00F80692"/>
    <w:rsid w:val="00F93648"/>
    <w:rsid w:val="00FE4BE6"/>
    <w:rsid w:val="00FF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A"/>
    <w:pPr>
      <w:ind w:left="720"/>
      <w:contextualSpacing/>
    </w:pPr>
  </w:style>
  <w:style w:type="paragraph" w:styleId="BalloonText">
    <w:name w:val="Balloon Text"/>
    <w:basedOn w:val="Normal"/>
    <w:link w:val="BalloonTextChar"/>
    <w:uiPriority w:val="99"/>
    <w:semiHidden/>
    <w:unhideWhenUsed/>
    <w:rsid w:val="00FF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67"/>
    <w:rPr>
      <w:rFonts w:ascii="Tahoma" w:hAnsi="Tahoma" w:cs="Tahoma"/>
      <w:sz w:val="16"/>
      <w:szCs w:val="16"/>
    </w:rPr>
  </w:style>
  <w:style w:type="character" w:styleId="Hyperlink">
    <w:name w:val="Hyperlink"/>
    <w:basedOn w:val="DefaultParagraphFont"/>
    <w:uiPriority w:val="99"/>
    <w:unhideWhenUsed/>
    <w:rsid w:val="00E358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A"/>
    <w:pPr>
      <w:ind w:left="720"/>
      <w:contextualSpacing/>
    </w:pPr>
  </w:style>
  <w:style w:type="paragraph" w:styleId="BalloonText">
    <w:name w:val="Balloon Text"/>
    <w:basedOn w:val="Normal"/>
    <w:link w:val="BalloonTextChar"/>
    <w:uiPriority w:val="99"/>
    <w:semiHidden/>
    <w:unhideWhenUsed/>
    <w:rsid w:val="00FF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67"/>
    <w:rPr>
      <w:rFonts w:ascii="Tahoma" w:hAnsi="Tahoma" w:cs="Tahoma"/>
      <w:sz w:val="16"/>
      <w:szCs w:val="16"/>
    </w:rPr>
  </w:style>
  <w:style w:type="character" w:styleId="Hyperlink">
    <w:name w:val="Hyperlink"/>
    <w:basedOn w:val="DefaultParagraphFont"/>
    <w:uiPriority w:val="99"/>
    <w:unhideWhenUsed/>
    <w:rsid w:val="00E35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uth-fnas01\home32\Departmental%20Home%20Drives\F\fraserr3\Renal\Renal%20Pharmacy%20Group\Poster\PAM%20PROM%20data%20for%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a:latin typeface="Times New Roman" panose="02020603050405020304" pitchFamily="18" charset="0"/>
                <a:cs typeface="Times New Roman" panose="02020603050405020304" pitchFamily="18" charset="0"/>
              </a:rPr>
              <a:t>Percentage of patients</a:t>
            </a:r>
            <a:r>
              <a:rPr lang="en-GB" sz="1100" baseline="0">
                <a:latin typeface="Times New Roman" panose="02020603050405020304" pitchFamily="18" charset="0"/>
                <a:cs typeface="Times New Roman" panose="02020603050405020304" pitchFamily="18" charset="0"/>
              </a:rPr>
              <a:t> at each activation level</a:t>
            </a:r>
            <a:endParaRPr lang="en-GB" sz="11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0"/>
          <c:order val="0"/>
          <c:tx>
            <c:strRef>
              <c:f>'Data analysis'!$B$16</c:f>
              <c:strCache>
                <c:ptCount val="1"/>
                <c:pt idx="0">
                  <c:v>Baseline n = 444</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'Data analysis'!$A$17:$A$20</c:f>
              <c:strCache>
                <c:ptCount val="4"/>
                <c:pt idx="0">
                  <c:v>Level 1 (disengaged and overwhelmed)</c:v>
                </c:pt>
                <c:pt idx="1">
                  <c:v>Level 2 (becoming aware)</c:v>
                </c:pt>
                <c:pt idx="2">
                  <c:v>Level 3 (taking action)</c:v>
                </c:pt>
                <c:pt idx="3">
                  <c:v>Level 4 (maintaining behaviours)</c:v>
                </c:pt>
              </c:strCache>
            </c:strRef>
          </c:cat>
          <c:val>
            <c:numRef>
              <c:f>'Data analysis'!$B$17:$B$20</c:f>
              <c:numCache>
                <c:formatCode>0</c:formatCode>
                <c:ptCount val="4"/>
                <c:pt idx="0">
                  <c:v>16</c:v>
                </c:pt>
                <c:pt idx="1">
                  <c:v>14</c:v>
                </c:pt>
                <c:pt idx="2">
                  <c:v>41</c:v>
                </c:pt>
                <c:pt idx="3">
                  <c:v>29</c:v>
                </c:pt>
              </c:numCache>
            </c:numRef>
          </c:val>
        </c:ser>
        <c:ser>
          <c:idx val="1"/>
          <c:order val="1"/>
          <c:tx>
            <c:strRef>
              <c:f>'Data analysis'!$C$16</c:f>
              <c:strCache>
                <c:ptCount val="1"/>
                <c:pt idx="0">
                  <c:v>Resurvey n = 103</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'Data analysis'!$A$17:$A$20</c:f>
              <c:strCache>
                <c:ptCount val="4"/>
                <c:pt idx="0">
                  <c:v>Level 1 (disengaged and overwhelmed)</c:v>
                </c:pt>
                <c:pt idx="1">
                  <c:v>Level 2 (becoming aware)</c:v>
                </c:pt>
                <c:pt idx="2">
                  <c:v>Level 3 (taking action)</c:v>
                </c:pt>
                <c:pt idx="3">
                  <c:v>Level 4 (maintaining behaviours)</c:v>
                </c:pt>
              </c:strCache>
            </c:strRef>
          </c:cat>
          <c:val>
            <c:numRef>
              <c:f>'Data analysis'!$C$17:$C$20</c:f>
              <c:numCache>
                <c:formatCode>0</c:formatCode>
                <c:ptCount val="4"/>
                <c:pt idx="0">
                  <c:v>11</c:v>
                </c:pt>
                <c:pt idx="1">
                  <c:v>10</c:v>
                </c:pt>
                <c:pt idx="2">
                  <c:v>42</c:v>
                </c:pt>
                <c:pt idx="3">
                  <c:v>37</c:v>
                </c:pt>
              </c:numCache>
            </c:numRef>
          </c:val>
        </c:ser>
        <c:dLbls>
          <c:showLegendKey val="0"/>
          <c:showVal val="1"/>
          <c:showCatName val="0"/>
          <c:showSerName val="0"/>
          <c:showPercent val="0"/>
          <c:showBubbleSize val="0"/>
        </c:dLbls>
        <c:gapWidth val="150"/>
        <c:overlap val="-25"/>
        <c:axId val="93770880"/>
        <c:axId val="93772416"/>
      </c:barChart>
      <c:catAx>
        <c:axId val="93770880"/>
        <c:scaling>
          <c:orientation val="minMax"/>
        </c:scaling>
        <c:delete val="0"/>
        <c:axPos val="b"/>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93772416"/>
        <c:crosses val="autoZero"/>
        <c:auto val="1"/>
        <c:lblAlgn val="ctr"/>
        <c:lblOffset val="100"/>
        <c:noMultiLvlLbl val="0"/>
      </c:catAx>
      <c:valAx>
        <c:axId val="93772416"/>
        <c:scaling>
          <c:orientation val="minMax"/>
        </c:scaling>
        <c:delete val="1"/>
        <c:axPos val="l"/>
        <c:numFmt formatCode="0" sourceLinked="1"/>
        <c:majorTickMark val="none"/>
        <c:minorTickMark val="none"/>
        <c:tickLblPos val="nextTo"/>
        <c:crossAx val="93770880"/>
        <c:crosses val="autoZero"/>
        <c:crossBetween val="between"/>
      </c:valAx>
    </c:plotArea>
    <c:legend>
      <c:legendPos val="r"/>
      <c:legendEntry>
        <c:idx val="0"/>
        <c:txPr>
          <a:bodyPr/>
          <a:lstStyle/>
          <a:p>
            <a:pPr>
              <a:defRPr sz="800">
                <a:latin typeface="Times New Roman" panose="02020603050405020304" pitchFamily="18" charset="0"/>
                <a:cs typeface="Times New Roman" panose="02020603050405020304" pitchFamily="18" charset="0"/>
              </a:defRPr>
            </a:pPr>
            <a:endParaRPr lang="en-US"/>
          </a:p>
        </c:txPr>
      </c:legendEntry>
      <c:legendEntry>
        <c:idx val="1"/>
        <c:txPr>
          <a:bodyPr/>
          <a:lstStyle/>
          <a:p>
            <a:pPr>
              <a:defRPr sz="800">
                <a:latin typeface="Times New Roman" panose="02020603050405020304" pitchFamily="18" charset="0"/>
                <a:cs typeface="Times New Roman" panose="02020603050405020304" pitchFamily="18" charset="0"/>
              </a:defRPr>
            </a:pPr>
            <a:endParaRPr lang="en-US"/>
          </a:p>
        </c:txPr>
      </c:legendEntry>
      <c:layout>
        <c:manualLayout>
          <c:xMode val="edge"/>
          <c:yMode val="edge"/>
          <c:x val="0.81354681385190553"/>
          <c:y val="0.25487567611616463"/>
          <c:w val="0.14416000631500009"/>
          <c:h val="0.4419630218760756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ABA5-F4F0-4C12-94B4-DB3BA839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Rachel (Pharmacist)</dc:creator>
  <cp:lastModifiedBy>Fraser, Rachel (Pharmacist)</cp:lastModifiedBy>
  <cp:revision>3</cp:revision>
  <dcterms:created xsi:type="dcterms:W3CDTF">2018-02-05T17:10:00Z</dcterms:created>
  <dcterms:modified xsi:type="dcterms:W3CDTF">2018-02-05T17:13:00Z</dcterms:modified>
</cp:coreProperties>
</file>