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23510" w14:textId="0D8BD918" w:rsidR="009E009C" w:rsidRPr="0043799E" w:rsidRDefault="009E009C" w:rsidP="00E2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99E">
        <w:rPr>
          <w:rFonts w:ascii="Times New Roman" w:hAnsi="Times New Roman" w:cs="Times New Roman"/>
          <w:b/>
          <w:sz w:val="24"/>
          <w:szCs w:val="24"/>
        </w:rPr>
        <w:t xml:space="preserve">UK Calciphylaxis Study:  </w:t>
      </w:r>
      <w:r w:rsidR="002443E3" w:rsidRPr="0043799E">
        <w:rPr>
          <w:rFonts w:ascii="Times New Roman" w:hAnsi="Times New Roman" w:cs="Times New Roman"/>
          <w:b/>
          <w:sz w:val="24"/>
          <w:szCs w:val="24"/>
        </w:rPr>
        <w:t>C</w:t>
      </w:r>
      <w:r w:rsidR="00DD3194" w:rsidRPr="0043799E">
        <w:rPr>
          <w:rFonts w:ascii="Times New Roman" w:hAnsi="Times New Roman" w:cs="Times New Roman"/>
          <w:b/>
          <w:sz w:val="24"/>
          <w:szCs w:val="24"/>
        </w:rPr>
        <w:t xml:space="preserve">linical </w:t>
      </w:r>
      <w:r w:rsidR="002443E3" w:rsidRPr="0043799E">
        <w:rPr>
          <w:rFonts w:ascii="Times New Roman" w:hAnsi="Times New Roman" w:cs="Times New Roman"/>
          <w:b/>
          <w:sz w:val="24"/>
          <w:szCs w:val="24"/>
        </w:rPr>
        <w:t>C</w:t>
      </w:r>
      <w:r w:rsidR="00DD3194" w:rsidRPr="0043799E">
        <w:rPr>
          <w:rFonts w:ascii="Times New Roman" w:hAnsi="Times New Roman" w:cs="Times New Roman"/>
          <w:b/>
          <w:sz w:val="24"/>
          <w:szCs w:val="24"/>
        </w:rPr>
        <w:t xml:space="preserve">haracteristics and </w:t>
      </w:r>
      <w:r w:rsidR="002443E3" w:rsidRPr="0043799E">
        <w:rPr>
          <w:rFonts w:ascii="Times New Roman" w:hAnsi="Times New Roman" w:cs="Times New Roman"/>
          <w:b/>
          <w:sz w:val="24"/>
          <w:szCs w:val="24"/>
        </w:rPr>
        <w:t>O</w:t>
      </w:r>
      <w:r w:rsidR="00DD3194" w:rsidRPr="0043799E">
        <w:rPr>
          <w:rFonts w:ascii="Times New Roman" w:hAnsi="Times New Roman" w:cs="Times New Roman"/>
          <w:b/>
          <w:sz w:val="24"/>
          <w:szCs w:val="24"/>
        </w:rPr>
        <w:t>utcomes</w:t>
      </w:r>
      <w:r w:rsidR="00E1088B" w:rsidRPr="0043799E">
        <w:rPr>
          <w:rFonts w:ascii="Times New Roman" w:hAnsi="Times New Roman" w:cs="Times New Roman"/>
          <w:b/>
          <w:sz w:val="24"/>
          <w:szCs w:val="24"/>
        </w:rPr>
        <w:t>-An update</w:t>
      </w:r>
    </w:p>
    <w:p w14:paraId="63062554" w14:textId="5AAC8DF1" w:rsidR="00D43E21" w:rsidRPr="0043799E" w:rsidRDefault="00E2562D" w:rsidP="00FC41CD">
      <w:pPr>
        <w:spacing w:after="0"/>
        <w:jc w:val="both"/>
        <w:rPr>
          <w:rFonts w:ascii="Times New Roman" w:hAnsi="Times New Roman" w:cs="Times New Roman"/>
          <w:b/>
        </w:rPr>
      </w:pPr>
      <w:r w:rsidRPr="0043799E">
        <w:rPr>
          <w:rFonts w:ascii="Times New Roman" w:hAnsi="Times New Roman" w:cs="Times New Roman"/>
          <w:b/>
        </w:rPr>
        <w:t xml:space="preserve">Background </w:t>
      </w:r>
    </w:p>
    <w:p w14:paraId="2A3E253F" w14:textId="4188F163" w:rsidR="00F700B8" w:rsidRPr="0043799E" w:rsidRDefault="00D43E21" w:rsidP="00FC41CD">
      <w:pPr>
        <w:spacing w:after="0"/>
        <w:jc w:val="both"/>
        <w:rPr>
          <w:rFonts w:ascii="Times New Roman" w:hAnsi="Times New Roman" w:cs="Times New Roman"/>
        </w:rPr>
      </w:pPr>
      <w:r w:rsidRPr="0043799E">
        <w:rPr>
          <w:rFonts w:ascii="Times New Roman" w:hAnsi="Times New Roman" w:cs="Times New Roman"/>
        </w:rPr>
        <w:t xml:space="preserve">Calcific uremic arteriolopathy (CUA), or calciphylaxis is a rare </w:t>
      </w:r>
      <w:r w:rsidR="00DD3194" w:rsidRPr="0043799E">
        <w:rPr>
          <w:rFonts w:ascii="Times New Roman" w:hAnsi="Times New Roman" w:cs="Times New Roman"/>
        </w:rPr>
        <w:t xml:space="preserve">but </w:t>
      </w:r>
      <w:proofErr w:type="gramStart"/>
      <w:r w:rsidRPr="0043799E">
        <w:rPr>
          <w:rFonts w:ascii="Times New Roman" w:hAnsi="Times New Roman" w:cs="Times New Roman"/>
        </w:rPr>
        <w:t>deleterious</w:t>
      </w:r>
      <w:proofErr w:type="gramEnd"/>
      <w:r w:rsidRPr="0043799E">
        <w:rPr>
          <w:rFonts w:ascii="Times New Roman" w:hAnsi="Times New Roman" w:cs="Times New Roman"/>
        </w:rPr>
        <w:t xml:space="preserve"> co</w:t>
      </w:r>
      <w:r w:rsidR="0045339D" w:rsidRPr="0043799E">
        <w:rPr>
          <w:rFonts w:ascii="Times New Roman" w:hAnsi="Times New Roman" w:cs="Times New Roman"/>
        </w:rPr>
        <w:t>ndition</w:t>
      </w:r>
      <w:r w:rsidRPr="0043799E">
        <w:rPr>
          <w:rFonts w:ascii="Times New Roman" w:hAnsi="Times New Roman" w:cs="Times New Roman"/>
        </w:rPr>
        <w:t xml:space="preserve"> </w:t>
      </w:r>
      <w:r w:rsidR="00DD3194" w:rsidRPr="0043799E">
        <w:rPr>
          <w:rFonts w:ascii="Times New Roman" w:hAnsi="Times New Roman" w:cs="Times New Roman"/>
        </w:rPr>
        <w:t xml:space="preserve">occurring </w:t>
      </w:r>
      <w:r w:rsidRPr="0043799E">
        <w:rPr>
          <w:rFonts w:ascii="Times New Roman" w:hAnsi="Times New Roman" w:cs="Times New Roman"/>
        </w:rPr>
        <w:t>due to calcification of blood vessels observed primarily in patients with end</w:t>
      </w:r>
      <w:r w:rsidR="00E2562D" w:rsidRPr="0043799E">
        <w:rPr>
          <w:rFonts w:ascii="Times New Roman" w:hAnsi="Times New Roman" w:cs="Times New Roman"/>
        </w:rPr>
        <w:t>-</w:t>
      </w:r>
      <w:r w:rsidRPr="0043799E">
        <w:rPr>
          <w:rFonts w:ascii="Times New Roman" w:hAnsi="Times New Roman" w:cs="Times New Roman"/>
        </w:rPr>
        <w:t>stage renal disease.</w:t>
      </w:r>
      <w:r w:rsidR="00F700B8" w:rsidRPr="0043799E">
        <w:rPr>
          <w:rFonts w:ascii="Times New Roman" w:hAnsi="Times New Roman" w:cs="Times New Roman"/>
        </w:rPr>
        <w:t xml:space="preserve"> </w:t>
      </w:r>
      <w:r w:rsidR="00E2562D" w:rsidRPr="0043799E">
        <w:rPr>
          <w:rFonts w:ascii="Times New Roman" w:hAnsi="Times New Roman" w:cs="Times New Roman"/>
        </w:rPr>
        <w:t>The a</w:t>
      </w:r>
      <w:r w:rsidR="00F700B8" w:rsidRPr="0043799E">
        <w:rPr>
          <w:rFonts w:ascii="Times New Roman" w:hAnsi="Times New Roman" w:cs="Times New Roman"/>
        </w:rPr>
        <w:t xml:space="preserve">nnual mortality rate </w:t>
      </w:r>
      <w:r w:rsidR="00E2562D" w:rsidRPr="0043799E">
        <w:rPr>
          <w:rFonts w:ascii="Times New Roman" w:hAnsi="Times New Roman" w:cs="Times New Roman"/>
        </w:rPr>
        <w:t>is reported to</w:t>
      </w:r>
      <w:r w:rsidR="00F700B8" w:rsidRPr="0043799E">
        <w:rPr>
          <w:rFonts w:ascii="Times New Roman" w:hAnsi="Times New Roman" w:cs="Times New Roman"/>
        </w:rPr>
        <w:t xml:space="preserve"> as high as 55% in patients with CU</w:t>
      </w:r>
      <w:r w:rsidR="00380E62" w:rsidRPr="0043799E">
        <w:rPr>
          <w:rFonts w:ascii="Times New Roman" w:hAnsi="Times New Roman" w:cs="Times New Roman"/>
        </w:rPr>
        <w:t>A</w:t>
      </w:r>
      <w:r w:rsidR="00F700B8" w:rsidRPr="0043799E">
        <w:rPr>
          <w:rFonts w:ascii="Times New Roman" w:hAnsi="Times New Roman" w:cs="Times New Roman"/>
        </w:rPr>
        <w:t xml:space="preserve"> (US data). </w:t>
      </w:r>
      <w:r w:rsidR="00263046" w:rsidRPr="0043799E">
        <w:rPr>
          <w:rFonts w:ascii="Times New Roman" w:hAnsi="Times New Roman" w:cs="Times New Roman"/>
        </w:rPr>
        <w:t>M</w:t>
      </w:r>
      <w:r w:rsidR="001076FC" w:rsidRPr="0043799E">
        <w:rPr>
          <w:rFonts w:ascii="Times New Roman" w:hAnsi="Times New Roman" w:cs="Times New Roman"/>
        </w:rPr>
        <w:t xml:space="preserve">anagement of this condition </w:t>
      </w:r>
      <w:r w:rsidR="00263046" w:rsidRPr="0043799E">
        <w:rPr>
          <w:rFonts w:ascii="Times New Roman" w:hAnsi="Times New Roman" w:cs="Times New Roman"/>
        </w:rPr>
        <w:t>includes a multifaceted approach. (medical,</w:t>
      </w:r>
      <w:r w:rsidR="00F12455" w:rsidRPr="0043799E">
        <w:rPr>
          <w:rFonts w:ascii="Times New Roman" w:hAnsi="Times New Roman" w:cs="Times New Roman"/>
        </w:rPr>
        <w:t xml:space="preserve"> </w:t>
      </w:r>
      <w:r w:rsidR="0045339D" w:rsidRPr="0043799E">
        <w:rPr>
          <w:rFonts w:ascii="Times New Roman" w:hAnsi="Times New Roman" w:cs="Times New Roman"/>
        </w:rPr>
        <w:t xml:space="preserve">increase in dialysis sessions, </w:t>
      </w:r>
      <w:r w:rsidR="00263046" w:rsidRPr="0043799E">
        <w:rPr>
          <w:rFonts w:ascii="Times New Roman" w:hAnsi="Times New Roman" w:cs="Times New Roman"/>
        </w:rPr>
        <w:t xml:space="preserve">wound </w:t>
      </w:r>
      <w:proofErr w:type="gramStart"/>
      <w:r w:rsidR="00263046" w:rsidRPr="0043799E">
        <w:rPr>
          <w:rFonts w:ascii="Times New Roman" w:hAnsi="Times New Roman" w:cs="Times New Roman"/>
        </w:rPr>
        <w:t>care</w:t>
      </w:r>
      <w:proofErr w:type="gramEnd"/>
      <w:r w:rsidR="00263046" w:rsidRPr="0043799E">
        <w:rPr>
          <w:rFonts w:ascii="Times New Roman" w:hAnsi="Times New Roman" w:cs="Times New Roman"/>
        </w:rPr>
        <w:t xml:space="preserve"> and surg</w:t>
      </w:r>
      <w:r w:rsidR="00DD3194" w:rsidRPr="0043799E">
        <w:rPr>
          <w:rFonts w:ascii="Times New Roman" w:hAnsi="Times New Roman" w:cs="Times New Roman"/>
        </w:rPr>
        <w:t>ery</w:t>
      </w:r>
      <w:r w:rsidR="00263046" w:rsidRPr="0043799E">
        <w:rPr>
          <w:rFonts w:ascii="Times New Roman" w:hAnsi="Times New Roman" w:cs="Times New Roman"/>
        </w:rPr>
        <w:t>)</w:t>
      </w:r>
      <w:r w:rsidR="001076FC" w:rsidRPr="0043799E">
        <w:rPr>
          <w:rFonts w:ascii="Times New Roman" w:hAnsi="Times New Roman" w:cs="Times New Roman"/>
        </w:rPr>
        <w:t>.</w:t>
      </w:r>
      <w:r w:rsidR="00F700B8" w:rsidRPr="0043799E">
        <w:rPr>
          <w:rFonts w:ascii="Times New Roman" w:hAnsi="Times New Roman" w:cs="Times New Roman"/>
        </w:rPr>
        <w:t xml:space="preserve"> Ongoing evaluation of the natural history, patient characteristics and management strategies are </w:t>
      </w:r>
      <w:proofErr w:type="gramStart"/>
      <w:r w:rsidR="00F700B8" w:rsidRPr="0043799E">
        <w:rPr>
          <w:rFonts w:ascii="Times New Roman" w:hAnsi="Times New Roman" w:cs="Times New Roman"/>
        </w:rPr>
        <w:t>warranted</w:t>
      </w:r>
      <w:proofErr w:type="gramEnd"/>
      <w:r w:rsidR="00F700B8" w:rsidRPr="0043799E">
        <w:rPr>
          <w:rFonts w:ascii="Times New Roman" w:hAnsi="Times New Roman" w:cs="Times New Roman"/>
        </w:rPr>
        <w:t xml:space="preserve"> for </w:t>
      </w:r>
      <w:r w:rsidR="00872D1A" w:rsidRPr="0043799E">
        <w:rPr>
          <w:rFonts w:ascii="Times New Roman" w:hAnsi="Times New Roman" w:cs="Times New Roman"/>
        </w:rPr>
        <w:t xml:space="preserve">early identification and </w:t>
      </w:r>
      <w:r w:rsidR="0045339D" w:rsidRPr="0043799E">
        <w:rPr>
          <w:rFonts w:ascii="Times New Roman" w:hAnsi="Times New Roman" w:cs="Times New Roman"/>
        </w:rPr>
        <w:t>initiating</w:t>
      </w:r>
      <w:r w:rsidR="00DD3194" w:rsidRPr="0043799E">
        <w:rPr>
          <w:rFonts w:ascii="Times New Roman" w:hAnsi="Times New Roman" w:cs="Times New Roman"/>
        </w:rPr>
        <w:t xml:space="preserve"> prompt </w:t>
      </w:r>
      <w:r w:rsidR="0045339D" w:rsidRPr="0043799E">
        <w:rPr>
          <w:rFonts w:ascii="Times New Roman" w:hAnsi="Times New Roman" w:cs="Times New Roman"/>
        </w:rPr>
        <w:t>management.</w:t>
      </w:r>
    </w:p>
    <w:p w14:paraId="346189E4" w14:textId="7247EDCC" w:rsidR="007B2AA4" w:rsidRPr="0043799E" w:rsidRDefault="00D43E21" w:rsidP="00FC41CD">
      <w:pPr>
        <w:spacing w:after="0"/>
        <w:jc w:val="both"/>
        <w:rPr>
          <w:rFonts w:ascii="Times New Roman" w:hAnsi="Times New Roman" w:cs="Times New Roman"/>
          <w:b/>
        </w:rPr>
      </w:pPr>
      <w:r w:rsidRPr="0043799E">
        <w:rPr>
          <w:rFonts w:ascii="Times New Roman" w:hAnsi="Times New Roman" w:cs="Times New Roman"/>
          <w:b/>
        </w:rPr>
        <w:t>Objective</w:t>
      </w:r>
      <w:r w:rsidR="002828B9" w:rsidRPr="0043799E">
        <w:rPr>
          <w:rFonts w:ascii="Times New Roman" w:hAnsi="Times New Roman" w:cs="Times New Roman"/>
          <w:b/>
        </w:rPr>
        <w:t>s</w:t>
      </w:r>
    </w:p>
    <w:p w14:paraId="5BC102A0" w14:textId="3964E4FD" w:rsidR="00D43E21" w:rsidRPr="0043799E" w:rsidRDefault="00D43E21" w:rsidP="00FC41CD">
      <w:pPr>
        <w:spacing w:after="0"/>
        <w:jc w:val="both"/>
        <w:rPr>
          <w:rFonts w:ascii="Times New Roman" w:hAnsi="Times New Roman" w:cs="Times New Roman"/>
        </w:rPr>
      </w:pPr>
      <w:r w:rsidRPr="0043799E">
        <w:rPr>
          <w:rFonts w:ascii="Times New Roman" w:hAnsi="Times New Roman" w:cs="Times New Roman"/>
        </w:rPr>
        <w:t>To investigate the</w:t>
      </w:r>
      <w:r w:rsidR="009E009C" w:rsidRPr="0043799E">
        <w:rPr>
          <w:rFonts w:ascii="Times New Roman" w:hAnsi="Times New Roman" w:cs="Times New Roman"/>
        </w:rPr>
        <w:t xml:space="preserve"> patient</w:t>
      </w:r>
      <w:r w:rsidRPr="0043799E">
        <w:rPr>
          <w:rFonts w:ascii="Times New Roman" w:hAnsi="Times New Roman" w:cs="Times New Roman"/>
        </w:rPr>
        <w:t xml:space="preserve"> characteristics</w:t>
      </w:r>
      <w:r w:rsidR="009E009C" w:rsidRPr="0043799E">
        <w:rPr>
          <w:rFonts w:ascii="Times New Roman" w:hAnsi="Times New Roman" w:cs="Times New Roman"/>
        </w:rPr>
        <w:t xml:space="preserve">, management strategies and </w:t>
      </w:r>
      <w:r w:rsidRPr="0043799E">
        <w:rPr>
          <w:rFonts w:ascii="Times New Roman" w:hAnsi="Times New Roman" w:cs="Times New Roman"/>
        </w:rPr>
        <w:t>outcome of CU</w:t>
      </w:r>
      <w:r w:rsidR="00F12455" w:rsidRPr="0043799E">
        <w:rPr>
          <w:rFonts w:ascii="Times New Roman" w:hAnsi="Times New Roman" w:cs="Times New Roman"/>
        </w:rPr>
        <w:t xml:space="preserve">A </w:t>
      </w:r>
      <w:r w:rsidRPr="0043799E">
        <w:rPr>
          <w:rFonts w:ascii="Times New Roman" w:hAnsi="Times New Roman" w:cs="Times New Roman"/>
        </w:rPr>
        <w:t xml:space="preserve">patients registered in UK calciphylaxis </w:t>
      </w:r>
      <w:r w:rsidR="0045339D" w:rsidRPr="0043799E">
        <w:rPr>
          <w:rFonts w:ascii="Times New Roman" w:hAnsi="Times New Roman" w:cs="Times New Roman"/>
        </w:rPr>
        <w:t>registry.</w:t>
      </w:r>
    </w:p>
    <w:p w14:paraId="56581E28" w14:textId="6F2179BB" w:rsidR="00D43E21" w:rsidRPr="0043799E" w:rsidRDefault="00D43E21" w:rsidP="00FC41CD">
      <w:pPr>
        <w:spacing w:after="0"/>
        <w:jc w:val="both"/>
        <w:rPr>
          <w:rFonts w:ascii="Times New Roman" w:hAnsi="Times New Roman" w:cs="Times New Roman"/>
          <w:b/>
        </w:rPr>
      </w:pPr>
      <w:r w:rsidRPr="0043799E">
        <w:rPr>
          <w:rFonts w:ascii="Times New Roman" w:hAnsi="Times New Roman" w:cs="Times New Roman"/>
          <w:b/>
        </w:rPr>
        <w:t>Method</w:t>
      </w:r>
      <w:r w:rsidR="002828B9" w:rsidRPr="0043799E">
        <w:rPr>
          <w:rFonts w:ascii="Times New Roman" w:hAnsi="Times New Roman" w:cs="Times New Roman"/>
          <w:b/>
        </w:rPr>
        <w:t>s</w:t>
      </w:r>
    </w:p>
    <w:p w14:paraId="380A5B80" w14:textId="72DE31E7" w:rsidR="008E3645" w:rsidRPr="0043799E" w:rsidRDefault="00D42F1A" w:rsidP="00FC4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99E">
        <w:rPr>
          <w:rFonts w:ascii="Times New Roman" w:hAnsi="Times New Roman" w:cs="Times New Roman"/>
        </w:rPr>
        <w:t>A</w:t>
      </w:r>
      <w:r w:rsidR="008E3645" w:rsidRPr="0043799E">
        <w:rPr>
          <w:rFonts w:ascii="Times New Roman" w:hAnsi="Times New Roman" w:cs="Times New Roman"/>
        </w:rPr>
        <w:t xml:space="preserve"> </w:t>
      </w:r>
      <w:r w:rsidR="00DD3194" w:rsidRPr="0043799E">
        <w:rPr>
          <w:rFonts w:ascii="Times New Roman" w:hAnsi="Times New Roman" w:cs="Times New Roman"/>
        </w:rPr>
        <w:t>c</w:t>
      </w:r>
      <w:r w:rsidR="00D43E21" w:rsidRPr="0043799E">
        <w:rPr>
          <w:rFonts w:ascii="Times New Roman" w:hAnsi="Times New Roman" w:cs="Times New Roman"/>
        </w:rPr>
        <w:t>ross</w:t>
      </w:r>
      <w:r w:rsidRPr="0043799E">
        <w:rPr>
          <w:rFonts w:ascii="Times New Roman" w:hAnsi="Times New Roman" w:cs="Times New Roman"/>
        </w:rPr>
        <w:t>-</w:t>
      </w:r>
      <w:r w:rsidR="00D43E21" w:rsidRPr="0043799E">
        <w:rPr>
          <w:rFonts w:ascii="Times New Roman" w:hAnsi="Times New Roman" w:cs="Times New Roman"/>
        </w:rPr>
        <w:t xml:space="preserve">sectional </w:t>
      </w:r>
      <w:r w:rsidR="009B5BAB" w:rsidRPr="0043799E">
        <w:rPr>
          <w:rFonts w:ascii="Times New Roman" w:hAnsi="Times New Roman" w:cs="Times New Roman"/>
        </w:rPr>
        <w:t>analysis</w:t>
      </w:r>
      <w:r w:rsidRPr="0043799E">
        <w:rPr>
          <w:rFonts w:ascii="Times New Roman" w:hAnsi="Times New Roman" w:cs="Times New Roman"/>
        </w:rPr>
        <w:t xml:space="preserve"> was carried out</w:t>
      </w:r>
      <w:r w:rsidR="00D43E21" w:rsidRPr="0043799E">
        <w:rPr>
          <w:rFonts w:ascii="Times New Roman" w:hAnsi="Times New Roman" w:cs="Times New Roman"/>
        </w:rPr>
        <w:t xml:space="preserve"> on patients registered in </w:t>
      </w:r>
      <w:r w:rsidR="00DD3194" w:rsidRPr="0043799E">
        <w:rPr>
          <w:rFonts w:ascii="Times New Roman" w:hAnsi="Times New Roman" w:cs="Times New Roman"/>
        </w:rPr>
        <w:t xml:space="preserve">the </w:t>
      </w:r>
      <w:r w:rsidR="00D43E21" w:rsidRPr="0043799E">
        <w:rPr>
          <w:rFonts w:ascii="Times New Roman" w:hAnsi="Times New Roman" w:cs="Times New Roman"/>
        </w:rPr>
        <w:t xml:space="preserve">UK calciphylaxis </w:t>
      </w:r>
      <w:r w:rsidR="008E3645" w:rsidRPr="0043799E">
        <w:rPr>
          <w:rFonts w:ascii="Times New Roman" w:hAnsi="Times New Roman" w:cs="Times New Roman"/>
        </w:rPr>
        <w:t>study</w:t>
      </w:r>
      <w:r w:rsidR="00D43E21" w:rsidRPr="0043799E">
        <w:rPr>
          <w:rFonts w:ascii="Times New Roman" w:hAnsi="Times New Roman" w:cs="Times New Roman"/>
        </w:rPr>
        <w:t xml:space="preserve"> between 201</w:t>
      </w:r>
      <w:r w:rsidR="00E854BF" w:rsidRPr="0043799E">
        <w:rPr>
          <w:rFonts w:ascii="Times New Roman" w:hAnsi="Times New Roman" w:cs="Times New Roman"/>
        </w:rPr>
        <w:t>3</w:t>
      </w:r>
      <w:r w:rsidR="00D43E21" w:rsidRPr="0043799E">
        <w:rPr>
          <w:rFonts w:ascii="Times New Roman" w:hAnsi="Times New Roman" w:cs="Times New Roman"/>
        </w:rPr>
        <w:t xml:space="preserve"> till 2017. </w:t>
      </w:r>
      <w:r w:rsidR="008E3645" w:rsidRPr="0043799E">
        <w:rPr>
          <w:rFonts w:ascii="Times New Roman" w:hAnsi="Times New Roman" w:cs="Times New Roman"/>
        </w:rPr>
        <w:t xml:space="preserve">The UK calciphylaxis study is a UK wide prospective observational internet-based registry of CKD patients associated calciphylaxis. Data including demographics, cardiovascular comorbidities, clinical characteristics, laboratory results, medications and therapeutic interventions are collected from all enrolled patients on a </w:t>
      </w:r>
      <w:r w:rsidR="0061456F" w:rsidRPr="0043799E">
        <w:rPr>
          <w:rFonts w:ascii="Times New Roman" w:hAnsi="Times New Roman" w:cs="Times New Roman"/>
        </w:rPr>
        <w:t>4-monthly</w:t>
      </w:r>
      <w:r w:rsidR="008E3645" w:rsidRPr="0043799E">
        <w:rPr>
          <w:rFonts w:ascii="Times New Roman" w:hAnsi="Times New Roman" w:cs="Times New Roman"/>
        </w:rPr>
        <w:t xml:space="preserve"> basis. </w:t>
      </w:r>
      <w:r w:rsidR="00596C0E" w:rsidRPr="0043799E">
        <w:rPr>
          <w:rFonts w:ascii="Times New Roman" w:hAnsi="Times New Roman" w:cs="Times New Roman"/>
        </w:rPr>
        <w:t>Chi-Square test was used to test the significance of interventions with outcomes.</w:t>
      </w:r>
    </w:p>
    <w:p w14:paraId="553F6596" w14:textId="454EEB12" w:rsidR="00D43E21" w:rsidRPr="0043799E" w:rsidRDefault="00D43E21" w:rsidP="00FC4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799E">
        <w:rPr>
          <w:rFonts w:ascii="Times New Roman" w:hAnsi="Times New Roman" w:cs="Times New Roman"/>
          <w:b/>
        </w:rPr>
        <w:t>Results</w:t>
      </w:r>
    </w:p>
    <w:p w14:paraId="6B0687EE" w14:textId="28733C01" w:rsidR="008C6397" w:rsidRPr="0043799E" w:rsidRDefault="00315C43" w:rsidP="00FC4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99E">
        <w:rPr>
          <w:rFonts w:ascii="Times New Roman" w:hAnsi="Times New Roman" w:cs="Times New Roman"/>
        </w:rPr>
        <w:t xml:space="preserve">A total of </w:t>
      </w:r>
      <w:r w:rsidR="00AA066B" w:rsidRPr="0043799E">
        <w:rPr>
          <w:rFonts w:ascii="Times New Roman" w:hAnsi="Times New Roman" w:cs="Times New Roman"/>
        </w:rPr>
        <w:t>6</w:t>
      </w:r>
      <w:r w:rsidR="00CC0260" w:rsidRPr="0043799E">
        <w:rPr>
          <w:rFonts w:ascii="Times New Roman" w:hAnsi="Times New Roman" w:cs="Times New Roman"/>
        </w:rPr>
        <w:t>0</w:t>
      </w:r>
      <w:r w:rsidR="00F213A4" w:rsidRPr="0043799E">
        <w:rPr>
          <w:rFonts w:ascii="Times New Roman" w:hAnsi="Times New Roman" w:cs="Times New Roman"/>
        </w:rPr>
        <w:t xml:space="preserve"> </w:t>
      </w:r>
      <w:r w:rsidRPr="0043799E">
        <w:rPr>
          <w:rFonts w:ascii="Times New Roman" w:hAnsi="Times New Roman" w:cs="Times New Roman"/>
        </w:rPr>
        <w:t xml:space="preserve">patients with complete </w:t>
      </w:r>
      <w:r w:rsidR="00AA066B" w:rsidRPr="0043799E">
        <w:rPr>
          <w:rFonts w:ascii="Times New Roman" w:hAnsi="Times New Roman" w:cs="Times New Roman"/>
        </w:rPr>
        <w:t xml:space="preserve">follow-up </w:t>
      </w:r>
      <w:r w:rsidRPr="0043799E">
        <w:rPr>
          <w:rFonts w:ascii="Times New Roman" w:hAnsi="Times New Roman" w:cs="Times New Roman"/>
        </w:rPr>
        <w:t>datasets were included in this analysis.</w:t>
      </w:r>
      <w:r w:rsidR="00D03C7A" w:rsidRPr="0043799E">
        <w:rPr>
          <w:rFonts w:ascii="Times New Roman" w:hAnsi="Times New Roman" w:cs="Times New Roman"/>
        </w:rPr>
        <w:t xml:space="preserve"> At study </w:t>
      </w:r>
      <w:r w:rsidR="005B008F" w:rsidRPr="0043799E">
        <w:rPr>
          <w:rFonts w:ascii="Times New Roman" w:hAnsi="Times New Roman" w:cs="Times New Roman"/>
        </w:rPr>
        <w:t>baseline</w:t>
      </w:r>
      <w:r w:rsidR="00BE6F19" w:rsidRPr="0043799E">
        <w:rPr>
          <w:rFonts w:ascii="Times New Roman" w:hAnsi="Times New Roman" w:cs="Times New Roman"/>
        </w:rPr>
        <w:t>,</w:t>
      </w:r>
      <w:r w:rsidR="00D03C7A" w:rsidRPr="0043799E">
        <w:rPr>
          <w:rFonts w:ascii="Times New Roman" w:hAnsi="Times New Roman" w:cs="Times New Roman"/>
        </w:rPr>
        <w:t xml:space="preserve"> median age of our cohort was 5</w:t>
      </w:r>
      <w:r w:rsidR="00F213A4" w:rsidRPr="0043799E">
        <w:rPr>
          <w:rFonts w:ascii="Times New Roman" w:hAnsi="Times New Roman" w:cs="Times New Roman"/>
        </w:rPr>
        <w:t>8</w:t>
      </w:r>
      <w:r w:rsidR="00D03C7A" w:rsidRPr="0043799E">
        <w:rPr>
          <w:rFonts w:ascii="Times New Roman" w:hAnsi="Times New Roman" w:cs="Times New Roman"/>
        </w:rPr>
        <w:t xml:space="preserve">, </w:t>
      </w:r>
      <w:r w:rsidR="00FA35D7" w:rsidRPr="0043799E">
        <w:rPr>
          <w:rFonts w:ascii="Times New Roman" w:hAnsi="Times New Roman" w:cs="Times New Roman"/>
        </w:rPr>
        <w:t xml:space="preserve">with </w:t>
      </w:r>
      <w:r w:rsidR="00C06EA7" w:rsidRPr="0043799E">
        <w:rPr>
          <w:rFonts w:ascii="Times New Roman" w:hAnsi="Times New Roman" w:cs="Times New Roman"/>
        </w:rPr>
        <w:t xml:space="preserve">predominance of </w:t>
      </w:r>
      <w:r w:rsidR="00D03C7A" w:rsidRPr="0043799E">
        <w:rPr>
          <w:rFonts w:ascii="Times New Roman" w:hAnsi="Times New Roman" w:cs="Times New Roman"/>
        </w:rPr>
        <w:t xml:space="preserve">females </w:t>
      </w:r>
      <w:r w:rsidR="00CC0260" w:rsidRPr="0043799E">
        <w:rPr>
          <w:rFonts w:ascii="Times New Roman" w:hAnsi="Times New Roman" w:cs="Times New Roman"/>
        </w:rPr>
        <w:t>57</w:t>
      </w:r>
      <w:r w:rsidR="00D03C7A" w:rsidRPr="0043799E">
        <w:rPr>
          <w:rFonts w:ascii="Times New Roman" w:hAnsi="Times New Roman" w:cs="Times New Roman"/>
        </w:rPr>
        <w:t>% and Caucasians 9</w:t>
      </w:r>
      <w:r w:rsidR="00CC0260" w:rsidRPr="0043799E">
        <w:rPr>
          <w:rFonts w:ascii="Times New Roman" w:hAnsi="Times New Roman" w:cs="Times New Roman"/>
        </w:rPr>
        <w:t>5</w:t>
      </w:r>
      <w:r w:rsidR="00D03C7A" w:rsidRPr="0043799E">
        <w:rPr>
          <w:rFonts w:ascii="Times New Roman" w:hAnsi="Times New Roman" w:cs="Times New Roman"/>
        </w:rPr>
        <w:t xml:space="preserve">%. </w:t>
      </w:r>
      <w:r w:rsidR="00CC0260" w:rsidRPr="0043799E">
        <w:rPr>
          <w:rFonts w:ascii="Times New Roman" w:hAnsi="Times New Roman" w:cs="Times New Roman"/>
        </w:rPr>
        <w:t>70</w:t>
      </w:r>
      <w:r w:rsidR="00D03C7A" w:rsidRPr="0043799E">
        <w:rPr>
          <w:rFonts w:ascii="Times New Roman" w:hAnsi="Times New Roman" w:cs="Times New Roman"/>
        </w:rPr>
        <w:t xml:space="preserve">% were on haemodialysis at study entry. </w:t>
      </w:r>
      <w:r w:rsidR="00CC0260" w:rsidRPr="0043799E">
        <w:rPr>
          <w:rFonts w:ascii="Times New Roman" w:hAnsi="Times New Roman" w:cs="Times New Roman"/>
        </w:rPr>
        <w:t>52% were diabetic</w:t>
      </w:r>
      <w:r w:rsidR="00693C6D" w:rsidRPr="0043799E">
        <w:rPr>
          <w:rFonts w:ascii="Times New Roman" w:hAnsi="Times New Roman" w:cs="Times New Roman"/>
        </w:rPr>
        <w:t xml:space="preserve"> with median body mass index being 32 kg/m</w:t>
      </w:r>
      <w:r w:rsidR="00693C6D" w:rsidRPr="0043799E">
        <w:rPr>
          <w:rFonts w:ascii="Times New Roman" w:hAnsi="Times New Roman" w:cs="Times New Roman"/>
          <w:vertAlign w:val="superscript"/>
        </w:rPr>
        <w:t>2</w:t>
      </w:r>
      <w:r w:rsidR="00CC0260" w:rsidRPr="0043799E">
        <w:rPr>
          <w:rFonts w:ascii="Times New Roman" w:hAnsi="Times New Roman" w:cs="Times New Roman"/>
        </w:rPr>
        <w:t>.</w:t>
      </w:r>
      <w:r w:rsidR="00D03C7A" w:rsidRPr="0043799E">
        <w:rPr>
          <w:rFonts w:ascii="Times New Roman" w:hAnsi="Times New Roman" w:cs="Times New Roman"/>
        </w:rPr>
        <w:t xml:space="preserve"> </w:t>
      </w:r>
      <w:r w:rsidR="008C6397" w:rsidRPr="0043799E">
        <w:rPr>
          <w:rFonts w:ascii="Times New Roman" w:hAnsi="Times New Roman" w:cs="Times New Roman"/>
        </w:rPr>
        <w:t xml:space="preserve">CUA skin lesions were </w:t>
      </w:r>
      <w:proofErr w:type="gramStart"/>
      <w:r w:rsidR="00C06EA7" w:rsidRPr="0043799E">
        <w:rPr>
          <w:rFonts w:ascii="Times New Roman" w:hAnsi="Times New Roman" w:cs="Times New Roman"/>
        </w:rPr>
        <w:t xml:space="preserve">predominantly </w:t>
      </w:r>
      <w:r w:rsidR="008C6397" w:rsidRPr="0043799E">
        <w:rPr>
          <w:rFonts w:ascii="Times New Roman" w:hAnsi="Times New Roman" w:cs="Times New Roman"/>
        </w:rPr>
        <w:t>noted</w:t>
      </w:r>
      <w:proofErr w:type="gramEnd"/>
      <w:r w:rsidR="008C6397" w:rsidRPr="0043799E">
        <w:rPr>
          <w:rFonts w:ascii="Times New Roman" w:hAnsi="Times New Roman" w:cs="Times New Roman"/>
        </w:rPr>
        <w:t xml:space="preserve"> in lower extremities</w:t>
      </w:r>
      <w:r w:rsidR="00881732" w:rsidRPr="0043799E">
        <w:rPr>
          <w:rFonts w:ascii="Times New Roman" w:hAnsi="Times New Roman" w:cs="Times New Roman"/>
        </w:rPr>
        <w:t xml:space="preserve"> 37</w:t>
      </w:r>
      <w:r w:rsidR="008C6397" w:rsidRPr="0043799E">
        <w:rPr>
          <w:rFonts w:ascii="Times New Roman" w:hAnsi="Times New Roman" w:cs="Times New Roman"/>
        </w:rPr>
        <w:t xml:space="preserve"> (</w:t>
      </w:r>
      <w:r w:rsidR="00FF5E67" w:rsidRPr="0043799E">
        <w:rPr>
          <w:rFonts w:ascii="Times New Roman" w:hAnsi="Times New Roman" w:cs="Times New Roman"/>
        </w:rPr>
        <w:t>62</w:t>
      </w:r>
      <w:r w:rsidR="008C6397" w:rsidRPr="0043799E">
        <w:rPr>
          <w:rFonts w:ascii="Times New Roman" w:hAnsi="Times New Roman" w:cs="Times New Roman"/>
        </w:rPr>
        <w:t xml:space="preserve">%) followed by thighs </w:t>
      </w:r>
      <w:r w:rsidR="00881732" w:rsidRPr="0043799E">
        <w:rPr>
          <w:rFonts w:ascii="Times New Roman" w:hAnsi="Times New Roman" w:cs="Times New Roman"/>
        </w:rPr>
        <w:t xml:space="preserve">17 </w:t>
      </w:r>
      <w:r w:rsidR="008C6397" w:rsidRPr="0043799E">
        <w:rPr>
          <w:rFonts w:ascii="Times New Roman" w:hAnsi="Times New Roman" w:cs="Times New Roman"/>
        </w:rPr>
        <w:t>(2</w:t>
      </w:r>
      <w:r w:rsidR="00FA35D7" w:rsidRPr="0043799E">
        <w:rPr>
          <w:rFonts w:ascii="Times New Roman" w:hAnsi="Times New Roman" w:cs="Times New Roman"/>
        </w:rPr>
        <w:t>8%)</w:t>
      </w:r>
      <w:r w:rsidR="008C6397" w:rsidRPr="0043799E">
        <w:rPr>
          <w:rFonts w:ascii="Times New Roman" w:hAnsi="Times New Roman" w:cs="Times New Roman"/>
        </w:rPr>
        <w:t xml:space="preserve"> and abdomen </w:t>
      </w:r>
      <w:r w:rsidR="00881732" w:rsidRPr="0043799E">
        <w:rPr>
          <w:rFonts w:ascii="Times New Roman" w:hAnsi="Times New Roman" w:cs="Times New Roman"/>
        </w:rPr>
        <w:t xml:space="preserve">10 </w:t>
      </w:r>
      <w:r w:rsidR="008C6397" w:rsidRPr="0043799E">
        <w:rPr>
          <w:rFonts w:ascii="Times New Roman" w:hAnsi="Times New Roman" w:cs="Times New Roman"/>
        </w:rPr>
        <w:t>(</w:t>
      </w:r>
      <w:r w:rsidR="00FA35D7" w:rsidRPr="0043799E">
        <w:rPr>
          <w:rFonts w:ascii="Times New Roman" w:hAnsi="Times New Roman" w:cs="Times New Roman"/>
        </w:rPr>
        <w:t>17</w:t>
      </w:r>
      <w:r w:rsidR="008C6397" w:rsidRPr="0043799E">
        <w:rPr>
          <w:rFonts w:ascii="Times New Roman" w:hAnsi="Times New Roman" w:cs="Times New Roman"/>
        </w:rPr>
        <w:t>%). The multifaceted approach in management is illustrated in table-1.</w:t>
      </w:r>
      <w:r w:rsidR="00127E08" w:rsidRPr="0043799E">
        <w:rPr>
          <w:rFonts w:ascii="Times New Roman" w:hAnsi="Times New Roman" w:cs="Times New Roman"/>
        </w:rPr>
        <w:t xml:space="preserve"> During this follow up period</w:t>
      </w:r>
      <w:r w:rsidR="00411AE6" w:rsidRPr="0043799E">
        <w:rPr>
          <w:rFonts w:ascii="Times New Roman" w:hAnsi="Times New Roman" w:cs="Times New Roman"/>
        </w:rPr>
        <w:t xml:space="preserve">, </w:t>
      </w:r>
      <w:r w:rsidR="00863074" w:rsidRPr="0043799E">
        <w:rPr>
          <w:rFonts w:ascii="Times New Roman" w:hAnsi="Times New Roman" w:cs="Times New Roman"/>
        </w:rPr>
        <w:t>18</w:t>
      </w:r>
      <w:r w:rsidR="00411AE6" w:rsidRPr="0043799E">
        <w:rPr>
          <w:rFonts w:ascii="Times New Roman" w:hAnsi="Times New Roman" w:cs="Times New Roman"/>
        </w:rPr>
        <w:t xml:space="preserve"> (</w:t>
      </w:r>
      <w:r w:rsidR="00F213A4" w:rsidRPr="0043799E">
        <w:rPr>
          <w:rFonts w:ascii="Times New Roman" w:hAnsi="Times New Roman" w:cs="Times New Roman"/>
        </w:rPr>
        <w:t>3</w:t>
      </w:r>
      <w:r w:rsidR="00822FBE" w:rsidRPr="0043799E">
        <w:rPr>
          <w:rFonts w:ascii="Times New Roman" w:hAnsi="Times New Roman" w:cs="Times New Roman"/>
        </w:rPr>
        <w:t>0</w:t>
      </w:r>
      <w:r w:rsidR="00411AE6" w:rsidRPr="0043799E">
        <w:rPr>
          <w:rFonts w:ascii="Times New Roman" w:hAnsi="Times New Roman" w:cs="Times New Roman"/>
        </w:rPr>
        <w:t xml:space="preserve">%) had an episode of </w:t>
      </w:r>
      <w:r w:rsidR="00127E08" w:rsidRPr="0043799E">
        <w:rPr>
          <w:rFonts w:ascii="Times New Roman" w:hAnsi="Times New Roman" w:cs="Times New Roman"/>
        </w:rPr>
        <w:t>bacteraemia</w:t>
      </w:r>
      <w:r w:rsidR="00C06EA7" w:rsidRPr="0043799E">
        <w:rPr>
          <w:rFonts w:ascii="Times New Roman" w:hAnsi="Times New Roman" w:cs="Times New Roman"/>
        </w:rPr>
        <w:t>, r</w:t>
      </w:r>
      <w:r w:rsidR="00127E08" w:rsidRPr="0043799E">
        <w:rPr>
          <w:rFonts w:ascii="Times New Roman" w:hAnsi="Times New Roman" w:cs="Times New Roman"/>
        </w:rPr>
        <w:t>esolution</w:t>
      </w:r>
      <w:r w:rsidR="00F213A4" w:rsidRPr="0043799E">
        <w:rPr>
          <w:rFonts w:ascii="Times New Roman" w:hAnsi="Times New Roman" w:cs="Times New Roman"/>
        </w:rPr>
        <w:t xml:space="preserve"> of skin lesions was noted in 11 (1</w:t>
      </w:r>
      <w:r w:rsidR="00822FBE" w:rsidRPr="0043799E">
        <w:rPr>
          <w:rFonts w:ascii="Times New Roman" w:hAnsi="Times New Roman" w:cs="Times New Roman"/>
        </w:rPr>
        <w:t>8</w:t>
      </w:r>
      <w:r w:rsidR="00F213A4" w:rsidRPr="0043799E">
        <w:rPr>
          <w:rFonts w:ascii="Times New Roman" w:hAnsi="Times New Roman" w:cs="Times New Roman"/>
        </w:rPr>
        <w:t>.3</w:t>
      </w:r>
      <w:r w:rsidR="00127E08" w:rsidRPr="0043799E">
        <w:rPr>
          <w:rFonts w:ascii="Times New Roman" w:hAnsi="Times New Roman" w:cs="Times New Roman"/>
        </w:rPr>
        <w:t>%</w:t>
      </w:r>
      <w:r w:rsidR="00F213A4" w:rsidRPr="0043799E">
        <w:rPr>
          <w:rFonts w:ascii="Times New Roman" w:hAnsi="Times New Roman" w:cs="Times New Roman"/>
        </w:rPr>
        <w:t>)</w:t>
      </w:r>
      <w:r w:rsidR="00BE6F19" w:rsidRPr="0043799E">
        <w:rPr>
          <w:rFonts w:ascii="Times New Roman" w:hAnsi="Times New Roman" w:cs="Times New Roman"/>
        </w:rPr>
        <w:t xml:space="preserve">, </w:t>
      </w:r>
      <w:r w:rsidR="00127E08" w:rsidRPr="0043799E">
        <w:rPr>
          <w:rFonts w:ascii="Times New Roman" w:hAnsi="Times New Roman" w:cs="Times New Roman"/>
        </w:rPr>
        <w:t xml:space="preserve">and </w:t>
      </w:r>
      <w:r w:rsidR="00BE6F19" w:rsidRPr="0043799E">
        <w:rPr>
          <w:rFonts w:ascii="Times New Roman" w:hAnsi="Times New Roman" w:cs="Times New Roman"/>
        </w:rPr>
        <w:t xml:space="preserve">the </w:t>
      </w:r>
      <w:r w:rsidR="00127E08" w:rsidRPr="0043799E">
        <w:rPr>
          <w:rFonts w:ascii="Times New Roman" w:hAnsi="Times New Roman" w:cs="Times New Roman"/>
        </w:rPr>
        <w:t xml:space="preserve">mortality </w:t>
      </w:r>
      <w:r w:rsidR="00F213A4" w:rsidRPr="0043799E">
        <w:rPr>
          <w:rFonts w:ascii="Times New Roman" w:hAnsi="Times New Roman" w:cs="Times New Roman"/>
        </w:rPr>
        <w:t>was 5</w:t>
      </w:r>
      <w:r w:rsidR="00822FBE" w:rsidRPr="0043799E">
        <w:rPr>
          <w:rFonts w:ascii="Times New Roman" w:hAnsi="Times New Roman" w:cs="Times New Roman"/>
        </w:rPr>
        <w:t>2</w:t>
      </w:r>
      <w:r w:rsidR="00F213A4" w:rsidRPr="0043799E">
        <w:rPr>
          <w:rFonts w:ascii="Times New Roman" w:hAnsi="Times New Roman" w:cs="Times New Roman"/>
        </w:rPr>
        <w:t>% (3</w:t>
      </w:r>
      <w:r w:rsidR="00822FBE" w:rsidRPr="0043799E">
        <w:rPr>
          <w:rFonts w:ascii="Times New Roman" w:hAnsi="Times New Roman" w:cs="Times New Roman"/>
        </w:rPr>
        <w:t>1</w:t>
      </w:r>
      <w:r w:rsidR="00F213A4" w:rsidRPr="0043799E">
        <w:rPr>
          <w:rFonts w:ascii="Times New Roman" w:hAnsi="Times New Roman" w:cs="Times New Roman"/>
        </w:rPr>
        <w:t xml:space="preserve"> of </w:t>
      </w:r>
      <w:r w:rsidR="00822FBE" w:rsidRPr="0043799E">
        <w:rPr>
          <w:rFonts w:ascii="Times New Roman" w:hAnsi="Times New Roman" w:cs="Times New Roman"/>
        </w:rPr>
        <w:t>60</w:t>
      </w:r>
      <w:r w:rsidR="00127E08" w:rsidRPr="0043799E">
        <w:rPr>
          <w:rFonts w:ascii="Times New Roman" w:hAnsi="Times New Roman" w:cs="Times New Roman"/>
        </w:rPr>
        <w:t xml:space="preserve">). </w:t>
      </w:r>
      <w:r w:rsidR="00CF41A9" w:rsidRPr="0043799E">
        <w:rPr>
          <w:rFonts w:ascii="Times New Roman" w:hAnsi="Times New Roman" w:cs="Times New Roman"/>
        </w:rPr>
        <w:t>There was no s</w:t>
      </w:r>
      <w:r w:rsidR="00127E08" w:rsidRPr="0043799E">
        <w:rPr>
          <w:rFonts w:ascii="Times New Roman" w:hAnsi="Times New Roman" w:cs="Times New Roman"/>
        </w:rPr>
        <w:t xml:space="preserve">tatistical significant difference </w:t>
      </w:r>
      <w:proofErr w:type="gramStart"/>
      <w:r w:rsidR="00127E08" w:rsidRPr="0043799E">
        <w:rPr>
          <w:rFonts w:ascii="Times New Roman" w:hAnsi="Times New Roman" w:cs="Times New Roman"/>
        </w:rPr>
        <w:t>observed</w:t>
      </w:r>
      <w:proofErr w:type="gramEnd"/>
      <w:r w:rsidR="00127E08" w:rsidRPr="0043799E">
        <w:rPr>
          <w:rFonts w:ascii="Times New Roman" w:hAnsi="Times New Roman" w:cs="Times New Roman"/>
        </w:rPr>
        <w:t xml:space="preserve"> </w:t>
      </w:r>
      <w:r w:rsidR="0061456F" w:rsidRPr="0043799E">
        <w:rPr>
          <w:rFonts w:ascii="Times New Roman" w:hAnsi="Times New Roman" w:cs="Times New Roman"/>
        </w:rPr>
        <w:t>when comparing interventions</w:t>
      </w:r>
      <w:r w:rsidR="00127E08" w:rsidRPr="0043799E">
        <w:rPr>
          <w:rFonts w:ascii="Times New Roman" w:hAnsi="Times New Roman" w:cs="Times New Roman"/>
        </w:rPr>
        <w:t xml:space="preserve"> </w:t>
      </w:r>
      <w:r w:rsidR="0061456F" w:rsidRPr="0043799E">
        <w:rPr>
          <w:rFonts w:ascii="Times New Roman" w:hAnsi="Times New Roman" w:cs="Times New Roman"/>
        </w:rPr>
        <w:t xml:space="preserve">individually </w:t>
      </w:r>
      <w:r w:rsidR="00127E08" w:rsidRPr="0043799E">
        <w:rPr>
          <w:rFonts w:ascii="Times New Roman" w:hAnsi="Times New Roman" w:cs="Times New Roman"/>
        </w:rPr>
        <w:t>(use o</w:t>
      </w:r>
      <w:r w:rsidR="0061456F" w:rsidRPr="0043799E">
        <w:rPr>
          <w:rFonts w:ascii="Times New Roman" w:hAnsi="Times New Roman" w:cs="Times New Roman"/>
        </w:rPr>
        <w:t xml:space="preserve">f sodium thiosulphate, wound debridement and amputation) with outcomes </w:t>
      </w:r>
      <w:r w:rsidR="00BE6F19" w:rsidRPr="0043799E">
        <w:rPr>
          <w:rFonts w:ascii="Times New Roman" w:hAnsi="Times New Roman" w:cs="Times New Roman"/>
        </w:rPr>
        <w:t>(</w:t>
      </w:r>
      <w:r w:rsidR="0061456F" w:rsidRPr="0043799E">
        <w:rPr>
          <w:rFonts w:ascii="Times New Roman" w:hAnsi="Times New Roman" w:cs="Times New Roman"/>
        </w:rPr>
        <w:t>skin lesion resolution and mortality</w:t>
      </w:r>
      <w:r w:rsidR="00BE6F19" w:rsidRPr="0043799E">
        <w:rPr>
          <w:rFonts w:ascii="Times New Roman" w:hAnsi="Times New Roman" w:cs="Times New Roman"/>
        </w:rPr>
        <w:t>)</w:t>
      </w:r>
      <w:r w:rsidR="0061456F" w:rsidRPr="0043799E">
        <w:rPr>
          <w:rFonts w:ascii="Times New Roman" w:hAnsi="Times New Roman" w:cs="Times New Roman"/>
        </w:rPr>
        <w:t>. (</w:t>
      </w:r>
      <w:r w:rsidR="00BE17D7" w:rsidRPr="0043799E">
        <w:rPr>
          <w:rFonts w:ascii="Times New Roman" w:hAnsi="Times New Roman" w:cs="Times New Roman"/>
        </w:rPr>
        <w:t xml:space="preserve">Chi-Square test, </w:t>
      </w:r>
      <w:r w:rsidR="0061456F" w:rsidRPr="0043799E">
        <w:rPr>
          <w:rFonts w:ascii="Times New Roman" w:hAnsi="Times New Roman" w:cs="Times New Roman"/>
        </w:rPr>
        <w:t>p</w:t>
      </w:r>
      <w:bookmarkStart w:id="0" w:name="_GoBack"/>
      <w:bookmarkEnd w:id="0"/>
      <w:r w:rsidR="0061456F" w:rsidRPr="0043799E">
        <w:rPr>
          <w:rFonts w:ascii="Times New Roman" w:hAnsi="Times New Roman" w:cs="Times New Roman"/>
        </w:rPr>
        <w:t>&gt;0.05)</w:t>
      </w:r>
    </w:p>
    <w:p w14:paraId="261475F3" w14:textId="4E082AF3" w:rsidR="00D43E21" w:rsidRPr="0043799E" w:rsidRDefault="00D43E21" w:rsidP="00FC41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799E">
        <w:rPr>
          <w:rFonts w:ascii="Times New Roman" w:hAnsi="Times New Roman" w:cs="Times New Roman"/>
          <w:b/>
        </w:rPr>
        <w:t>Conclusion</w:t>
      </w:r>
      <w:r w:rsidR="00113CB8" w:rsidRPr="0043799E">
        <w:rPr>
          <w:rFonts w:ascii="Times New Roman" w:hAnsi="Times New Roman" w:cs="Times New Roman"/>
          <w:b/>
        </w:rPr>
        <w:t>s</w:t>
      </w:r>
    </w:p>
    <w:p w14:paraId="12215C77" w14:textId="02DE713A" w:rsidR="00B11781" w:rsidRPr="0043799E" w:rsidRDefault="0061456F" w:rsidP="00FC41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799E">
        <w:rPr>
          <w:rFonts w:ascii="Times New Roman" w:hAnsi="Times New Roman" w:cs="Times New Roman"/>
        </w:rPr>
        <w:t xml:space="preserve">The study endorses the need for multifaceted approach in the management of this challenging condition with high mortality. Further follow-up and ongoing analysis can guide to tease out the effective set of treatment strategies. </w:t>
      </w:r>
    </w:p>
    <w:p w14:paraId="1BCF319C" w14:textId="77777777" w:rsidR="00883DFB" w:rsidRPr="0043799E" w:rsidRDefault="00883DFB" w:rsidP="00113CB8">
      <w:pPr>
        <w:spacing w:after="0"/>
        <w:rPr>
          <w:rFonts w:ascii="Times New Roman" w:hAnsi="Times New Roman" w:cs="Times New Roman"/>
          <w:b/>
        </w:rPr>
      </w:pPr>
    </w:p>
    <w:p w14:paraId="21806F72" w14:textId="0489214D" w:rsidR="003A6FFB" w:rsidRPr="0043799E" w:rsidRDefault="003A6FFB" w:rsidP="00113CB8">
      <w:pPr>
        <w:spacing w:after="0"/>
        <w:rPr>
          <w:rFonts w:ascii="Times New Roman" w:hAnsi="Times New Roman" w:cs="Times New Roman"/>
          <w:b/>
        </w:rPr>
      </w:pPr>
      <w:r w:rsidRPr="0043799E">
        <w:rPr>
          <w:rFonts w:ascii="Times New Roman" w:hAnsi="Times New Roman" w:cs="Times New Roman"/>
          <w:b/>
        </w:rPr>
        <w:t>Table-1: Management Strategies</w:t>
      </w:r>
    </w:p>
    <w:tbl>
      <w:tblPr>
        <w:tblW w:w="7741" w:type="dxa"/>
        <w:tblInd w:w="-5" w:type="dxa"/>
        <w:tblLook w:val="04A0" w:firstRow="1" w:lastRow="0" w:firstColumn="1" w:lastColumn="0" w:noHBand="0" w:noVBand="1"/>
      </w:tblPr>
      <w:tblGrid>
        <w:gridCol w:w="3494"/>
        <w:gridCol w:w="2063"/>
        <w:gridCol w:w="2184"/>
      </w:tblGrid>
      <w:tr w:rsidR="003A6FFB" w:rsidRPr="0043799E" w14:paraId="5F8D27CD" w14:textId="77777777" w:rsidTr="00883DFB">
        <w:trPr>
          <w:trHeight w:val="207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BA21" w14:textId="77777777" w:rsidR="003A6FFB" w:rsidRPr="0043799E" w:rsidRDefault="003A6FFB" w:rsidP="003A6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Management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49D" w14:textId="6125CEEB" w:rsidR="003A6FFB" w:rsidRPr="0043799E" w:rsidRDefault="003A6FFB" w:rsidP="003A6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Number of patients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DBC7" w14:textId="12EEE044" w:rsidR="003A6FFB" w:rsidRPr="0043799E" w:rsidRDefault="003A6FFB" w:rsidP="003A6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 % of total (6</w:t>
            </w:r>
            <w:r w:rsidR="00113CB8" w:rsidRPr="0043799E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</w:tc>
      </w:tr>
      <w:tr w:rsidR="00113CB8" w:rsidRPr="0043799E" w14:paraId="66953D9E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BA64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Calcimimetics</w:t>
            </w:r>
            <w:proofErr w:type="spellEnd"/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5CC7" w14:textId="13D4484B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3641" w14:textId="60C0A320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</w:tr>
      <w:tr w:rsidR="00113CB8" w:rsidRPr="0043799E" w14:paraId="05221E34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C6B8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Sodium thiosulphate (STS)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3F09" w14:textId="04D9112A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51A0" w14:textId="3B18E4D7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66.6</w:t>
            </w:r>
          </w:p>
        </w:tc>
      </w:tr>
      <w:tr w:rsidR="00113CB8" w:rsidRPr="0043799E" w14:paraId="6B503915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16A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Stopping calcium binders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FC8B" w14:textId="034E2AFF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5E23" w14:textId="1ED5E4CB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68.3</w:t>
            </w:r>
          </w:p>
        </w:tc>
      </w:tr>
      <w:tr w:rsidR="00113CB8" w:rsidRPr="0043799E" w14:paraId="0383CC65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C8B2" w14:textId="5460BE11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 xml:space="preserve">Stopping </w:t>
            </w:r>
            <w:r w:rsidR="00F66906" w:rsidRPr="0043799E">
              <w:rPr>
                <w:rFonts w:ascii="Times New Roman" w:eastAsia="Times New Roman" w:hAnsi="Times New Roman" w:cs="Times New Roman"/>
                <w:lang w:eastAsia="en-GB"/>
              </w:rPr>
              <w:t>v</w:t>
            </w: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itamin-D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E6C" w14:textId="2F008276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273" w14:textId="131A08A8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21.7</w:t>
            </w:r>
          </w:p>
        </w:tc>
      </w:tr>
      <w:tr w:rsidR="00113CB8" w:rsidRPr="0043799E" w14:paraId="00AE2393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AD4E" w14:textId="42D22383" w:rsidR="00113CB8" w:rsidRPr="0043799E" w:rsidRDefault="00F66906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Stopping w</w:t>
            </w:r>
            <w:r w:rsidR="00113CB8" w:rsidRPr="0043799E">
              <w:rPr>
                <w:rFonts w:ascii="Times New Roman" w:eastAsia="Times New Roman" w:hAnsi="Times New Roman" w:cs="Times New Roman"/>
                <w:lang w:eastAsia="en-GB"/>
              </w:rPr>
              <w:t xml:space="preserve">arfarin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3FBD" w14:textId="3AFDDA64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FDED" w14:textId="6F8901F0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113CB8" w:rsidRPr="0043799E" w14:paraId="449793A2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73E7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Bisphosphonates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32EB" w14:textId="73DD91D4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E94" w14:textId="3FD9B7E3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  <w:tr w:rsidR="00113CB8" w:rsidRPr="0043799E" w14:paraId="04479F3D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F0A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Antibiotics (Intravenous)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164C" w14:textId="5B9AA017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E01" w14:textId="3142296B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113CB8" w:rsidRPr="0043799E" w14:paraId="4FF0B4D8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9697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Antibiotics (Oral)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7E0" w14:textId="50C9A095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ADD6" w14:textId="5A91A0FA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13CB8" w:rsidRPr="0043799E" w14:paraId="3E083C56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4F5" w14:textId="77777777" w:rsidR="00113CB8" w:rsidRPr="0043799E" w:rsidRDefault="00113CB8" w:rsidP="00113C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Hyperbaric Oxygen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9D2" w14:textId="5CC7AA37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1401" w14:textId="3C784BDC" w:rsidR="00113CB8" w:rsidRPr="0043799E" w:rsidRDefault="00113CB8" w:rsidP="00113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</w:tr>
      <w:tr w:rsidR="00F66906" w:rsidRPr="0043799E" w14:paraId="10949B4F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1AD9" w14:textId="701213F3" w:rsidR="00F66906" w:rsidRPr="0043799E" w:rsidRDefault="00F66906" w:rsidP="00F6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Increased dialysis frequency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C4C3" w14:textId="0094475E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1CB7" w14:textId="53829ED0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</w:tr>
      <w:tr w:rsidR="00F66906" w:rsidRPr="0043799E" w14:paraId="3A7FD7F8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E24" w14:textId="77777777" w:rsidR="00F66906" w:rsidRPr="0043799E" w:rsidRDefault="00F66906" w:rsidP="00F6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Wound debridement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0F2E" w14:textId="2E3D9428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368" w14:textId="4EA92943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F66906" w:rsidRPr="0043799E" w14:paraId="14F598C3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B8C8" w14:textId="17353EEA" w:rsidR="00F66906" w:rsidRPr="0043799E" w:rsidRDefault="00F66906" w:rsidP="00F6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Skin graft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876E" w14:textId="70BB5B44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C5854" w14:textId="5EA92BC0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66906" w:rsidRPr="0043799E" w14:paraId="3D951E98" w14:textId="77777777" w:rsidTr="00883DFB">
        <w:trPr>
          <w:trHeight w:val="207"/>
        </w:trPr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211B" w14:textId="77777777" w:rsidR="00F66906" w:rsidRPr="0043799E" w:rsidRDefault="00F66906" w:rsidP="00F669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eastAsia="Times New Roman" w:hAnsi="Times New Roman" w:cs="Times New Roman"/>
                <w:lang w:eastAsia="en-GB"/>
              </w:rPr>
              <w:t>Amputation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E4BF" w14:textId="6A5F1FB0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426" w14:textId="4274FE99" w:rsidR="00F66906" w:rsidRPr="0043799E" w:rsidRDefault="00F66906" w:rsidP="00F669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43799E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</w:tr>
    </w:tbl>
    <w:p w14:paraId="59B46CD1" w14:textId="77777777" w:rsidR="003A6FFB" w:rsidRPr="0043799E" w:rsidRDefault="003A6FFB">
      <w:pPr>
        <w:rPr>
          <w:rFonts w:ascii="Times New Roman" w:hAnsi="Times New Roman" w:cs="Times New Roman"/>
        </w:rPr>
      </w:pPr>
    </w:p>
    <w:sectPr w:rsidR="003A6FFB" w:rsidRPr="00437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5E"/>
    <w:rsid w:val="001076FC"/>
    <w:rsid w:val="00113CB8"/>
    <w:rsid w:val="00127E08"/>
    <w:rsid w:val="001E3602"/>
    <w:rsid w:val="002443E3"/>
    <w:rsid w:val="00263046"/>
    <w:rsid w:val="002828B9"/>
    <w:rsid w:val="002A2691"/>
    <w:rsid w:val="00315C43"/>
    <w:rsid w:val="0037493A"/>
    <w:rsid w:val="00380E62"/>
    <w:rsid w:val="003A6FFB"/>
    <w:rsid w:val="00411AE6"/>
    <w:rsid w:val="0043799E"/>
    <w:rsid w:val="0045339D"/>
    <w:rsid w:val="00596C0E"/>
    <w:rsid w:val="005B008F"/>
    <w:rsid w:val="005C68D7"/>
    <w:rsid w:val="0061456F"/>
    <w:rsid w:val="00693C6D"/>
    <w:rsid w:val="00701D3E"/>
    <w:rsid w:val="007B2AA4"/>
    <w:rsid w:val="007E5F64"/>
    <w:rsid w:val="00822FBE"/>
    <w:rsid w:val="00863074"/>
    <w:rsid w:val="00872D1A"/>
    <w:rsid w:val="00881732"/>
    <w:rsid w:val="00883DFB"/>
    <w:rsid w:val="008B1C77"/>
    <w:rsid w:val="008C6397"/>
    <w:rsid w:val="008E3645"/>
    <w:rsid w:val="009B5BAB"/>
    <w:rsid w:val="009E009C"/>
    <w:rsid w:val="009E2A68"/>
    <w:rsid w:val="00A87A8C"/>
    <w:rsid w:val="00AA066B"/>
    <w:rsid w:val="00B11781"/>
    <w:rsid w:val="00BC483E"/>
    <w:rsid w:val="00BE17D7"/>
    <w:rsid w:val="00BE6F19"/>
    <w:rsid w:val="00C06EA7"/>
    <w:rsid w:val="00CC0260"/>
    <w:rsid w:val="00CF41A9"/>
    <w:rsid w:val="00D03C7A"/>
    <w:rsid w:val="00D42F1A"/>
    <w:rsid w:val="00D43E21"/>
    <w:rsid w:val="00DD3194"/>
    <w:rsid w:val="00E1088B"/>
    <w:rsid w:val="00E2562D"/>
    <w:rsid w:val="00E854BF"/>
    <w:rsid w:val="00F12455"/>
    <w:rsid w:val="00F213A4"/>
    <w:rsid w:val="00F34E5E"/>
    <w:rsid w:val="00F66906"/>
    <w:rsid w:val="00F700B8"/>
    <w:rsid w:val="00FA35D7"/>
    <w:rsid w:val="00FC41CD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76A8F"/>
  <w15:docId w15:val="{029B763F-06EA-4BB6-ADE5-9197F020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C8B1-AAAA-4A98-B80E-D0642A18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 CHINNADURAI</dc:creator>
  <cp:lastModifiedBy>RAJKUMAR CHINNADURAI</cp:lastModifiedBy>
  <cp:revision>17</cp:revision>
  <dcterms:created xsi:type="dcterms:W3CDTF">2018-01-31T09:46:00Z</dcterms:created>
  <dcterms:modified xsi:type="dcterms:W3CDTF">2018-02-02T15:34:00Z</dcterms:modified>
</cp:coreProperties>
</file>