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2438" w14:textId="77777777" w:rsidR="003A16CB" w:rsidRPr="001A61C4" w:rsidRDefault="003A16CB" w:rsidP="00EE64D8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E9DE45F" w14:textId="3E7B838B" w:rsidR="00EE64D8" w:rsidRPr="001A61C4" w:rsidRDefault="000F7928" w:rsidP="00EE64D8">
      <w:pPr>
        <w:spacing w:line="240" w:lineRule="auto"/>
        <w:jc w:val="both"/>
        <w:rPr>
          <w:rFonts w:ascii="Times New Roman" w:hAnsi="Times New Roman" w:cs="Times New Roman"/>
        </w:rPr>
      </w:pPr>
      <w:r w:rsidRPr="001A61C4">
        <w:rPr>
          <w:rFonts w:ascii="Times New Roman" w:hAnsi="Times New Roman" w:cs="Times New Roman"/>
          <w:b/>
        </w:rPr>
        <w:t>Background</w:t>
      </w:r>
      <w:r w:rsidR="002F4CC4" w:rsidRPr="001A61C4">
        <w:rPr>
          <w:rFonts w:ascii="Times New Roman" w:hAnsi="Times New Roman" w:cs="Times New Roman"/>
          <w:b/>
        </w:rPr>
        <w:t xml:space="preserve">: </w:t>
      </w:r>
      <w:r w:rsidR="00EE64D8" w:rsidRPr="001A61C4">
        <w:rPr>
          <w:rFonts w:ascii="Times New Roman" w:hAnsi="Times New Roman" w:cs="Times New Roman"/>
        </w:rPr>
        <w:t xml:space="preserve">Haemodynamic instability during dialysis is associated with poor cardiovascular </w:t>
      </w:r>
      <w:r w:rsidR="001A61C4" w:rsidRPr="001A61C4">
        <w:rPr>
          <w:rFonts w:ascii="Times New Roman" w:hAnsi="Times New Roman" w:cs="Times New Roman"/>
        </w:rPr>
        <w:t>outcomes yet</w:t>
      </w:r>
      <w:r w:rsidR="002E72B5" w:rsidRPr="001A61C4">
        <w:rPr>
          <w:rFonts w:ascii="Times New Roman" w:hAnsi="Times New Roman" w:cs="Times New Roman"/>
        </w:rPr>
        <w:t xml:space="preserve"> </w:t>
      </w:r>
      <w:r w:rsidR="00EE64D8" w:rsidRPr="001A61C4">
        <w:rPr>
          <w:rFonts w:ascii="Times New Roman" w:hAnsi="Times New Roman" w:cs="Times New Roman"/>
        </w:rPr>
        <w:t>remains a frequent complication of haemodialysis</w:t>
      </w:r>
      <w:r w:rsidR="002E72B5" w:rsidRPr="001A61C4">
        <w:rPr>
          <w:rFonts w:ascii="Times New Roman" w:hAnsi="Times New Roman" w:cs="Times New Roman"/>
        </w:rPr>
        <w:t xml:space="preserve"> (HD)</w:t>
      </w:r>
      <w:r w:rsidR="00EE64D8" w:rsidRPr="001A61C4">
        <w:rPr>
          <w:rFonts w:ascii="Times New Roman" w:hAnsi="Times New Roman" w:cs="Times New Roman"/>
        </w:rPr>
        <w:t xml:space="preserve">. Risk factors include high ultrafiltration (UF) volumes and rates (UFR). </w:t>
      </w:r>
      <w:r w:rsidR="00C50024" w:rsidRPr="001A61C4">
        <w:rPr>
          <w:rFonts w:ascii="Times New Roman" w:hAnsi="Times New Roman" w:cs="Times New Roman"/>
        </w:rPr>
        <w:t xml:space="preserve">Data </w:t>
      </w:r>
      <w:r w:rsidR="00227AA6" w:rsidRPr="001A61C4">
        <w:rPr>
          <w:rFonts w:ascii="Times New Roman" w:hAnsi="Times New Roman" w:cs="Times New Roman"/>
        </w:rPr>
        <w:t xml:space="preserve">concerning the relationship between </w:t>
      </w:r>
      <w:r w:rsidR="008D0250">
        <w:rPr>
          <w:rFonts w:ascii="Times New Roman" w:hAnsi="Times New Roman" w:cs="Times New Roman"/>
        </w:rPr>
        <w:t>haemodynamic</w:t>
      </w:r>
      <w:r w:rsidR="008D0250" w:rsidRPr="001A61C4">
        <w:rPr>
          <w:rFonts w:ascii="Times New Roman" w:hAnsi="Times New Roman" w:cs="Times New Roman"/>
        </w:rPr>
        <w:t xml:space="preserve"> </w:t>
      </w:r>
      <w:r w:rsidR="00227AA6" w:rsidRPr="001A61C4">
        <w:rPr>
          <w:rFonts w:ascii="Times New Roman" w:hAnsi="Times New Roman" w:cs="Times New Roman"/>
        </w:rPr>
        <w:t>instability and patient-reported outcomes is scar</w:t>
      </w:r>
      <w:r w:rsidR="00C50024" w:rsidRPr="001A61C4">
        <w:rPr>
          <w:rFonts w:ascii="Times New Roman" w:hAnsi="Times New Roman" w:cs="Times New Roman"/>
        </w:rPr>
        <w:t>c</w:t>
      </w:r>
      <w:r w:rsidR="00227AA6" w:rsidRPr="001A61C4">
        <w:rPr>
          <w:rFonts w:ascii="Times New Roman" w:hAnsi="Times New Roman" w:cs="Times New Roman"/>
        </w:rPr>
        <w:t xml:space="preserve">e. </w:t>
      </w:r>
      <w:r w:rsidR="00C50024" w:rsidRPr="001A61C4">
        <w:rPr>
          <w:rFonts w:ascii="Times New Roman" w:hAnsi="Times New Roman" w:cs="Times New Roman"/>
        </w:rPr>
        <w:t>Th</w:t>
      </w:r>
      <w:r w:rsidR="0078245D" w:rsidRPr="001A61C4">
        <w:rPr>
          <w:rFonts w:ascii="Times New Roman" w:hAnsi="Times New Roman" w:cs="Times New Roman"/>
        </w:rPr>
        <w:t xml:space="preserve">e </w:t>
      </w:r>
      <w:r w:rsidR="008162CE" w:rsidRPr="001A61C4">
        <w:rPr>
          <w:rFonts w:ascii="Times New Roman" w:hAnsi="Times New Roman" w:cs="Times New Roman"/>
        </w:rPr>
        <w:t>aim of this study was to</w:t>
      </w:r>
      <w:r w:rsidR="00151BE1" w:rsidRPr="001A61C4">
        <w:rPr>
          <w:rFonts w:ascii="Times New Roman" w:hAnsi="Times New Roman" w:cs="Times New Roman"/>
        </w:rPr>
        <w:t xml:space="preserve"> investigate</w:t>
      </w:r>
      <w:r w:rsidR="00227AA6" w:rsidRPr="001A61C4">
        <w:rPr>
          <w:rFonts w:ascii="Times New Roman" w:hAnsi="Times New Roman" w:cs="Times New Roman"/>
        </w:rPr>
        <w:t xml:space="preserve"> </w:t>
      </w:r>
      <w:r w:rsidR="00227AA6" w:rsidRPr="001A61C4">
        <w:rPr>
          <w:rFonts w:ascii="Times New Roman" w:hAnsi="Times New Roman" w:cs="Times New Roman"/>
          <w:i/>
        </w:rPr>
        <w:t>1)</w:t>
      </w:r>
      <w:r w:rsidR="00151BE1" w:rsidRPr="001A61C4">
        <w:rPr>
          <w:rFonts w:ascii="Times New Roman" w:hAnsi="Times New Roman" w:cs="Times New Roman"/>
        </w:rPr>
        <w:t xml:space="preserve"> the </w:t>
      </w:r>
      <w:r w:rsidR="00EE64D8" w:rsidRPr="001A61C4">
        <w:rPr>
          <w:rFonts w:ascii="Times New Roman" w:hAnsi="Times New Roman" w:cs="Times New Roman"/>
        </w:rPr>
        <w:t xml:space="preserve">rates of </w:t>
      </w:r>
      <w:r w:rsidR="00C50024" w:rsidRPr="001A61C4">
        <w:rPr>
          <w:rFonts w:ascii="Times New Roman" w:hAnsi="Times New Roman" w:cs="Times New Roman"/>
        </w:rPr>
        <w:t>intra</w:t>
      </w:r>
      <w:r w:rsidR="00B9279A" w:rsidRPr="001A61C4">
        <w:rPr>
          <w:rFonts w:ascii="Times New Roman" w:hAnsi="Times New Roman" w:cs="Times New Roman"/>
        </w:rPr>
        <w:t>-</w:t>
      </w:r>
      <w:r w:rsidR="00C50024" w:rsidRPr="001A61C4">
        <w:rPr>
          <w:rFonts w:ascii="Times New Roman" w:hAnsi="Times New Roman" w:cs="Times New Roman"/>
        </w:rPr>
        <w:t>dialytic hypotension (</w:t>
      </w:r>
      <w:r w:rsidR="00EE64D8" w:rsidRPr="001A61C4">
        <w:rPr>
          <w:rFonts w:ascii="Times New Roman" w:hAnsi="Times New Roman" w:cs="Times New Roman"/>
        </w:rPr>
        <w:t>IDH</w:t>
      </w:r>
      <w:r w:rsidR="00C50024" w:rsidRPr="001A61C4">
        <w:rPr>
          <w:rFonts w:ascii="Times New Roman" w:hAnsi="Times New Roman" w:cs="Times New Roman"/>
        </w:rPr>
        <w:t>)</w:t>
      </w:r>
      <w:r w:rsidR="00227AA6" w:rsidRPr="001A61C4">
        <w:rPr>
          <w:rFonts w:ascii="Times New Roman" w:hAnsi="Times New Roman" w:cs="Times New Roman"/>
        </w:rPr>
        <w:t xml:space="preserve"> and blood pressure (BP) variability during </w:t>
      </w:r>
      <w:r w:rsidR="00227AA6" w:rsidRPr="001A61C4">
        <w:rPr>
          <w:rFonts w:ascii="Times New Roman" w:hAnsi="Times New Roman" w:cs="Times New Roman"/>
          <w:lang w:val="en-US"/>
        </w:rPr>
        <w:t xml:space="preserve">dialysis in adults undergoing frequent home-based dialysis over a </w:t>
      </w:r>
      <w:r w:rsidR="00C50024" w:rsidRPr="001A61C4">
        <w:rPr>
          <w:rFonts w:ascii="Times New Roman" w:hAnsi="Times New Roman" w:cs="Times New Roman"/>
          <w:lang w:val="en-US"/>
        </w:rPr>
        <w:t>1-year</w:t>
      </w:r>
      <w:r w:rsidR="00227AA6" w:rsidRPr="001A61C4">
        <w:rPr>
          <w:rFonts w:ascii="Times New Roman" w:hAnsi="Times New Roman" w:cs="Times New Roman"/>
          <w:lang w:val="en-US"/>
        </w:rPr>
        <w:t xml:space="preserve"> period and </w:t>
      </w:r>
      <w:r w:rsidR="00227AA6" w:rsidRPr="001A61C4">
        <w:rPr>
          <w:rFonts w:ascii="Times New Roman" w:hAnsi="Times New Roman" w:cs="Times New Roman"/>
          <w:i/>
          <w:lang w:val="en-US"/>
        </w:rPr>
        <w:t>2)</w:t>
      </w:r>
      <w:r w:rsidR="00227AA6" w:rsidRPr="001A61C4">
        <w:rPr>
          <w:rFonts w:ascii="Times New Roman" w:hAnsi="Times New Roman" w:cs="Times New Roman"/>
          <w:lang w:val="en-US"/>
        </w:rPr>
        <w:t xml:space="preserve"> their association with </w:t>
      </w:r>
      <w:r w:rsidR="00227AA6" w:rsidRPr="001A61C4">
        <w:rPr>
          <w:rFonts w:ascii="Times New Roman" w:hAnsi="Times New Roman" w:cs="Times New Roman"/>
        </w:rPr>
        <w:t xml:space="preserve">UF volumes, UFR and </w:t>
      </w:r>
      <w:r w:rsidR="00EE64D8" w:rsidRPr="001A61C4">
        <w:rPr>
          <w:rFonts w:ascii="Times New Roman" w:hAnsi="Times New Roman" w:cs="Times New Roman"/>
        </w:rPr>
        <w:t>patient reported outcomes</w:t>
      </w:r>
      <w:r w:rsidR="00227AA6" w:rsidRPr="001A61C4">
        <w:rPr>
          <w:rFonts w:ascii="Times New Roman" w:hAnsi="Times New Roman" w:cs="Times New Roman"/>
        </w:rPr>
        <w:t xml:space="preserve">. </w:t>
      </w:r>
    </w:p>
    <w:p w14:paraId="1A6FC2BD" w14:textId="6B27CD13" w:rsidR="008162CE" w:rsidRPr="001A61C4" w:rsidRDefault="002F4CC4" w:rsidP="008162CE">
      <w:pPr>
        <w:spacing w:line="240" w:lineRule="auto"/>
        <w:jc w:val="both"/>
        <w:rPr>
          <w:rFonts w:ascii="Times New Roman" w:hAnsi="Times New Roman" w:cs="Times New Roman"/>
        </w:rPr>
      </w:pPr>
      <w:r w:rsidRPr="001A61C4">
        <w:rPr>
          <w:rFonts w:ascii="Times New Roman" w:hAnsi="Times New Roman" w:cs="Times New Roman"/>
          <w:b/>
          <w:bCs/>
        </w:rPr>
        <w:t>Methods:</w:t>
      </w:r>
      <w:r w:rsidR="00100F93" w:rsidRPr="001A61C4">
        <w:rPr>
          <w:rFonts w:ascii="Times New Roman" w:hAnsi="Times New Roman" w:cs="Times New Roman"/>
          <w:b/>
          <w:bCs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EE64D8" w:rsidRPr="001A61C4">
        <w:rPr>
          <w:rFonts w:ascii="Times New Roman" w:hAnsi="Times New Roman" w:cs="Times New Roman"/>
          <w:lang w:val="en-US"/>
        </w:rPr>
        <w:t>Wessex</w:t>
      </w:r>
      <w:proofErr w:type="spellEnd"/>
      <w:r w:rsidR="00EE64D8" w:rsidRPr="001A61C4">
        <w:rPr>
          <w:rFonts w:ascii="Times New Roman" w:hAnsi="Times New Roman" w:cs="Times New Roman"/>
          <w:lang w:val="en-US"/>
        </w:rPr>
        <w:t xml:space="preserve"> Kidney Centre has a large </w:t>
      </w:r>
      <w:r w:rsidR="00517714" w:rsidRPr="001A61C4">
        <w:rPr>
          <w:rFonts w:ascii="Times New Roman" w:hAnsi="Times New Roman" w:cs="Times New Roman"/>
          <w:lang w:val="en-US"/>
        </w:rPr>
        <w:t xml:space="preserve">patient cohort dialysing at home using </w:t>
      </w:r>
      <w:proofErr w:type="spellStart"/>
      <w:r w:rsidR="00EE64D8" w:rsidRPr="001A61C4">
        <w:rPr>
          <w:rFonts w:ascii="Times New Roman" w:hAnsi="Times New Roman" w:cs="Times New Roman"/>
          <w:lang w:val="en-US"/>
        </w:rPr>
        <w:t>NxStage</w:t>
      </w:r>
      <w:proofErr w:type="spellEnd"/>
      <w:r w:rsidR="00EE64D8" w:rsidRPr="001A61C4">
        <w:rPr>
          <w:rFonts w:ascii="Times New Roman" w:hAnsi="Times New Roman" w:cs="Times New Roman"/>
          <w:lang w:val="en-US"/>
        </w:rPr>
        <w:t xml:space="preserve"> System 1. Clinical details of each dialysis session</w:t>
      </w:r>
      <w:r w:rsidR="00517714" w:rsidRPr="001A61C4">
        <w:rPr>
          <w:rFonts w:ascii="Times New Roman" w:hAnsi="Times New Roman" w:cs="Times New Roman"/>
          <w:lang w:val="en-US"/>
        </w:rPr>
        <w:t xml:space="preserve"> were </w:t>
      </w:r>
      <w:r w:rsidR="001804E3" w:rsidRPr="001A61C4">
        <w:rPr>
          <w:rFonts w:ascii="Times New Roman" w:hAnsi="Times New Roman" w:cs="Times New Roman"/>
          <w:lang w:val="en-US"/>
        </w:rPr>
        <w:t xml:space="preserve">routinely </w:t>
      </w:r>
      <w:r w:rsidR="00EE64D8" w:rsidRPr="001A61C4">
        <w:rPr>
          <w:rFonts w:ascii="Times New Roman" w:hAnsi="Times New Roman" w:cs="Times New Roman"/>
          <w:lang w:val="en-US"/>
        </w:rPr>
        <w:t>uploaded by patients onto a digital remote monitoring platform (</w:t>
      </w:r>
      <w:proofErr w:type="spellStart"/>
      <w:r w:rsidR="00EE64D8" w:rsidRPr="001A61C4">
        <w:rPr>
          <w:rFonts w:ascii="Times New Roman" w:hAnsi="Times New Roman" w:cs="Times New Roman"/>
          <w:lang w:val="en-US"/>
        </w:rPr>
        <w:t>MyRenalCare</w:t>
      </w:r>
      <w:proofErr w:type="spellEnd"/>
      <w:r w:rsidR="00FC167B" w:rsidRPr="001A61C4">
        <w:rPr>
          <w:rFonts w:ascii="Times New Roman" w:hAnsi="Times New Roman" w:cs="Times New Roman"/>
          <w:vertAlign w:val="superscript"/>
          <w:lang w:val="en-US"/>
        </w:rPr>
        <w:t>®</w:t>
      </w:r>
      <w:r w:rsidR="00EE64D8" w:rsidRPr="001A61C4">
        <w:rPr>
          <w:rFonts w:ascii="Times New Roman" w:hAnsi="Times New Roman" w:cs="Times New Roman"/>
          <w:lang w:val="en-US"/>
        </w:rPr>
        <w:t>) along with patient reported outcomes</w:t>
      </w:r>
      <w:r w:rsidR="00517714" w:rsidRPr="001A61C4">
        <w:rPr>
          <w:rFonts w:ascii="Times New Roman" w:hAnsi="Times New Roman" w:cs="Times New Roman"/>
          <w:lang w:val="en-US"/>
        </w:rPr>
        <w:t>,</w:t>
      </w:r>
      <w:r w:rsidR="00EE64D8" w:rsidRPr="001A61C4">
        <w:rPr>
          <w:rFonts w:ascii="Times New Roman" w:hAnsi="Times New Roman" w:cs="Times New Roman"/>
          <w:lang w:val="en-US"/>
        </w:rPr>
        <w:t xml:space="preserve"> including dialysis recovery time and intra</w:t>
      </w:r>
      <w:r w:rsidR="00517714" w:rsidRPr="001A61C4">
        <w:rPr>
          <w:rFonts w:ascii="Times New Roman" w:hAnsi="Times New Roman" w:cs="Times New Roman"/>
          <w:lang w:val="en-US"/>
        </w:rPr>
        <w:t>-</w:t>
      </w:r>
      <w:r w:rsidR="00EE64D8" w:rsidRPr="001A61C4">
        <w:rPr>
          <w:rFonts w:ascii="Times New Roman" w:hAnsi="Times New Roman" w:cs="Times New Roman"/>
          <w:lang w:val="en-US"/>
        </w:rPr>
        <w:t xml:space="preserve">dialytic symptomatology. </w:t>
      </w:r>
      <w:r w:rsidR="00517714" w:rsidRPr="001A61C4">
        <w:rPr>
          <w:rFonts w:ascii="Times New Roman" w:hAnsi="Times New Roman" w:cs="Times New Roman"/>
          <w:lang w:val="en-US"/>
        </w:rPr>
        <w:t xml:space="preserve">Retrospective data from 83 patients (10,822 dialysis sessions) </w:t>
      </w:r>
      <w:r w:rsidR="001748DC" w:rsidRPr="001A61C4">
        <w:rPr>
          <w:rFonts w:ascii="Times New Roman" w:hAnsi="Times New Roman" w:cs="Times New Roman"/>
          <w:lang w:val="en-US"/>
        </w:rPr>
        <w:t>during</w:t>
      </w:r>
      <w:r w:rsidR="008F47B3">
        <w:rPr>
          <w:rFonts w:ascii="Times New Roman" w:hAnsi="Times New Roman" w:cs="Times New Roman"/>
          <w:lang w:val="en-US"/>
        </w:rPr>
        <w:t xml:space="preserve"> the period</w:t>
      </w:r>
      <w:r w:rsidR="001748DC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>January 1</w:t>
      </w:r>
      <w:r w:rsidR="001A61C4" w:rsidRPr="001A61C4">
        <w:rPr>
          <w:rFonts w:ascii="Times New Roman" w:hAnsi="Times New Roman" w:cs="Times New Roman"/>
          <w:vertAlign w:val="superscript"/>
          <w:lang w:val="en-US"/>
        </w:rPr>
        <w:t>st</w:t>
      </w:r>
      <w:r w:rsidR="001A61C4" w:rsidRPr="001A61C4">
        <w:rPr>
          <w:rFonts w:ascii="Times New Roman" w:hAnsi="Times New Roman" w:cs="Times New Roman"/>
          <w:lang w:val="en-US"/>
        </w:rPr>
        <w:t xml:space="preserve"> -</w:t>
      </w:r>
      <w:r w:rsidR="00517714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>December 31</w:t>
      </w:r>
      <w:r w:rsidR="00EE64D8" w:rsidRPr="001A61C4">
        <w:rPr>
          <w:rFonts w:ascii="Times New Roman" w:hAnsi="Times New Roman" w:cs="Times New Roman"/>
          <w:vertAlign w:val="superscript"/>
          <w:lang w:val="en-US"/>
        </w:rPr>
        <w:t>st</w:t>
      </w:r>
      <w:r w:rsidR="00EE64D8" w:rsidRPr="001A61C4">
        <w:rPr>
          <w:rFonts w:ascii="Times New Roman" w:hAnsi="Times New Roman" w:cs="Times New Roman"/>
          <w:lang w:val="en-US"/>
        </w:rPr>
        <w:t xml:space="preserve"> 2017</w:t>
      </w:r>
      <w:r w:rsidR="00517714" w:rsidRPr="001A61C4">
        <w:rPr>
          <w:rFonts w:ascii="Times New Roman" w:hAnsi="Times New Roman" w:cs="Times New Roman"/>
          <w:lang w:val="en-US"/>
        </w:rPr>
        <w:t xml:space="preserve"> were examined. </w:t>
      </w:r>
      <w:r w:rsidR="00EE64D8" w:rsidRPr="001A61C4">
        <w:rPr>
          <w:rFonts w:ascii="Times New Roman" w:hAnsi="Times New Roman" w:cs="Times New Roman"/>
          <w:lang w:val="en-US"/>
        </w:rPr>
        <w:t>All data was anonymised p</w:t>
      </w:r>
      <w:r w:rsidR="008B5140" w:rsidRPr="001A61C4">
        <w:rPr>
          <w:rFonts w:ascii="Times New Roman" w:hAnsi="Times New Roman" w:cs="Times New Roman"/>
          <w:lang w:val="en-US"/>
        </w:rPr>
        <w:t>rior to download and analysis</w:t>
      </w:r>
      <w:r w:rsidR="001804E3" w:rsidRPr="001A61C4">
        <w:rPr>
          <w:rFonts w:ascii="Times New Roman" w:hAnsi="Times New Roman" w:cs="Times New Roman"/>
          <w:lang w:val="en-US"/>
        </w:rPr>
        <w:t>.</w:t>
      </w:r>
      <w:r w:rsidR="00EE64D8" w:rsidRPr="001A61C4">
        <w:rPr>
          <w:rFonts w:ascii="Times New Roman" w:hAnsi="Times New Roman" w:cs="Times New Roman"/>
          <w:lang w:val="en-US"/>
        </w:rPr>
        <w:t xml:space="preserve"> </w:t>
      </w:r>
      <w:r w:rsidR="008B5140" w:rsidRPr="001A61C4">
        <w:rPr>
          <w:rFonts w:ascii="Times New Roman" w:hAnsi="Times New Roman" w:cs="Times New Roman"/>
          <w:lang w:val="en-US"/>
        </w:rPr>
        <w:t xml:space="preserve">IDH was </w:t>
      </w:r>
      <w:r w:rsidR="00EE64D8" w:rsidRPr="001A61C4">
        <w:rPr>
          <w:rFonts w:ascii="Times New Roman" w:hAnsi="Times New Roman" w:cs="Times New Roman"/>
          <w:lang w:val="en-US"/>
        </w:rPr>
        <w:t xml:space="preserve">defined as syncope or pre-syncope (light-headedness) during dialysis. </w:t>
      </w:r>
      <w:r w:rsidR="00EE64D8" w:rsidRPr="001A61C4">
        <w:rPr>
          <w:rFonts w:ascii="Times New Roman" w:hAnsi="Times New Roman" w:cs="Times New Roman"/>
        </w:rPr>
        <w:t xml:space="preserve">Delta </w:t>
      </w:r>
      <w:r w:rsidR="000F7928" w:rsidRPr="001A61C4">
        <w:rPr>
          <w:rFonts w:ascii="Times New Roman" w:hAnsi="Times New Roman" w:cs="Times New Roman"/>
        </w:rPr>
        <w:t xml:space="preserve">(Δ) </w:t>
      </w:r>
      <w:r w:rsidR="00EE64D8" w:rsidRPr="001A61C4">
        <w:rPr>
          <w:rFonts w:ascii="Times New Roman" w:hAnsi="Times New Roman" w:cs="Times New Roman"/>
        </w:rPr>
        <w:t xml:space="preserve">systolic </w:t>
      </w:r>
      <w:r w:rsidR="008B5140" w:rsidRPr="001A61C4">
        <w:rPr>
          <w:rFonts w:ascii="Times New Roman" w:hAnsi="Times New Roman" w:cs="Times New Roman"/>
        </w:rPr>
        <w:t>BP</w:t>
      </w:r>
      <w:r w:rsidR="000F7928" w:rsidRPr="001A61C4">
        <w:rPr>
          <w:rFonts w:ascii="Times New Roman" w:hAnsi="Times New Roman" w:cs="Times New Roman"/>
        </w:rPr>
        <w:t xml:space="preserve"> (SBP)</w:t>
      </w:r>
      <w:r w:rsidR="00EE64D8" w:rsidRPr="001A61C4">
        <w:rPr>
          <w:rFonts w:ascii="Times New Roman" w:hAnsi="Times New Roman" w:cs="Times New Roman"/>
        </w:rPr>
        <w:t xml:space="preserve"> was calculated by subtracting post</w:t>
      </w:r>
      <w:r w:rsidR="008B5140" w:rsidRPr="001A61C4">
        <w:rPr>
          <w:rFonts w:ascii="Times New Roman" w:hAnsi="Times New Roman" w:cs="Times New Roman"/>
        </w:rPr>
        <w:t xml:space="preserve">-dialysis </w:t>
      </w:r>
      <w:r w:rsidR="00B9279A" w:rsidRPr="001A61C4">
        <w:rPr>
          <w:rFonts w:ascii="Times New Roman" w:hAnsi="Times New Roman" w:cs="Times New Roman"/>
        </w:rPr>
        <w:t>S</w:t>
      </w:r>
      <w:r w:rsidR="008B5140" w:rsidRPr="001A61C4">
        <w:rPr>
          <w:rFonts w:ascii="Times New Roman" w:hAnsi="Times New Roman" w:cs="Times New Roman"/>
        </w:rPr>
        <w:t>BP</w:t>
      </w:r>
      <w:r w:rsidR="00EE64D8" w:rsidRPr="001A61C4">
        <w:rPr>
          <w:rFonts w:ascii="Times New Roman" w:hAnsi="Times New Roman" w:cs="Times New Roman"/>
        </w:rPr>
        <w:t xml:space="preserve"> from pre</w:t>
      </w:r>
      <w:r w:rsidR="008B5140" w:rsidRPr="001A61C4">
        <w:rPr>
          <w:rFonts w:ascii="Times New Roman" w:hAnsi="Times New Roman" w:cs="Times New Roman"/>
        </w:rPr>
        <w:t>-</w:t>
      </w:r>
      <w:r w:rsidR="00EE64D8" w:rsidRPr="001A61C4">
        <w:rPr>
          <w:rFonts w:ascii="Times New Roman" w:hAnsi="Times New Roman" w:cs="Times New Roman"/>
        </w:rPr>
        <w:t xml:space="preserve">dialysis </w:t>
      </w:r>
      <w:r w:rsidR="00B9279A" w:rsidRPr="001A61C4">
        <w:rPr>
          <w:rFonts w:ascii="Times New Roman" w:hAnsi="Times New Roman" w:cs="Times New Roman"/>
        </w:rPr>
        <w:t>S</w:t>
      </w:r>
      <w:r w:rsidR="001804E3" w:rsidRPr="001A61C4">
        <w:rPr>
          <w:rFonts w:ascii="Times New Roman" w:hAnsi="Times New Roman" w:cs="Times New Roman"/>
        </w:rPr>
        <w:t>BP and</w:t>
      </w:r>
      <w:r w:rsidR="00EE64D8" w:rsidRPr="001A61C4">
        <w:rPr>
          <w:rFonts w:ascii="Times New Roman" w:hAnsi="Times New Roman" w:cs="Times New Roman"/>
        </w:rPr>
        <w:t xml:space="preserve"> is presented as a percentage change.  </w:t>
      </w:r>
      <w:r w:rsidR="00CA3602">
        <w:rPr>
          <w:rFonts w:ascii="Times New Roman" w:hAnsi="Times New Roman" w:cs="Times New Roman"/>
        </w:rPr>
        <w:t xml:space="preserve">Statistical analysis </w:t>
      </w:r>
      <w:r w:rsidR="008C2228">
        <w:rPr>
          <w:rFonts w:ascii="Times New Roman" w:hAnsi="Times New Roman" w:cs="Times New Roman"/>
        </w:rPr>
        <w:t xml:space="preserve">was performed </w:t>
      </w:r>
      <w:r w:rsidR="00CA3602">
        <w:rPr>
          <w:rFonts w:ascii="Times New Roman" w:hAnsi="Times New Roman" w:cs="Times New Roman"/>
        </w:rPr>
        <w:t xml:space="preserve">using a </w:t>
      </w:r>
      <w:r w:rsidR="00136CF9">
        <w:rPr>
          <w:rFonts w:ascii="Times New Roman" w:hAnsi="Times New Roman" w:cs="Times New Roman"/>
        </w:rPr>
        <w:t>one-way ANOVA</w:t>
      </w:r>
      <w:r w:rsidR="008C2228">
        <w:rPr>
          <w:rFonts w:ascii="Times New Roman" w:hAnsi="Times New Roman" w:cs="Times New Roman"/>
        </w:rPr>
        <w:t xml:space="preserve"> with </w:t>
      </w:r>
      <w:proofErr w:type="spellStart"/>
      <w:r w:rsidR="008D0250">
        <w:rPr>
          <w:rFonts w:ascii="Times New Roman" w:hAnsi="Times New Roman" w:cs="Times New Roman"/>
        </w:rPr>
        <w:t>B</w:t>
      </w:r>
      <w:r w:rsidR="008C2228">
        <w:rPr>
          <w:rFonts w:ascii="Times New Roman" w:hAnsi="Times New Roman" w:cs="Times New Roman"/>
        </w:rPr>
        <w:t>onferonni</w:t>
      </w:r>
      <w:proofErr w:type="spellEnd"/>
      <w:r w:rsidR="008C2228">
        <w:rPr>
          <w:rFonts w:ascii="Times New Roman" w:hAnsi="Times New Roman" w:cs="Times New Roman"/>
        </w:rPr>
        <w:t xml:space="preserve"> corrected post hoc tests</w:t>
      </w:r>
      <w:r w:rsidR="00136CF9">
        <w:rPr>
          <w:rFonts w:ascii="Times New Roman" w:hAnsi="Times New Roman" w:cs="Times New Roman"/>
        </w:rPr>
        <w:t>.</w:t>
      </w:r>
    </w:p>
    <w:p w14:paraId="298D44F5" w14:textId="7D15F6B2" w:rsidR="00EE64D8" w:rsidRPr="001A61C4" w:rsidRDefault="002F4CC4" w:rsidP="00073C7A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1A61C4">
        <w:rPr>
          <w:rFonts w:ascii="Times New Roman" w:hAnsi="Times New Roman" w:cs="Times New Roman"/>
          <w:b/>
          <w:bCs/>
        </w:rPr>
        <w:t xml:space="preserve">Results: </w:t>
      </w:r>
      <w:r w:rsidR="009F0236" w:rsidRPr="001A61C4">
        <w:rPr>
          <w:rFonts w:ascii="Times New Roman" w:hAnsi="Times New Roman" w:cs="Times New Roman"/>
          <w:lang w:val="en-US"/>
        </w:rPr>
        <w:t xml:space="preserve"> </w:t>
      </w:r>
      <w:r w:rsidR="001804E3" w:rsidRPr="001A61C4">
        <w:rPr>
          <w:rFonts w:ascii="Times New Roman" w:hAnsi="Times New Roman" w:cs="Times New Roman"/>
          <w:lang w:val="en-US"/>
        </w:rPr>
        <w:t xml:space="preserve">Of 10,822 dialysis records, 692 were excluded from the analysis due to inaccuracies in data entry. </w:t>
      </w:r>
      <w:r w:rsidR="00EE64D8" w:rsidRPr="001A61C4">
        <w:rPr>
          <w:rFonts w:ascii="Times New Roman" w:hAnsi="Times New Roman" w:cs="Times New Roman"/>
          <w:lang w:val="en-US"/>
        </w:rPr>
        <w:t xml:space="preserve">The mean (SD) pre-dialysis </w:t>
      </w:r>
      <w:r w:rsidR="009F0236" w:rsidRPr="001A61C4">
        <w:rPr>
          <w:rFonts w:ascii="Times New Roman" w:hAnsi="Times New Roman" w:cs="Times New Roman"/>
          <w:lang w:val="en-US"/>
        </w:rPr>
        <w:t xml:space="preserve">systolic </w:t>
      </w:r>
      <w:r w:rsidR="00EE64D8" w:rsidRPr="001A61C4">
        <w:rPr>
          <w:rFonts w:ascii="Times New Roman" w:hAnsi="Times New Roman" w:cs="Times New Roman"/>
          <w:lang w:val="en-US"/>
        </w:rPr>
        <w:t>BP was 135 mmHg (24</w:t>
      </w:r>
      <w:r w:rsidR="000F7928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 xml:space="preserve">mmHg), with an average </w:t>
      </w:r>
      <w:r w:rsidR="000F7928" w:rsidRPr="001A61C4">
        <w:rPr>
          <w:rFonts w:ascii="Times New Roman" w:hAnsi="Times New Roman" w:cs="Times New Roman"/>
          <w:lang w:val="en-US"/>
        </w:rPr>
        <w:t>ΔS</w:t>
      </w:r>
      <w:r w:rsidR="00EE64D8" w:rsidRPr="001A61C4">
        <w:rPr>
          <w:rFonts w:ascii="Times New Roman" w:hAnsi="Times New Roman" w:cs="Times New Roman"/>
          <w:lang w:val="en-US"/>
        </w:rPr>
        <w:t>BP of 3.7%, UFR of 4.5 mL·kg</w:t>
      </w:r>
      <w:r w:rsidR="00EE64D8" w:rsidRPr="001A61C4">
        <w:rPr>
          <w:rFonts w:ascii="Times New Roman" w:hAnsi="Times New Roman" w:cs="Times New Roman"/>
          <w:vertAlign w:val="superscript"/>
          <w:lang w:val="en-US"/>
        </w:rPr>
        <w:t>-1</w:t>
      </w:r>
      <w:r w:rsidR="00EE64D8" w:rsidRPr="001A61C4">
        <w:rPr>
          <w:rFonts w:ascii="Times New Roman" w:hAnsi="Times New Roman" w:cs="Times New Roman"/>
          <w:lang w:val="en-US"/>
        </w:rPr>
        <w:t>·h</w:t>
      </w:r>
      <w:r w:rsidR="00EE64D8" w:rsidRPr="001A61C4">
        <w:rPr>
          <w:rFonts w:ascii="Times New Roman" w:hAnsi="Times New Roman" w:cs="Times New Roman"/>
          <w:vertAlign w:val="superscript"/>
          <w:lang w:val="en-US"/>
        </w:rPr>
        <w:t>-1</w:t>
      </w:r>
      <w:r w:rsidR="00EE64D8" w:rsidRPr="001A61C4">
        <w:rPr>
          <w:rFonts w:ascii="Times New Roman" w:hAnsi="Times New Roman" w:cs="Times New Roman"/>
          <w:lang w:val="en-US"/>
        </w:rPr>
        <w:t xml:space="preserve"> and UF volume of 1.26 L. Of the sessions completed, 339 (3.3%) were complicated by symptomatic IDH. In the majority of sessions, participants were asymptomatic (73.9%) and recovered immediately following dialysis (75.6%). </w:t>
      </w:r>
      <w:r w:rsidR="009F0236" w:rsidRPr="001A61C4">
        <w:rPr>
          <w:rFonts w:ascii="Times New Roman" w:hAnsi="Times New Roman" w:cs="Times New Roman"/>
          <w:lang w:val="en-US"/>
        </w:rPr>
        <w:t>ΔSBP increased significantly</w:t>
      </w:r>
      <w:r w:rsidR="00B24E4A">
        <w:rPr>
          <w:rFonts w:ascii="Times New Roman" w:hAnsi="Times New Roman" w:cs="Times New Roman"/>
          <w:lang w:val="en-US"/>
        </w:rPr>
        <w:t xml:space="preserve"> and</w:t>
      </w:r>
      <w:r w:rsidR="009F0236" w:rsidRPr="001A61C4">
        <w:rPr>
          <w:rFonts w:ascii="Times New Roman" w:hAnsi="Times New Roman" w:cs="Times New Roman"/>
          <w:lang w:val="en-US"/>
        </w:rPr>
        <w:t xml:space="preserve"> in a stepwise manner from asymptomatic i</w:t>
      </w:r>
      <w:r w:rsidR="00A81648" w:rsidRPr="001A61C4">
        <w:rPr>
          <w:rFonts w:ascii="Times New Roman" w:hAnsi="Times New Roman" w:cs="Times New Roman"/>
          <w:lang w:val="en-US"/>
        </w:rPr>
        <w:t>ndividuals</w:t>
      </w:r>
      <w:r w:rsidR="009F0236" w:rsidRPr="001A61C4">
        <w:rPr>
          <w:rFonts w:ascii="Times New Roman" w:hAnsi="Times New Roman" w:cs="Times New Roman"/>
          <w:lang w:val="en-US"/>
        </w:rPr>
        <w:t xml:space="preserve"> (3.5%) to those who suffered with headaches (5.7%</w:t>
      </w:r>
      <w:r w:rsidR="001A61C4" w:rsidRPr="001A61C4">
        <w:rPr>
          <w:rFonts w:ascii="Times New Roman" w:hAnsi="Times New Roman" w:cs="Times New Roman"/>
          <w:lang w:val="en-US"/>
        </w:rPr>
        <w:t xml:space="preserve">, </w:t>
      </w:r>
      <w:r w:rsidR="001A61C4" w:rsidRPr="001A61C4">
        <w:rPr>
          <w:rFonts w:ascii="Times New Roman" w:hAnsi="Times New Roman" w:cs="Times New Roman"/>
          <w:i/>
          <w:lang w:val="en-US"/>
        </w:rPr>
        <w:t>p</w:t>
      </w:r>
      <w:r w:rsidR="001A61C4" w:rsidRPr="001A61C4">
        <w:rPr>
          <w:rFonts w:ascii="Times New Roman" w:hAnsi="Times New Roman" w:cs="Times New Roman"/>
          <w:lang w:val="en-US"/>
        </w:rPr>
        <w:t>&lt;0.0001</w:t>
      </w:r>
      <w:r w:rsidR="009F0236" w:rsidRPr="001A61C4">
        <w:rPr>
          <w:rFonts w:ascii="Times New Roman" w:hAnsi="Times New Roman" w:cs="Times New Roman"/>
          <w:lang w:val="en-US"/>
        </w:rPr>
        <w:t>), light headedness (11.1%</w:t>
      </w:r>
      <w:r w:rsidR="001A61C4" w:rsidRPr="001A61C4">
        <w:rPr>
          <w:rFonts w:ascii="Times New Roman" w:hAnsi="Times New Roman" w:cs="Times New Roman"/>
          <w:lang w:val="en-US"/>
        </w:rPr>
        <w:t>,</w:t>
      </w:r>
      <w:r w:rsidR="001A61C4" w:rsidRPr="001A61C4">
        <w:rPr>
          <w:rFonts w:ascii="Times New Roman" w:hAnsi="Times New Roman" w:cs="Times New Roman"/>
          <w:i/>
          <w:lang w:val="en-US"/>
        </w:rPr>
        <w:t xml:space="preserve"> p</w:t>
      </w:r>
      <w:r w:rsidR="001A61C4" w:rsidRPr="001A61C4">
        <w:rPr>
          <w:rFonts w:ascii="Times New Roman" w:hAnsi="Times New Roman" w:cs="Times New Roman"/>
          <w:lang w:val="en-US"/>
        </w:rPr>
        <w:t>&lt;0.0001</w:t>
      </w:r>
      <w:r w:rsidR="009F0236" w:rsidRPr="001A61C4">
        <w:rPr>
          <w:rFonts w:ascii="Times New Roman" w:hAnsi="Times New Roman" w:cs="Times New Roman"/>
          <w:lang w:val="en-US"/>
        </w:rPr>
        <w:t>) and syncope (25.8%</w:t>
      </w:r>
      <w:r w:rsidR="001A61C4" w:rsidRPr="001A61C4">
        <w:rPr>
          <w:rFonts w:ascii="Times New Roman" w:hAnsi="Times New Roman" w:cs="Times New Roman"/>
          <w:lang w:val="en-US"/>
        </w:rPr>
        <w:t xml:space="preserve">, </w:t>
      </w:r>
      <w:r w:rsidR="001A61C4" w:rsidRPr="001A61C4">
        <w:rPr>
          <w:rFonts w:ascii="Times New Roman" w:hAnsi="Times New Roman" w:cs="Times New Roman"/>
          <w:i/>
          <w:lang w:val="en-US"/>
        </w:rPr>
        <w:t>p</w:t>
      </w:r>
      <w:r w:rsidR="001A61C4" w:rsidRPr="001A61C4">
        <w:rPr>
          <w:rFonts w:ascii="Times New Roman" w:hAnsi="Times New Roman" w:cs="Times New Roman"/>
          <w:lang w:val="en-US"/>
        </w:rPr>
        <w:t>&lt;0.0001</w:t>
      </w:r>
      <w:r w:rsidR="009F0236" w:rsidRPr="001A61C4">
        <w:rPr>
          <w:rFonts w:ascii="Times New Roman" w:hAnsi="Times New Roman" w:cs="Times New Roman"/>
          <w:lang w:val="en-US"/>
        </w:rPr>
        <w:t>)</w:t>
      </w:r>
      <w:r w:rsidR="001804E3" w:rsidRPr="001A61C4">
        <w:rPr>
          <w:rFonts w:ascii="Times New Roman" w:hAnsi="Times New Roman" w:cs="Times New Roman"/>
          <w:lang w:val="en-US"/>
        </w:rPr>
        <w:t xml:space="preserve"> during dialysis</w:t>
      </w:r>
      <w:r w:rsidR="009F0236" w:rsidRPr="001A61C4">
        <w:rPr>
          <w:rFonts w:ascii="Times New Roman" w:hAnsi="Times New Roman" w:cs="Times New Roman"/>
          <w:lang w:val="en-US"/>
        </w:rPr>
        <w:t xml:space="preserve">, </w:t>
      </w:r>
      <w:r w:rsidR="00EE64D8" w:rsidRPr="001A61C4">
        <w:rPr>
          <w:rFonts w:ascii="Times New Roman" w:hAnsi="Times New Roman" w:cs="Times New Roman"/>
          <w:lang w:val="en-US"/>
        </w:rPr>
        <w:t xml:space="preserve">despite having similar or lower UF volumes and </w:t>
      </w:r>
      <w:r w:rsidR="000B3D04" w:rsidRPr="001A61C4">
        <w:rPr>
          <w:rFonts w:ascii="Times New Roman" w:hAnsi="Times New Roman" w:cs="Times New Roman"/>
          <w:lang w:val="en-US"/>
        </w:rPr>
        <w:t>UFRs</w:t>
      </w:r>
      <w:r w:rsidR="00EE64D8" w:rsidRPr="001A61C4">
        <w:rPr>
          <w:rFonts w:ascii="Times New Roman" w:hAnsi="Times New Roman" w:cs="Times New Roman"/>
          <w:lang w:val="en-US"/>
        </w:rPr>
        <w:t xml:space="preserve">. </w:t>
      </w:r>
      <w:r w:rsidR="001804E3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 xml:space="preserve">Similarly, </w:t>
      </w:r>
      <w:r w:rsidR="005A4C12" w:rsidRPr="001A61C4">
        <w:rPr>
          <w:rFonts w:ascii="Times New Roman" w:hAnsi="Times New Roman" w:cs="Times New Roman"/>
          <w:lang w:val="en-US"/>
        </w:rPr>
        <w:t xml:space="preserve">patients who recovered </w:t>
      </w:r>
      <w:r w:rsidR="000B3D04" w:rsidRPr="001A61C4">
        <w:rPr>
          <w:rFonts w:ascii="Times New Roman" w:hAnsi="Times New Roman" w:cs="Times New Roman"/>
          <w:lang w:val="en-US"/>
        </w:rPr>
        <w:t>immediate</w:t>
      </w:r>
      <w:r w:rsidR="005A4C12" w:rsidRPr="001A61C4">
        <w:rPr>
          <w:rFonts w:ascii="Times New Roman" w:hAnsi="Times New Roman" w:cs="Times New Roman"/>
          <w:lang w:val="en-US"/>
        </w:rPr>
        <w:t>ly</w:t>
      </w:r>
      <w:r w:rsidR="00C50024" w:rsidRPr="001A61C4">
        <w:rPr>
          <w:rFonts w:ascii="Times New Roman" w:hAnsi="Times New Roman" w:cs="Times New Roman"/>
          <w:lang w:val="en-US"/>
        </w:rPr>
        <w:t xml:space="preserve"> following dialysis</w:t>
      </w:r>
      <w:r w:rsidR="00EE64D8" w:rsidRPr="001A61C4">
        <w:rPr>
          <w:rFonts w:ascii="Times New Roman" w:hAnsi="Times New Roman" w:cs="Times New Roman"/>
          <w:lang w:val="en-US"/>
        </w:rPr>
        <w:t xml:space="preserve"> </w:t>
      </w:r>
      <w:r w:rsidR="005A4C12" w:rsidRPr="001A61C4">
        <w:rPr>
          <w:rFonts w:ascii="Times New Roman" w:hAnsi="Times New Roman" w:cs="Times New Roman"/>
          <w:lang w:val="en-US"/>
        </w:rPr>
        <w:t>had</w:t>
      </w:r>
      <w:r w:rsidR="000B3D04" w:rsidRPr="001A61C4">
        <w:rPr>
          <w:rFonts w:ascii="Times New Roman" w:hAnsi="Times New Roman" w:cs="Times New Roman"/>
          <w:lang w:val="en-US"/>
        </w:rPr>
        <w:t xml:space="preserve"> a</w:t>
      </w:r>
      <w:r w:rsidR="00EE64D8" w:rsidRPr="001A61C4">
        <w:rPr>
          <w:rFonts w:ascii="Times New Roman" w:hAnsi="Times New Roman" w:cs="Times New Roman"/>
          <w:lang w:val="en-US"/>
        </w:rPr>
        <w:t xml:space="preserve"> significantly lower </w:t>
      </w:r>
      <w:r w:rsidR="000F7928" w:rsidRPr="001A61C4">
        <w:rPr>
          <w:rFonts w:ascii="Times New Roman" w:hAnsi="Times New Roman" w:cs="Times New Roman"/>
          <w:lang w:val="en-US"/>
        </w:rPr>
        <w:t>ΔS</w:t>
      </w:r>
      <w:r w:rsidR="00EE64D8" w:rsidRPr="001A61C4">
        <w:rPr>
          <w:rFonts w:ascii="Times New Roman" w:hAnsi="Times New Roman" w:cs="Times New Roman"/>
          <w:lang w:val="en-US"/>
        </w:rPr>
        <w:t>BP (2.8</w:t>
      </w:r>
      <w:r w:rsidR="008417BC" w:rsidRPr="001A61C4">
        <w:rPr>
          <w:rFonts w:ascii="Times New Roman" w:hAnsi="Times New Roman" w:cs="Times New Roman"/>
          <w:lang w:val="en-US"/>
        </w:rPr>
        <w:t>%)</w:t>
      </w:r>
      <w:r w:rsidR="00EE64D8" w:rsidRPr="001A61C4">
        <w:rPr>
          <w:rFonts w:ascii="Times New Roman" w:hAnsi="Times New Roman" w:cs="Times New Roman"/>
          <w:lang w:val="en-US"/>
        </w:rPr>
        <w:t xml:space="preserve"> than </w:t>
      </w:r>
      <w:r w:rsidR="008417BC" w:rsidRPr="001A61C4">
        <w:rPr>
          <w:rFonts w:ascii="Times New Roman" w:hAnsi="Times New Roman" w:cs="Times New Roman"/>
          <w:lang w:val="en-US"/>
        </w:rPr>
        <w:t xml:space="preserve">individuals </w:t>
      </w:r>
      <w:r w:rsidR="00EE64D8" w:rsidRPr="001A61C4">
        <w:rPr>
          <w:rFonts w:ascii="Times New Roman" w:hAnsi="Times New Roman" w:cs="Times New Roman"/>
          <w:lang w:val="en-US"/>
        </w:rPr>
        <w:t xml:space="preserve">who took </w:t>
      </w:r>
      <w:r w:rsidR="005A4C12" w:rsidRPr="001A61C4">
        <w:rPr>
          <w:rFonts w:ascii="Times New Roman" w:hAnsi="Times New Roman" w:cs="Times New Roman"/>
          <w:lang w:val="en-US"/>
        </w:rPr>
        <w:t>up to</w:t>
      </w:r>
      <w:r w:rsidR="00EE64D8" w:rsidRPr="001A61C4">
        <w:rPr>
          <w:rFonts w:ascii="Times New Roman" w:hAnsi="Times New Roman" w:cs="Times New Roman"/>
          <w:lang w:val="en-US"/>
        </w:rPr>
        <w:t xml:space="preserve"> 2</w:t>
      </w:r>
      <w:r w:rsidR="000F7928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>h (</w:t>
      </w:r>
      <w:r w:rsidR="008417BC" w:rsidRPr="001A61C4">
        <w:rPr>
          <w:rFonts w:ascii="Times New Roman" w:hAnsi="Times New Roman" w:cs="Times New Roman"/>
          <w:lang w:val="en-US"/>
        </w:rPr>
        <w:t>5.8%</w:t>
      </w:r>
      <w:r w:rsidR="00C50024" w:rsidRPr="001A61C4">
        <w:rPr>
          <w:rFonts w:ascii="Times New Roman" w:hAnsi="Times New Roman" w:cs="Times New Roman"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i/>
          <w:lang w:val="en-US"/>
        </w:rPr>
        <w:t>p</w:t>
      </w:r>
      <w:r w:rsidR="00B9279A" w:rsidRPr="001A61C4">
        <w:rPr>
          <w:rFonts w:ascii="Times New Roman" w:hAnsi="Times New Roman" w:cs="Times New Roman"/>
          <w:i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&lt;</w:t>
      </w:r>
      <w:r w:rsidR="00B9279A" w:rsidRPr="001A61C4">
        <w:rPr>
          <w:rFonts w:ascii="Times New Roman" w:hAnsi="Times New Roman" w:cs="Times New Roman"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0.0001</w:t>
      </w:r>
      <w:r w:rsidR="00EE64D8" w:rsidRPr="001A61C4">
        <w:rPr>
          <w:rFonts w:ascii="Times New Roman" w:hAnsi="Times New Roman" w:cs="Times New Roman"/>
          <w:lang w:val="en-US"/>
        </w:rPr>
        <w:t>), between 2 and 6 h</w:t>
      </w:r>
      <w:r w:rsidR="000F7928" w:rsidRPr="001A61C4">
        <w:rPr>
          <w:rFonts w:ascii="Times New Roman" w:hAnsi="Times New Roman" w:cs="Times New Roman"/>
          <w:lang w:val="en-US"/>
        </w:rPr>
        <w:t xml:space="preserve"> </w:t>
      </w:r>
      <w:r w:rsidR="00EE64D8" w:rsidRPr="001A61C4">
        <w:rPr>
          <w:rFonts w:ascii="Times New Roman" w:hAnsi="Times New Roman" w:cs="Times New Roman"/>
          <w:lang w:val="en-US"/>
        </w:rPr>
        <w:t>(5.9%</w:t>
      </w:r>
      <w:r w:rsidR="00C50024" w:rsidRPr="001A61C4">
        <w:rPr>
          <w:rFonts w:ascii="Times New Roman" w:hAnsi="Times New Roman" w:cs="Times New Roman"/>
          <w:lang w:val="en-US"/>
        </w:rPr>
        <w:t xml:space="preserve">, </w:t>
      </w:r>
      <w:r w:rsidR="00C50024" w:rsidRPr="001A61C4">
        <w:rPr>
          <w:rFonts w:ascii="Times New Roman" w:hAnsi="Times New Roman" w:cs="Times New Roman"/>
          <w:i/>
          <w:lang w:val="en-US"/>
        </w:rPr>
        <w:t>p</w:t>
      </w:r>
      <w:r w:rsidR="00B9279A" w:rsidRPr="001A61C4">
        <w:rPr>
          <w:rFonts w:ascii="Times New Roman" w:hAnsi="Times New Roman" w:cs="Times New Roman"/>
          <w:i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&lt;</w:t>
      </w:r>
      <w:r w:rsidR="00B9279A" w:rsidRPr="001A61C4">
        <w:rPr>
          <w:rFonts w:ascii="Times New Roman" w:hAnsi="Times New Roman" w:cs="Times New Roman"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0.0001</w:t>
      </w:r>
      <w:r w:rsidR="008417BC" w:rsidRPr="001A61C4">
        <w:rPr>
          <w:rFonts w:ascii="Times New Roman" w:hAnsi="Times New Roman" w:cs="Times New Roman"/>
          <w:lang w:val="en-US"/>
        </w:rPr>
        <w:t xml:space="preserve">) </w:t>
      </w:r>
      <w:r w:rsidR="00EE64D8" w:rsidRPr="001A61C4">
        <w:rPr>
          <w:rFonts w:ascii="Times New Roman" w:hAnsi="Times New Roman" w:cs="Times New Roman"/>
          <w:lang w:val="en-US"/>
        </w:rPr>
        <w:t xml:space="preserve">and </w:t>
      </w:r>
      <w:r w:rsidR="005A4C12" w:rsidRPr="001A61C4">
        <w:rPr>
          <w:rFonts w:ascii="Times New Roman" w:hAnsi="Times New Roman" w:cs="Times New Roman"/>
          <w:lang w:val="en-US"/>
        </w:rPr>
        <w:t>more than</w:t>
      </w:r>
      <w:r w:rsidR="008417BC" w:rsidRPr="001A61C4">
        <w:rPr>
          <w:rFonts w:ascii="Times New Roman" w:hAnsi="Times New Roman" w:cs="Times New Roman"/>
          <w:lang w:val="en-US"/>
        </w:rPr>
        <w:t xml:space="preserve"> </w:t>
      </w:r>
      <w:r w:rsidR="000F7928" w:rsidRPr="001A61C4">
        <w:rPr>
          <w:rFonts w:ascii="Times New Roman" w:hAnsi="Times New Roman" w:cs="Times New Roman"/>
          <w:lang w:val="en-US"/>
        </w:rPr>
        <w:t>6 h</w:t>
      </w:r>
      <w:r w:rsidR="00EE64D8" w:rsidRPr="001A61C4">
        <w:rPr>
          <w:rFonts w:ascii="Times New Roman" w:hAnsi="Times New Roman" w:cs="Times New Roman"/>
          <w:lang w:val="en-US"/>
        </w:rPr>
        <w:t xml:space="preserve"> (12.3%</w:t>
      </w:r>
      <w:r w:rsidR="00C50024" w:rsidRPr="001A61C4">
        <w:rPr>
          <w:rFonts w:ascii="Times New Roman" w:hAnsi="Times New Roman" w:cs="Times New Roman"/>
          <w:lang w:val="en-US"/>
        </w:rPr>
        <w:t>,</w:t>
      </w:r>
      <w:r w:rsidR="00C50024" w:rsidRPr="001A61C4">
        <w:rPr>
          <w:rFonts w:ascii="Times New Roman" w:hAnsi="Times New Roman" w:cs="Times New Roman"/>
          <w:i/>
          <w:lang w:val="en-US"/>
        </w:rPr>
        <w:t xml:space="preserve"> p</w:t>
      </w:r>
      <w:r w:rsidR="00B9279A" w:rsidRPr="001A61C4">
        <w:rPr>
          <w:rFonts w:ascii="Times New Roman" w:hAnsi="Times New Roman" w:cs="Times New Roman"/>
          <w:i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&lt;</w:t>
      </w:r>
      <w:r w:rsidR="00B9279A" w:rsidRPr="001A61C4">
        <w:rPr>
          <w:rFonts w:ascii="Times New Roman" w:hAnsi="Times New Roman" w:cs="Times New Roman"/>
          <w:lang w:val="en-US"/>
        </w:rPr>
        <w:t xml:space="preserve"> </w:t>
      </w:r>
      <w:r w:rsidR="00C50024" w:rsidRPr="001A61C4">
        <w:rPr>
          <w:rFonts w:ascii="Times New Roman" w:hAnsi="Times New Roman" w:cs="Times New Roman"/>
          <w:lang w:val="en-US"/>
        </w:rPr>
        <w:t>0.0001</w:t>
      </w:r>
      <w:r w:rsidR="00EE64D8" w:rsidRPr="001A61C4">
        <w:rPr>
          <w:rFonts w:ascii="Times New Roman" w:hAnsi="Times New Roman" w:cs="Times New Roman"/>
          <w:lang w:val="en-US"/>
        </w:rPr>
        <w:t>)</w:t>
      </w:r>
      <w:r w:rsidR="008417BC" w:rsidRPr="001A61C4">
        <w:rPr>
          <w:rFonts w:ascii="Times New Roman" w:hAnsi="Times New Roman" w:cs="Times New Roman"/>
          <w:lang w:val="en-US"/>
        </w:rPr>
        <w:t xml:space="preserve"> to recover, </w:t>
      </w:r>
      <w:r w:rsidR="00EE64D8" w:rsidRPr="001A61C4">
        <w:rPr>
          <w:rFonts w:ascii="Times New Roman" w:hAnsi="Times New Roman" w:cs="Times New Roman"/>
          <w:lang w:val="en-US"/>
        </w:rPr>
        <w:t xml:space="preserve">despite having similar or lower UF volumes and </w:t>
      </w:r>
      <w:r w:rsidR="008417BC" w:rsidRPr="001A61C4">
        <w:rPr>
          <w:rFonts w:ascii="Times New Roman" w:hAnsi="Times New Roman" w:cs="Times New Roman"/>
          <w:lang w:val="en-US"/>
        </w:rPr>
        <w:t>UFRs</w:t>
      </w:r>
      <w:r w:rsidR="00EE64D8" w:rsidRPr="001A61C4">
        <w:rPr>
          <w:rFonts w:ascii="Times New Roman" w:hAnsi="Times New Roman" w:cs="Times New Roman"/>
          <w:lang w:val="en-US"/>
        </w:rPr>
        <w:t>.</w:t>
      </w:r>
      <w:r w:rsidR="00EE64D8" w:rsidRPr="001A61C4">
        <w:rPr>
          <w:noProof/>
          <w:lang w:eastAsia="en-GB"/>
        </w:rPr>
        <w:t xml:space="preserve"> </w:t>
      </w:r>
      <w:r w:rsidR="00B24E4A">
        <w:rPr>
          <w:noProof/>
          <w:lang w:eastAsia="en-GB"/>
        </w:rPr>
        <w:t xml:space="preserve"> </w:t>
      </w:r>
    </w:p>
    <w:p w14:paraId="3F661FD1" w14:textId="55109E8C" w:rsidR="00FF159B" w:rsidRPr="001A61C4" w:rsidRDefault="002F4CC4" w:rsidP="00FC167B">
      <w:pPr>
        <w:spacing w:line="240" w:lineRule="auto"/>
        <w:jc w:val="both"/>
        <w:rPr>
          <w:rFonts w:ascii="Times New Roman" w:hAnsi="Times New Roman" w:cs="Times New Roman"/>
        </w:rPr>
      </w:pPr>
      <w:r w:rsidRPr="001A61C4">
        <w:rPr>
          <w:rFonts w:ascii="Times New Roman" w:hAnsi="Times New Roman" w:cs="Times New Roman"/>
          <w:b/>
          <w:bCs/>
        </w:rPr>
        <w:t>Conclusion:</w:t>
      </w:r>
      <w:r w:rsidR="00C50024" w:rsidRPr="001A61C4">
        <w:rPr>
          <w:rFonts w:ascii="Times New Roman" w:hAnsi="Times New Roman" w:cs="Times New Roman"/>
        </w:rPr>
        <w:t xml:space="preserve"> </w:t>
      </w:r>
      <w:r w:rsidR="00F75ABE" w:rsidRPr="001A61C4">
        <w:rPr>
          <w:rFonts w:ascii="Times New Roman" w:hAnsi="Times New Roman" w:cs="Times New Roman"/>
        </w:rPr>
        <w:t>T</w:t>
      </w:r>
      <w:r w:rsidR="0050334E" w:rsidRPr="001A61C4">
        <w:rPr>
          <w:rFonts w:ascii="Times New Roman" w:hAnsi="Times New Roman" w:cs="Times New Roman"/>
        </w:rPr>
        <w:t>his</w:t>
      </w:r>
      <w:r w:rsidR="00534E4E" w:rsidRPr="001A61C4">
        <w:rPr>
          <w:rFonts w:ascii="Times New Roman" w:hAnsi="Times New Roman" w:cs="Times New Roman"/>
        </w:rPr>
        <w:t xml:space="preserve"> </w:t>
      </w:r>
      <w:r w:rsidR="001804E3" w:rsidRPr="001A61C4">
        <w:rPr>
          <w:rFonts w:ascii="Times New Roman" w:hAnsi="Times New Roman" w:cs="Times New Roman"/>
        </w:rPr>
        <w:t>study</w:t>
      </w:r>
      <w:r w:rsidR="00534E4E" w:rsidRPr="001A61C4">
        <w:rPr>
          <w:rFonts w:ascii="Times New Roman" w:hAnsi="Times New Roman" w:cs="Times New Roman"/>
        </w:rPr>
        <w:t xml:space="preserve"> demonstrate</w:t>
      </w:r>
      <w:r w:rsidR="001804E3" w:rsidRPr="001A61C4">
        <w:rPr>
          <w:rFonts w:ascii="Times New Roman" w:hAnsi="Times New Roman" w:cs="Times New Roman"/>
        </w:rPr>
        <w:t>s</w:t>
      </w:r>
      <w:r w:rsidR="0050334E" w:rsidRPr="001A61C4">
        <w:rPr>
          <w:rFonts w:ascii="Times New Roman" w:hAnsi="Times New Roman" w:cs="Times New Roman"/>
        </w:rPr>
        <w:t xml:space="preserve"> </w:t>
      </w:r>
      <w:r w:rsidR="001804E3" w:rsidRPr="001A61C4">
        <w:rPr>
          <w:rFonts w:ascii="Times New Roman" w:hAnsi="Times New Roman" w:cs="Times New Roman"/>
        </w:rPr>
        <w:t xml:space="preserve">a relationship between </w:t>
      </w:r>
      <w:r w:rsidR="0050334E" w:rsidRPr="001A61C4">
        <w:rPr>
          <w:rFonts w:ascii="Times New Roman" w:hAnsi="Times New Roman" w:cs="Times New Roman"/>
        </w:rPr>
        <w:t xml:space="preserve">haemodynamic </w:t>
      </w:r>
      <w:r w:rsidR="008F47B3">
        <w:rPr>
          <w:rFonts w:ascii="Times New Roman" w:hAnsi="Times New Roman" w:cs="Times New Roman"/>
        </w:rPr>
        <w:t>in</w:t>
      </w:r>
      <w:r w:rsidR="0050334E" w:rsidRPr="001A61C4">
        <w:rPr>
          <w:rFonts w:ascii="Times New Roman" w:hAnsi="Times New Roman" w:cs="Times New Roman"/>
        </w:rPr>
        <w:t xml:space="preserve">stability </w:t>
      </w:r>
      <w:r w:rsidR="001804E3" w:rsidRPr="001A61C4">
        <w:rPr>
          <w:rFonts w:ascii="Times New Roman" w:hAnsi="Times New Roman" w:cs="Times New Roman"/>
        </w:rPr>
        <w:t xml:space="preserve">and </w:t>
      </w:r>
      <w:r w:rsidR="008F47B3">
        <w:rPr>
          <w:rFonts w:ascii="Times New Roman" w:hAnsi="Times New Roman" w:cs="Times New Roman"/>
        </w:rPr>
        <w:t>worsening</w:t>
      </w:r>
      <w:r w:rsidR="008F47B3" w:rsidRPr="001A61C4">
        <w:rPr>
          <w:rFonts w:ascii="Times New Roman" w:hAnsi="Times New Roman" w:cs="Times New Roman"/>
        </w:rPr>
        <w:t xml:space="preserve"> </w:t>
      </w:r>
      <w:r w:rsidR="00534E4E" w:rsidRPr="001A61C4">
        <w:rPr>
          <w:rFonts w:ascii="Times New Roman" w:hAnsi="Times New Roman" w:cs="Times New Roman"/>
        </w:rPr>
        <w:t xml:space="preserve">patient reported outcomes </w:t>
      </w:r>
      <w:r w:rsidR="00B24E4A">
        <w:rPr>
          <w:rFonts w:ascii="Times New Roman" w:hAnsi="Times New Roman" w:cs="Times New Roman"/>
        </w:rPr>
        <w:t>specifically,</w:t>
      </w:r>
      <w:r w:rsidR="00534E4E" w:rsidRPr="001A61C4">
        <w:rPr>
          <w:rFonts w:ascii="Times New Roman" w:hAnsi="Times New Roman" w:cs="Times New Roman"/>
        </w:rPr>
        <w:t xml:space="preserve"> </w:t>
      </w:r>
      <w:r w:rsidR="008F47B3">
        <w:rPr>
          <w:rFonts w:ascii="Times New Roman" w:hAnsi="Times New Roman" w:cs="Times New Roman"/>
        </w:rPr>
        <w:t>longer</w:t>
      </w:r>
      <w:r w:rsidR="008F47B3" w:rsidRPr="001A61C4">
        <w:rPr>
          <w:rFonts w:ascii="Times New Roman" w:hAnsi="Times New Roman" w:cs="Times New Roman"/>
        </w:rPr>
        <w:t xml:space="preserve"> </w:t>
      </w:r>
      <w:r w:rsidR="0050334E" w:rsidRPr="001A61C4">
        <w:rPr>
          <w:rFonts w:ascii="Times New Roman" w:hAnsi="Times New Roman" w:cs="Times New Roman"/>
        </w:rPr>
        <w:t xml:space="preserve">post-dialysis recovery </w:t>
      </w:r>
      <w:r w:rsidR="0050334E" w:rsidRPr="001A61C4">
        <w:rPr>
          <w:rFonts w:ascii="Times New Roman" w:hAnsi="Times New Roman" w:cs="Times New Roman"/>
          <w:lang w:val="en-US"/>
        </w:rPr>
        <w:t>time</w:t>
      </w:r>
      <w:r w:rsidR="008F47B3">
        <w:rPr>
          <w:rFonts w:ascii="Times New Roman" w:hAnsi="Times New Roman" w:cs="Times New Roman"/>
          <w:lang w:val="en-US"/>
        </w:rPr>
        <w:t>s</w:t>
      </w:r>
      <w:r w:rsidR="0050334E" w:rsidRPr="001A61C4">
        <w:rPr>
          <w:rFonts w:ascii="Times New Roman" w:hAnsi="Times New Roman" w:cs="Times New Roman"/>
          <w:lang w:val="en-US"/>
        </w:rPr>
        <w:t xml:space="preserve"> and </w:t>
      </w:r>
      <w:r w:rsidR="008F47B3">
        <w:rPr>
          <w:rFonts w:ascii="Times New Roman" w:hAnsi="Times New Roman" w:cs="Times New Roman"/>
          <w:lang w:val="en-US"/>
        </w:rPr>
        <w:t>increased</w:t>
      </w:r>
      <w:r w:rsidR="008F47B3" w:rsidRPr="001A61C4">
        <w:rPr>
          <w:rFonts w:ascii="Times New Roman" w:hAnsi="Times New Roman" w:cs="Times New Roman"/>
          <w:lang w:val="en-US"/>
        </w:rPr>
        <w:t xml:space="preserve"> </w:t>
      </w:r>
      <w:r w:rsidR="0050334E" w:rsidRPr="001A61C4">
        <w:rPr>
          <w:rFonts w:ascii="Times New Roman" w:hAnsi="Times New Roman" w:cs="Times New Roman"/>
          <w:lang w:val="en-US"/>
        </w:rPr>
        <w:t>intra-dialytic symptomatology</w:t>
      </w:r>
      <w:r w:rsidR="00B9279A" w:rsidRPr="001A61C4">
        <w:rPr>
          <w:rFonts w:ascii="Times New Roman" w:hAnsi="Times New Roman" w:cs="Times New Roman"/>
          <w:lang w:val="en-US"/>
        </w:rPr>
        <w:t>, in adults</w:t>
      </w:r>
      <w:r w:rsidR="008F47B3">
        <w:rPr>
          <w:rFonts w:ascii="Times New Roman" w:hAnsi="Times New Roman" w:cs="Times New Roman"/>
          <w:lang w:val="en-US"/>
        </w:rPr>
        <w:t xml:space="preserve"> receiving frequent dialysis</w:t>
      </w:r>
      <w:r w:rsidR="00B9279A" w:rsidRPr="001A61C4">
        <w:rPr>
          <w:rFonts w:ascii="Times New Roman" w:hAnsi="Times New Roman" w:cs="Times New Roman"/>
          <w:lang w:val="en-US"/>
        </w:rPr>
        <w:t xml:space="preserve"> at home</w:t>
      </w:r>
      <w:r w:rsidR="0050334E" w:rsidRPr="001A61C4">
        <w:rPr>
          <w:rFonts w:ascii="Times New Roman" w:hAnsi="Times New Roman" w:cs="Times New Roman"/>
          <w:lang w:val="en-US"/>
        </w:rPr>
        <w:t>.</w:t>
      </w:r>
      <w:r w:rsidR="00C50024" w:rsidRPr="001A61C4">
        <w:rPr>
          <w:rFonts w:ascii="Times New Roman" w:hAnsi="Times New Roman" w:cs="Times New Roman"/>
          <w:lang w:val="en-US"/>
        </w:rPr>
        <w:t xml:space="preserve">  </w:t>
      </w:r>
      <w:r w:rsidR="001A61C4" w:rsidRPr="001A61C4">
        <w:rPr>
          <w:rFonts w:ascii="Times New Roman" w:hAnsi="Times New Roman" w:cs="Times New Roman"/>
          <w:lang w:val="en-US"/>
        </w:rPr>
        <w:t>Additionally, it</w:t>
      </w:r>
      <w:r w:rsidR="00B9279A" w:rsidRPr="001A61C4">
        <w:rPr>
          <w:rFonts w:ascii="Times New Roman" w:hAnsi="Times New Roman" w:cs="Times New Roman"/>
          <w:lang w:val="en-US"/>
        </w:rPr>
        <w:t xml:space="preserve"> </w:t>
      </w:r>
      <w:r w:rsidR="001804E3" w:rsidRPr="001A61C4">
        <w:rPr>
          <w:rFonts w:ascii="Times New Roman" w:hAnsi="Times New Roman" w:cs="Times New Roman"/>
          <w:lang w:val="en-US"/>
        </w:rPr>
        <w:t>challenges</w:t>
      </w:r>
      <w:r w:rsidR="00C50024" w:rsidRPr="001A61C4">
        <w:rPr>
          <w:rFonts w:ascii="Times New Roman" w:hAnsi="Times New Roman" w:cs="Times New Roman"/>
          <w:lang w:val="en-US"/>
        </w:rPr>
        <w:t xml:space="preserve"> the </w:t>
      </w:r>
      <w:r w:rsidR="00B9279A" w:rsidRPr="001A61C4">
        <w:rPr>
          <w:rFonts w:ascii="Times New Roman" w:hAnsi="Times New Roman" w:cs="Times New Roman"/>
          <w:lang w:val="en-US"/>
        </w:rPr>
        <w:t xml:space="preserve">traditional viewpoint that </w:t>
      </w:r>
      <w:r w:rsidR="00610B1E" w:rsidRPr="001A61C4">
        <w:rPr>
          <w:rFonts w:ascii="Times New Roman" w:hAnsi="Times New Roman" w:cs="Times New Roman"/>
          <w:lang w:val="en-US"/>
        </w:rPr>
        <w:t>the key risk factors</w:t>
      </w:r>
      <w:r w:rsidR="00B9279A" w:rsidRPr="001A61C4">
        <w:rPr>
          <w:rFonts w:ascii="Times New Roman" w:hAnsi="Times New Roman" w:cs="Times New Roman"/>
          <w:lang w:val="en-US"/>
        </w:rPr>
        <w:t xml:space="preserve"> associated </w:t>
      </w:r>
      <w:r w:rsidR="001A61C4" w:rsidRPr="001A61C4">
        <w:rPr>
          <w:rFonts w:ascii="Times New Roman" w:hAnsi="Times New Roman" w:cs="Times New Roman"/>
          <w:lang w:val="en-US"/>
        </w:rPr>
        <w:t>with haemodynamic</w:t>
      </w:r>
      <w:r w:rsidR="00C50024" w:rsidRPr="001A61C4">
        <w:rPr>
          <w:rFonts w:ascii="Times New Roman" w:hAnsi="Times New Roman" w:cs="Times New Roman"/>
          <w:lang w:val="en-US"/>
        </w:rPr>
        <w:t xml:space="preserve"> </w:t>
      </w:r>
      <w:r w:rsidR="00B9279A" w:rsidRPr="001A61C4">
        <w:rPr>
          <w:rFonts w:ascii="Times New Roman" w:hAnsi="Times New Roman" w:cs="Times New Roman"/>
          <w:lang w:val="en-US"/>
        </w:rPr>
        <w:t>(</w:t>
      </w:r>
      <w:r w:rsidR="00C50024" w:rsidRPr="001A61C4">
        <w:rPr>
          <w:rFonts w:ascii="Times New Roman" w:hAnsi="Times New Roman" w:cs="Times New Roman"/>
          <w:lang w:val="en-US"/>
        </w:rPr>
        <w:t>in</w:t>
      </w:r>
      <w:r w:rsidR="00B9279A" w:rsidRPr="001A61C4">
        <w:rPr>
          <w:rFonts w:ascii="Times New Roman" w:hAnsi="Times New Roman" w:cs="Times New Roman"/>
          <w:lang w:val="en-US"/>
        </w:rPr>
        <w:t>)</w:t>
      </w:r>
      <w:r w:rsidR="00C50024" w:rsidRPr="001A61C4">
        <w:rPr>
          <w:rFonts w:ascii="Times New Roman" w:hAnsi="Times New Roman" w:cs="Times New Roman"/>
          <w:lang w:val="en-US"/>
        </w:rPr>
        <w:t xml:space="preserve">stability </w:t>
      </w:r>
      <w:r w:rsidR="00B9279A" w:rsidRPr="001A61C4">
        <w:rPr>
          <w:rFonts w:ascii="Times New Roman" w:hAnsi="Times New Roman" w:cs="Times New Roman"/>
          <w:lang w:val="en-US"/>
        </w:rPr>
        <w:t xml:space="preserve">in this patient group </w:t>
      </w:r>
      <w:r w:rsidR="00610B1E" w:rsidRPr="001A61C4">
        <w:rPr>
          <w:rFonts w:ascii="Times New Roman" w:hAnsi="Times New Roman" w:cs="Times New Roman"/>
          <w:lang w:val="en-US"/>
        </w:rPr>
        <w:t>are</w:t>
      </w:r>
      <w:r w:rsidR="00C50024" w:rsidRPr="001A61C4">
        <w:rPr>
          <w:rFonts w:ascii="Times New Roman" w:hAnsi="Times New Roman" w:cs="Times New Roman"/>
          <w:lang w:val="en-US"/>
        </w:rPr>
        <w:t xml:space="preserve"> UFR and/or UF volume.</w:t>
      </w:r>
      <w:r w:rsidR="0050334E" w:rsidRPr="001A61C4">
        <w:rPr>
          <w:rFonts w:ascii="Times New Roman" w:hAnsi="Times New Roman" w:cs="Times New Roman"/>
          <w:lang w:val="en-US"/>
        </w:rPr>
        <w:t xml:space="preserve"> </w:t>
      </w:r>
      <w:r w:rsidR="00B9279A" w:rsidRPr="001A61C4">
        <w:rPr>
          <w:rFonts w:ascii="Times New Roman" w:hAnsi="Times New Roman" w:cs="Times New Roman"/>
          <w:lang w:val="en-US"/>
        </w:rPr>
        <w:t xml:space="preserve">Further research in this area is warranted. </w:t>
      </w:r>
    </w:p>
    <w:p w14:paraId="1BD03DFA" w14:textId="77777777" w:rsidR="001D1E54" w:rsidRDefault="001D1E54" w:rsidP="000F792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sectPr w:rsidR="001D1E54" w:rsidSect="00DA3D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66F"/>
    <w:multiLevelType w:val="hybridMultilevel"/>
    <w:tmpl w:val="B720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5448"/>
    <w:multiLevelType w:val="hybridMultilevel"/>
    <w:tmpl w:val="0BE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763A"/>
    <w:multiLevelType w:val="hybridMultilevel"/>
    <w:tmpl w:val="AD1E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4E74"/>
    <w:multiLevelType w:val="hybridMultilevel"/>
    <w:tmpl w:val="1532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E4A7F"/>
    <w:multiLevelType w:val="hybridMultilevel"/>
    <w:tmpl w:val="733C3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2Mjc1MzY2NzKxNDBX0lEKTi0uzszPAykwrAUA/20y6SwAAAA="/>
  </w:docVars>
  <w:rsids>
    <w:rsidRoot w:val="00DA3DC8"/>
    <w:rsid w:val="00011C6F"/>
    <w:rsid w:val="0003748D"/>
    <w:rsid w:val="0005376C"/>
    <w:rsid w:val="00061DDD"/>
    <w:rsid w:val="00073C7A"/>
    <w:rsid w:val="000B3D04"/>
    <w:rsid w:val="000C2A97"/>
    <w:rsid w:val="000E4FEC"/>
    <w:rsid w:val="000F1BC5"/>
    <w:rsid w:val="000F7928"/>
    <w:rsid w:val="00100F93"/>
    <w:rsid w:val="0012629B"/>
    <w:rsid w:val="00136CF9"/>
    <w:rsid w:val="00151BE1"/>
    <w:rsid w:val="001672CE"/>
    <w:rsid w:val="001748DC"/>
    <w:rsid w:val="001804E3"/>
    <w:rsid w:val="00184452"/>
    <w:rsid w:val="00185A7E"/>
    <w:rsid w:val="00196B7D"/>
    <w:rsid w:val="001A47A0"/>
    <w:rsid w:val="001A61C4"/>
    <w:rsid w:val="001D1E54"/>
    <w:rsid w:val="001E5EA2"/>
    <w:rsid w:val="001F201F"/>
    <w:rsid w:val="001F3552"/>
    <w:rsid w:val="00227AA6"/>
    <w:rsid w:val="0024645C"/>
    <w:rsid w:val="00260F53"/>
    <w:rsid w:val="0027073D"/>
    <w:rsid w:val="002C2637"/>
    <w:rsid w:val="002D42EC"/>
    <w:rsid w:val="002E4DB8"/>
    <w:rsid w:val="002E72B5"/>
    <w:rsid w:val="002F4CC4"/>
    <w:rsid w:val="002F7973"/>
    <w:rsid w:val="00304AB9"/>
    <w:rsid w:val="003249AE"/>
    <w:rsid w:val="00333428"/>
    <w:rsid w:val="003402FE"/>
    <w:rsid w:val="003404C7"/>
    <w:rsid w:val="00343329"/>
    <w:rsid w:val="003711B9"/>
    <w:rsid w:val="00383BC6"/>
    <w:rsid w:val="00386177"/>
    <w:rsid w:val="003A16CB"/>
    <w:rsid w:val="003A351B"/>
    <w:rsid w:val="003B3119"/>
    <w:rsid w:val="00424C10"/>
    <w:rsid w:val="004265EB"/>
    <w:rsid w:val="00432788"/>
    <w:rsid w:val="00467458"/>
    <w:rsid w:val="00477062"/>
    <w:rsid w:val="00490C20"/>
    <w:rsid w:val="004A7E7F"/>
    <w:rsid w:val="004A7FE8"/>
    <w:rsid w:val="004B2621"/>
    <w:rsid w:val="004C09BB"/>
    <w:rsid w:val="004C6D69"/>
    <w:rsid w:val="004E323F"/>
    <w:rsid w:val="0050334E"/>
    <w:rsid w:val="00517714"/>
    <w:rsid w:val="00527160"/>
    <w:rsid w:val="00534E4E"/>
    <w:rsid w:val="00560872"/>
    <w:rsid w:val="005A4C12"/>
    <w:rsid w:val="0060530B"/>
    <w:rsid w:val="00610B1E"/>
    <w:rsid w:val="0061658F"/>
    <w:rsid w:val="006561D7"/>
    <w:rsid w:val="00663F85"/>
    <w:rsid w:val="006702E8"/>
    <w:rsid w:val="00683CD6"/>
    <w:rsid w:val="006C29BD"/>
    <w:rsid w:val="006C3EF8"/>
    <w:rsid w:val="006C7791"/>
    <w:rsid w:val="006E304F"/>
    <w:rsid w:val="007133BD"/>
    <w:rsid w:val="0072633D"/>
    <w:rsid w:val="00730D1D"/>
    <w:rsid w:val="00737802"/>
    <w:rsid w:val="007501C2"/>
    <w:rsid w:val="007627EF"/>
    <w:rsid w:val="00763A68"/>
    <w:rsid w:val="00781BFE"/>
    <w:rsid w:val="0078245D"/>
    <w:rsid w:val="00791A11"/>
    <w:rsid w:val="007C6448"/>
    <w:rsid w:val="007C788F"/>
    <w:rsid w:val="007F3355"/>
    <w:rsid w:val="008162CE"/>
    <w:rsid w:val="0082647C"/>
    <w:rsid w:val="008417BC"/>
    <w:rsid w:val="00851697"/>
    <w:rsid w:val="008844B8"/>
    <w:rsid w:val="00887723"/>
    <w:rsid w:val="008936B0"/>
    <w:rsid w:val="00897B7C"/>
    <w:rsid w:val="008A1CED"/>
    <w:rsid w:val="008B4B4D"/>
    <w:rsid w:val="008B5140"/>
    <w:rsid w:val="008C2228"/>
    <w:rsid w:val="008C4E31"/>
    <w:rsid w:val="008D0200"/>
    <w:rsid w:val="008D0250"/>
    <w:rsid w:val="008F47B3"/>
    <w:rsid w:val="00913BA1"/>
    <w:rsid w:val="009250A9"/>
    <w:rsid w:val="0092728B"/>
    <w:rsid w:val="00941367"/>
    <w:rsid w:val="00941864"/>
    <w:rsid w:val="00957AB0"/>
    <w:rsid w:val="009962B5"/>
    <w:rsid w:val="009A33B9"/>
    <w:rsid w:val="009C4792"/>
    <w:rsid w:val="009D7E82"/>
    <w:rsid w:val="009F00AE"/>
    <w:rsid w:val="009F0236"/>
    <w:rsid w:val="00A32108"/>
    <w:rsid w:val="00A42A5C"/>
    <w:rsid w:val="00A474EB"/>
    <w:rsid w:val="00A47951"/>
    <w:rsid w:val="00A50104"/>
    <w:rsid w:val="00A55946"/>
    <w:rsid w:val="00A81648"/>
    <w:rsid w:val="00B06B37"/>
    <w:rsid w:val="00B24E4A"/>
    <w:rsid w:val="00B33488"/>
    <w:rsid w:val="00B65AC1"/>
    <w:rsid w:val="00B669BE"/>
    <w:rsid w:val="00B9279A"/>
    <w:rsid w:val="00BB5E65"/>
    <w:rsid w:val="00BB6A58"/>
    <w:rsid w:val="00BB7B0C"/>
    <w:rsid w:val="00BD44EC"/>
    <w:rsid w:val="00BD46FE"/>
    <w:rsid w:val="00BE7BB4"/>
    <w:rsid w:val="00BF273C"/>
    <w:rsid w:val="00C10E66"/>
    <w:rsid w:val="00C34AF1"/>
    <w:rsid w:val="00C37954"/>
    <w:rsid w:val="00C50024"/>
    <w:rsid w:val="00C62C33"/>
    <w:rsid w:val="00C81954"/>
    <w:rsid w:val="00C930A7"/>
    <w:rsid w:val="00C93445"/>
    <w:rsid w:val="00CA3602"/>
    <w:rsid w:val="00CB1408"/>
    <w:rsid w:val="00CC0A8D"/>
    <w:rsid w:val="00D360A2"/>
    <w:rsid w:val="00D55FC0"/>
    <w:rsid w:val="00D5781D"/>
    <w:rsid w:val="00D70830"/>
    <w:rsid w:val="00D74A30"/>
    <w:rsid w:val="00DA3DC8"/>
    <w:rsid w:val="00DA424D"/>
    <w:rsid w:val="00DA43D7"/>
    <w:rsid w:val="00DE0CB4"/>
    <w:rsid w:val="00DE232F"/>
    <w:rsid w:val="00DF660E"/>
    <w:rsid w:val="00E02F4F"/>
    <w:rsid w:val="00E21AB0"/>
    <w:rsid w:val="00E33584"/>
    <w:rsid w:val="00E522B1"/>
    <w:rsid w:val="00E9746F"/>
    <w:rsid w:val="00ED5C79"/>
    <w:rsid w:val="00EE64D8"/>
    <w:rsid w:val="00F203C5"/>
    <w:rsid w:val="00F23640"/>
    <w:rsid w:val="00F31362"/>
    <w:rsid w:val="00F75ABE"/>
    <w:rsid w:val="00FC167B"/>
    <w:rsid w:val="00FD7C3C"/>
    <w:rsid w:val="00FF159B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B457"/>
  <w15:docId w15:val="{AE9F216D-B79F-4F81-AC2C-6ADD08B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65EB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0530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6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2C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BB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B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BB4"/>
    <w:pPr>
      <w:spacing w:after="0" w:line="240" w:lineRule="auto"/>
    </w:p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4E7F-99D4-DA44-82A6-1965357C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zls202</dc:creator>
  <cp:keywords/>
  <dc:description/>
  <cp:lastModifiedBy>Nick Sangala</cp:lastModifiedBy>
  <cp:revision>2</cp:revision>
  <cp:lastPrinted>2018-01-15T19:04:00Z</cp:lastPrinted>
  <dcterms:created xsi:type="dcterms:W3CDTF">2018-02-04T18:23:00Z</dcterms:created>
  <dcterms:modified xsi:type="dcterms:W3CDTF">2018-02-04T18:23:00Z</dcterms:modified>
</cp:coreProperties>
</file>