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 w:type="dxa"/>
        <w:tblCellMar>
          <w:left w:w="0" w:type="dxa"/>
          <w:right w:w="0" w:type="dxa"/>
        </w:tblCellMar>
        <w:tblLook w:val="04A0" w:firstRow="1" w:lastRow="0" w:firstColumn="1" w:lastColumn="0" w:noHBand="0" w:noVBand="1"/>
      </w:tblPr>
      <w:tblGrid>
        <w:gridCol w:w="9027"/>
        <w:gridCol w:w="27"/>
      </w:tblGrid>
      <w:tr w:rsidR="009C7A76" w:rsidRPr="009C7A76">
        <w:trPr>
          <w:gridAfter w:val="1"/>
          <w:tblCellSpacing w:w="7"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8999"/>
            </w:tblGrid>
            <w:tr w:rsidR="009C7A76" w:rsidRPr="009C7A76">
              <w:trPr>
                <w:tblCellSpacing w:w="0" w:type="dxa"/>
              </w:trPr>
              <w:tc>
                <w:tcPr>
                  <w:tcW w:w="0" w:type="auto"/>
                  <w:vAlign w:val="center"/>
                  <w:hideMark/>
                </w:tcPr>
                <w:p w:rsidR="009C7A76" w:rsidRPr="00DF61EF" w:rsidRDefault="009C7A76" w:rsidP="0095390E">
                  <w:pPr>
                    <w:spacing w:after="240" w:line="280" w:lineRule="atLeast"/>
                    <w:rPr>
                      <w:rFonts w:ascii="Times New Roman" w:eastAsia="Times New Roman" w:hAnsi="Times New Roman" w:cs="Times New Roman"/>
                      <w:color w:val="000000"/>
                      <w:lang w:eastAsia="en-GB"/>
                    </w:rPr>
                  </w:pPr>
                  <w:r w:rsidRPr="009C7A76">
                    <w:rPr>
                      <w:rFonts w:ascii="Arial" w:eastAsia="Times New Roman" w:hAnsi="Arial" w:cs="Arial"/>
                      <w:color w:val="000000"/>
                      <w:sz w:val="21"/>
                      <w:szCs w:val="21"/>
                      <w:lang w:eastAsia="en-GB"/>
                    </w:rPr>
                    <w:br/>
                  </w:r>
                  <w:r w:rsidRPr="00DF61EF">
                    <w:rPr>
                      <w:rFonts w:ascii="Times New Roman" w:eastAsia="Times New Roman" w:hAnsi="Times New Roman" w:cs="Times New Roman"/>
                      <w:b/>
                      <w:bCs/>
                      <w:color w:val="000000"/>
                      <w:lang w:eastAsia="en-GB"/>
                    </w:rPr>
                    <w:t>INTRODUCTION AND AIMS:</w:t>
                  </w:r>
                  <w:r w:rsidRPr="00DF61EF">
                    <w:rPr>
                      <w:rFonts w:ascii="Times New Roman" w:eastAsia="Times New Roman" w:hAnsi="Times New Roman" w:cs="Times New Roman"/>
                      <w:color w:val="000000"/>
                      <w:lang w:eastAsia="en-GB"/>
                    </w:rPr>
                    <w:t xml:space="preserve"> Activation describes an individual’s knowledge, skill and confidence in managing their own health</w:t>
                  </w:r>
                  <w:r w:rsidR="008F43F9">
                    <w:rPr>
                      <w:rFonts w:ascii="Times New Roman" w:eastAsia="Times New Roman" w:hAnsi="Times New Roman" w:cs="Times New Roman"/>
                      <w:color w:val="000000"/>
                      <w:lang w:eastAsia="en-GB"/>
                    </w:rPr>
                    <w:t xml:space="preserve"> and healthcare</w:t>
                  </w:r>
                  <w:r w:rsidRPr="00DF61EF">
                    <w:rPr>
                      <w:rFonts w:ascii="Times New Roman" w:eastAsia="Times New Roman" w:hAnsi="Times New Roman" w:cs="Times New Roman"/>
                      <w:color w:val="000000"/>
                      <w:lang w:eastAsia="en-GB"/>
                    </w:rPr>
                    <w:t>. It can be measured using the Patient Activation Measure (PAM</w:t>
                  </w:r>
                  <w:r w:rsidRPr="00DF61EF">
                    <w:rPr>
                      <w:rFonts w:ascii="Times New Roman" w:eastAsia="Times New Roman" w:hAnsi="Times New Roman" w:cs="Times New Roman"/>
                      <w:color w:val="000000"/>
                      <w:vertAlign w:val="superscript"/>
                      <w:lang w:eastAsia="en-GB"/>
                    </w:rPr>
                    <w:t>1</w:t>
                  </w:r>
                  <w:r w:rsidRPr="00DF61EF">
                    <w:rPr>
                      <w:rFonts w:ascii="Times New Roman" w:eastAsia="Times New Roman" w:hAnsi="Times New Roman" w:cs="Times New Roman"/>
                      <w:color w:val="000000"/>
                      <w:lang w:eastAsia="en-GB"/>
                    </w:rPr>
                    <w:t xml:space="preserve">) </w:t>
                  </w:r>
                  <w:r w:rsidR="008F43F9">
                    <w:rPr>
                      <w:rFonts w:ascii="Times New Roman" w:eastAsia="Times New Roman" w:hAnsi="Times New Roman" w:cs="Times New Roman"/>
                      <w:color w:val="000000"/>
                      <w:lang w:eastAsia="en-GB"/>
                    </w:rPr>
                    <w:t>subdivided into</w:t>
                  </w:r>
                  <w:r w:rsidRPr="00DF61EF">
                    <w:rPr>
                      <w:rFonts w:ascii="Times New Roman" w:eastAsia="Times New Roman" w:hAnsi="Times New Roman" w:cs="Times New Roman"/>
                      <w:color w:val="000000"/>
                      <w:lang w:eastAsia="en-GB"/>
                    </w:rPr>
                    <w:t xml:space="preserve"> 4 levels of activation</w:t>
                  </w:r>
                  <w:proofErr w:type="gramStart"/>
                  <w:r w:rsidRPr="00DF61EF">
                    <w:rPr>
                      <w:rFonts w:ascii="Times New Roman" w:eastAsia="Times New Roman" w:hAnsi="Times New Roman" w:cs="Times New Roman"/>
                      <w:color w:val="000000"/>
                      <w:lang w:eastAsia="en-GB"/>
                    </w:rPr>
                    <w:t>,1</w:t>
                  </w:r>
                  <w:proofErr w:type="gramEnd"/>
                  <w:r w:rsidRPr="00DF61EF">
                    <w:rPr>
                      <w:rFonts w:ascii="Times New Roman" w:eastAsia="Times New Roman" w:hAnsi="Times New Roman" w:cs="Times New Roman"/>
                      <w:color w:val="000000"/>
                      <w:lang w:eastAsia="en-GB"/>
                    </w:rPr>
                    <w:t xml:space="preserve"> </w:t>
                  </w:r>
                  <w:r w:rsidR="008F43F9">
                    <w:rPr>
                      <w:rFonts w:ascii="Times New Roman" w:eastAsia="Times New Roman" w:hAnsi="Times New Roman" w:cs="Times New Roman"/>
                      <w:color w:val="000000"/>
                      <w:lang w:eastAsia="en-GB"/>
                    </w:rPr>
                    <w:t xml:space="preserve">being </w:t>
                  </w:r>
                  <w:r w:rsidRPr="00DF61EF">
                    <w:rPr>
                      <w:rFonts w:ascii="Times New Roman" w:eastAsia="Times New Roman" w:hAnsi="Times New Roman" w:cs="Times New Roman"/>
                      <w:color w:val="000000"/>
                      <w:lang w:eastAsia="en-GB"/>
                    </w:rPr>
                    <w:t>the lowest and 4 the highest. Highly activated patients are more likely to adopt healthy behaviour, lower rates of hospitalisation, and higher levels of satisfaction with services, whilst those with low activation levels are more likely to attend accident</w:t>
                  </w:r>
                  <w:r w:rsidR="008F43F9">
                    <w:rPr>
                      <w:rFonts w:ascii="Times New Roman" w:eastAsia="Times New Roman" w:hAnsi="Times New Roman" w:cs="Times New Roman"/>
                      <w:color w:val="000000"/>
                      <w:lang w:eastAsia="en-GB"/>
                    </w:rPr>
                    <w:t xml:space="preserve"> and emergency, to be </w:t>
                  </w:r>
                  <w:r w:rsidRPr="00DF61EF">
                    <w:rPr>
                      <w:rFonts w:ascii="Times New Roman" w:eastAsia="Times New Roman" w:hAnsi="Times New Roman" w:cs="Times New Roman"/>
                      <w:color w:val="000000"/>
                      <w:lang w:eastAsia="en-GB"/>
                    </w:rPr>
                    <w:t>hospitalised or re-admitted to hospital after discharge</w:t>
                  </w:r>
                  <w:r w:rsidRPr="00DF61EF">
                    <w:rPr>
                      <w:rFonts w:ascii="Times New Roman" w:eastAsia="Times New Roman" w:hAnsi="Times New Roman" w:cs="Times New Roman"/>
                      <w:color w:val="000000"/>
                      <w:vertAlign w:val="superscript"/>
                      <w:lang w:eastAsia="en-GB"/>
                    </w:rPr>
                    <w:t>2</w:t>
                  </w:r>
                  <w:r w:rsidRPr="00DF61EF">
                    <w:rPr>
                      <w:rFonts w:ascii="Times New Roman" w:eastAsia="Times New Roman" w:hAnsi="Times New Roman" w:cs="Times New Roman"/>
                      <w:color w:val="000000"/>
                      <w:lang w:eastAsia="en-GB"/>
                    </w:rPr>
                    <w:t>.We measured PAM in a population of CKD patients in the UK and analysed the relationship between PAM scores, modality, age, symptom burden, deprivation and Patient Reported Outcome Measures (PROM)</w:t>
                  </w:r>
                  <w:r w:rsidRPr="00DF61EF">
                    <w:rPr>
                      <w:rFonts w:ascii="Times New Roman" w:eastAsia="Times New Roman" w:hAnsi="Times New Roman" w:cs="Times New Roman"/>
                      <w:color w:val="000000"/>
                      <w:lang w:eastAsia="en-GB"/>
                    </w:rPr>
                    <w:br/>
                  </w:r>
                  <w:r w:rsidRPr="00DF61EF">
                    <w:rPr>
                      <w:rFonts w:ascii="Times New Roman" w:eastAsia="Times New Roman" w:hAnsi="Times New Roman" w:cs="Times New Roman"/>
                      <w:b/>
                      <w:bCs/>
                      <w:color w:val="000000"/>
                      <w:lang w:eastAsia="en-GB"/>
                    </w:rPr>
                    <w:t>METHODS:</w:t>
                  </w:r>
                  <w:r w:rsidR="0095390E">
                    <w:rPr>
                      <w:rFonts w:ascii="Calibri" w:hAnsi="Calibri" w:cs="Calibri"/>
                    </w:rPr>
                    <w:t xml:space="preserve"> </w:t>
                  </w:r>
                  <w:r w:rsidRPr="00DF61EF">
                    <w:rPr>
                      <w:rFonts w:ascii="Times New Roman" w:eastAsia="Times New Roman" w:hAnsi="Times New Roman" w:cs="Times New Roman"/>
                      <w:color w:val="000000"/>
                      <w:lang w:eastAsia="en-GB"/>
                    </w:rPr>
                    <w:t xml:space="preserve">Fourteen of the 52 adult </w:t>
                  </w:r>
                  <w:proofErr w:type="spellStart"/>
                  <w:r w:rsidRPr="00DF61EF">
                    <w:rPr>
                      <w:rFonts w:ascii="Times New Roman" w:eastAsia="Times New Roman" w:hAnsi="Times New Roman" w:cs="Times New Roman"/>
                      <w:color w:val="000000"/>
                      <w:lang w:eastAsia="en-GB"/>
                    </w:rPr>
                    <w:t>renal</w:t>
                  </w:r>
                  <w:proofErr w:type="spellEnd"/>
                  <w:r w:rsidRPr="00DF61EF">
                    <w:rPr>
                      <w:rFonts w:ascii="Times New Roman" w:eastAsia="Times New Roman" w:hAnsi="Times New Roman" w:cs="Times New Roman"/>
                      <w:color w:val="000000"/>
                      <w:lang w:eastAsia="en-GB"/>
                    </w:rPr>
                    <w:t xml:space="preserve"> units in England participated. Outpatients with pre-dialysis CKD or kidney transplant, and those on maintenance haemodialysis/peritoneal dialysis received a survey comprising PAM, a renal-specific symptom score (POS-S Renal) and EQ5D-5L. Items in the latter two are scored on a scale from ‘0’ (no problems/con</w:t>
                  </w:r>
                  <w:bookmarkStart w:id="0" w:name="_GoBack"/>
                  <w:bookmarkEnd w:id="0"/>
                  <w:r w:rsidRPr="00DF61EF">
                    <w:rPr>
                      <w:rFonts w:ascii="Times New Roman" w:eastAsia="Times New Roman" w:hAnsi="Times New Roman" w:cs="Times New Roman"/>
                      <w:color w:val="000000"/>
                      <w:lang w:eastAsia="en-GB"/>
                    </w:rPr>
                    <w:t>cerns) to ‘4’ (highest level of severity/concern). These were recoded to ‘absent/mild’ (0</w:t>
                  </w:r>
                  <w:proofErr w:type="gramStart"/>
                  <w:r w:rsidRPr="00DF61EF">
                    <w:rPr>
                      <w:rFonts w:ascii="Times New Roman" w:eastAsia="Times New Roman" w:hAnsi="Times New Roman" w:cs="Times New Roman"/>
                      <w:color w:val="000000"/>
                      <w:lang w:eastAsia="en-GB"/>
                    </w:rPr>
                    <w:t>,1</w:t>
                  </w:r>
                  <w:proofErr w:type="gramEnd"/>
                  <w:r w:rsidRPr="00DF61EF">
                    <w:rPr>
                      <w:rFonts w:ascii="Times New Roman" w:eastAsia="Times New Roman" w:hAnsi="Times New Roman" w:cs="Times New Roman"/>
                      <w:color w:val="000000"/>
                      <w:lang w:eastAsia="en-GB"/>
                    </w:rPr>
                    <w:t>) and ‘at least moderate’ (2, 3, 4). PAM scores were recoded into low (1</w:t>
                  </w:r>
                  <w:proofErr w:type="gramStart"/>
                  <w:r w:rsidRPr="00DF61EF">
                    <w:rPr>
                      <w:rFonts w:ascii="Times New Roman" w:eastAsia="Times New Roman" w:hAnsi="Times New Roman" w:cs="Times New Roman"/>
                      <w:color w:val="000000"/>
                      <w:lang w:eastAsia="en-GB"/>
                    </w:rPr>
                    <w:t>,2</w:t>
                  </w:r>
                  <w:proofErr w:type="gramEnd"/>
                  <w:r w:rsidRPr="00DF61EF">
                    <w:rPr>
                      <w:rFonts w:ascii="Times New Roman" w:eastAsia="Times New Roman" w:hAnsi="Times New Roman" w:cs="Times New Roman"/>
                      <w:color w:val="000000"/>
                      <w:lang w:eastAsia="en-GB"/>
                    </w:rPr>
                    <w:t xml:space="preserve">) and high (3,4) activation. Deprivation is based on the Index of Multiple </w:t>
                  </w:r>
                  <w:r w:rsidRPr="008F43F9">
                    <w:rPr>
                      <w:rFonts w:ascii="Times New Roman" w:eastAsia="Times New Roman" w:hAnsi="Times New Roman" w:cs="Times New Roman"/>
                      <w:bCs/>
                      <w:color w:val="000000"/>
                      <w:lang w:eastAsia="en-GB"/>
                    </w:rPr>
                    <w:t>Deprivation (I</w:t>
                  </w:r>
                  <w:r w:rsidRPr="008F43F9">
                    <w:rPr>
                      <w:rFonts w:ascii="Times New Roman" w:eastAsia="Times New Roman" w:hAnsi="Times New Roman" w:cs="Times New Roman"/>
                      <w:color w:val="000000"/>
                      <w:lang w:eastAsia="en-GB"/>
                    </w:rPr>
                    <w:t>MD</w:t>
                  </w:r>
                  <w:r w:rsidRPr="00DF61EF">
                    <w:rPr>
                      <w:rFonts w:ascii="Times New Roman" w:eastAsia="Times New Roman" w:hAnsi="Times New Roman" w:cs="Times New Roman"/>
                      <w:color w:val="000000"/>
                      <w:lang w:eastAsia="en-GB"/>
                    </w:rPr>
                    <w:t xml:space="preserve"> score) calculated using the person’s post code and scored from 1 (least deprived) to 5 (most deprived).</w:t>
                  </w:r>
                  <w:r w:rsidRPr="00DF61EF">
                    <w:rPr>
                      <w:rFonts w:ascii="Times New Roman" w:eastAsia="Times New Roman" w:hAnsi="Times New Roman" w:cs="Times New Roman"/>
                      <w:color w:val="000000"/>
                      <w:lang w:eastAsia="en-GB"/>
                    </w:rPr>
                    <w:br/>
                  </w:r>
                  <w:r w:rsidRPr="00DF61EF">
                    <w:rPr>
                      <w:rFonts w:ascii="Times New Roman" w:eastAsia="Times New Roman" w:hAnsi="Times New Roman" w:cs="Times New Roman"/>
                      <w:b/>
                      <w:bCs/>
                      <w:color w:val="000000"/>
                      <w:lang w:eastAsia="en-GB"/>
                    </w:rPr>
                    <w:t>RESULTS:</w:t>
                  </w:r>
                  <w:r w:rsidRPr="00DF61EF">
                    <w:rPr>
                      <w:rFonts w:ascii="Times New Roman" w:eastAsia="Times New Roman" w:hAnsi="Times New Roman" w:cs="Times New Roman"/>
                      <w:color w:val="000000"/>
                      <w:lang w:eastAsia="en-GB"/>
                    </w:rPr>
                    <w:t xml:space="preserve"> Renal units submitted data on 3,325 patients of which 1,707 were analysed. The majority (N=609, 36%) were on haemodialysis (HD) or transplanted (N=473, 28 %), the remaining either on peritoneal dialysis (N=17), pre-dialysis (N=44), or no treatment type reported (N=564). Overall 45% respondents are at low activation levels and 52% at high activation level; for 3% a score was missing. Comparing transplanted respondents with those on HD, more (57%) patients on HD showed low activation than those transplanted (31%) (p&lt;0.001). Respondents aged 18-64 showed a higher level of activation (60%) compared with 45% in the over 65 age group (p&lt;0.001). Comparing the least deprived (score=1) respondents (N=223) and most deprived (score=5) respondents (N=412), 65% of least deprived patients have a high activation level whereas 41% of more deprived patients has a high activation level (p&lt;0.001). Overall, more respondents (37%) at a low activation level reported an at least moderate symptom burden in most of the 17 POS-S measures than those with a high activation level (20%) (p&lt;0.001); similarly, respondents (70%) at lower activation levels were more likely to report at least moderate problems with mobility, self-care, usual activities, pain and anxiety than those at high activation level (41%) (p&lt;0.001).</w:t>
                  </w:r>
                  <w:r w:rsidRPr="00DF61EF">
                    <w:rPr>
                      <w:rFonts w:ascii="Times New Roman" w:eastAsia="Times New Roman" w:hAnsi="Times New Roman" w:cs="Times New Roman"/>
                      <w:color w:val="000000"/>
                      <w:lang w:eastAsia="en-GB"/>
                    </w:rPr>
                    <w:br/>
                  </w:r>
                  <w:r w:rsidRPr="00DF61EF">
                    <w:rPr>
                      <w:rFonts w:ascii="Times New Roman" w:eastAsia="Times New Roman" w:hAnsi="Times New Roman" w:cs="Times New Roman"/>
                      <w:b/>
                      <w:bCs/>
                      <w:color w:val="000000"/>
                      <w:lang w:eastAsia="en-GB"/>
                    </w:rPr>
                    <w:t>CONCLUSIONS:</w:t>
                  </w:r>
                  <w:r w:rsidRPr="00DF61EF">
                    <w:rPr>
                      <w:rFonts w:ascii="Times New Roman" w:eastAsia="Times New Roman" w:hAnsi="Times New Roman" w:cs="Times New Roman"/>
                      <w:color w:val="000000"/>
                      <w:lang w:eastAsia="en-GB"/>
                    </w:rPr>
                    <w:t xml:space="preserve"> We found that people with lower activation levels were older, more likely to be on haemodialysis and with higher levels of deprivation. These findings can support </w:t>
                  </w:r>
                  <w:proofErr w:type="spellStart"/>
                  <w:r w:rsidRPr="00DF61EF">
                    <w:rPr>
                      <w:rFonts w:ascii="Times New Roman" w:eastAsia="Times New Roman" w:hAnsi="Times New Roman" w:cs="Times New Roman"/>
                      <w:color w:val="000000"/>
                      <w:lang w:eastAsia="en-GB"/>
                    </w:rPr>
                    <w:t>renal</w:t>
                  </w:r>
                  <w:proofErr w:type="spellEnd"/>
                  <w:r w:rsidRPr="00DF61EF">
                    <w:rPr>
                      <w:rFonts w:ascii="Times New Roman" w:eastAsia="Times New Roman" w:hAnsi="Times New Roman" w:cs="Times New Roman"/>
                      <w:color w:val="000000"/>
                      <w:lang w:eastAsia="en-GB"/>
                    </w:rPr>
                    <w:t xml:space="preserve"> units to target patient groups where is the most room for improving patient activation. Lower activation levels were also associated with lower health-related quality of life and a higher symptom burden. Future research should investigate whether there is a causal relationship between activation levels and patient outcomes.</w:t>
                  </w:r>
                  <w:r w:rsidRPr="00DF61EF">
                    <w:rPr>
                      <w:rFonts w:ascii="Times New Roman" w:eastAsia="Times New Roman" w:hAnsi="Times New Roman" w:cs="Times New Roman"/>
                      <w:color w:val="000000"/>
                      <w:lang w:eastAsia="en-GB"/>
                    </w:rPr>
                    <w:br/>
                    <w:t>[1</w:t>
                  </w:r>
                  <w:proofErr w:type="gramStart"/>
                  <w:r w:rsidRPr="00DF61EF">
                    <w:rPr>
                      <w:rFonts w:ascii="Times New Roman" w:eastAsia="Times New Roman" w:hAnsi="Times New Roman" w:cs="Times New Roman"/>
                      <w:color w:val="000000"/>
                      <w:lang w:eastAsia="en-GB"/>
                    </w:rPr>
                    <w:t>,2</w:t>
                  </w:r>
                  <w:proofErr w:type="gramEnd"/>
                  <w:r w:rsidRPr="00DF61EF">
                    <w:rPr>
                      <w:rFonts w:ascii="Times New Roman" w:eastAsia="Times New Roman" w:hAnsi="Times New Roman" w:cs="Times New Roman"/>
                      <w:color w:val="000000"/>
                      <w:lang w:eastAsia="en-GB"/>
                    </w:rPr>
                    <w:t>] Hibbard, J. H, et al. (2004) Health services research, 39(4p1), 1005-1026.</w:t>
                  </w:r>
                  <w:r w:rsidRPr="00DF61EF">
                    <w:rPr>
                      <w:rFonts w:ascii="Times New Roman" w:eastAsia="Times New Roman" w:hAnsi="Times New Roman" w:cs="Times New Roman"/>
                      <w:color w:val="000000"/>
                      <w:lang w:eastAsia="en-GB"/>
                    </w:rPr>
                    <w:br/>
                  </w:r>
                  <w:r w:rsidRPr="00DF61EF">
                    <w:rPr>
                      <w:rFonts w:ascii="Times New Roman" w:eastAsia="Times New Roman" w:hAnsi="Times New Roman" w:cs="Times New Roman"/>
                      <w:color w:val="000000"/>
                      <w:lang w:eastAsia="en-GB"/>
                    </w:rPr>
                    <w:br/>
                  </w:r>
                  <w:r w:rsidRPr="00DF61EF">
                    <w:rPr>
                      <w:rFonts w:ascii="Times New Roman" w:eastAsia="Times New Roman" w:hAnsi="Times New Roman" w:cs="Times New Roman"/>
                      <w:color w:val="000000"/>
                      <w:lang w:eastAsia="en-GB"/>
                    </w:rPr>
                    <w:br/>
                  </w:r>
                </w:p>
              </w:tc>
            </w:tr>
          </w:tbl>
          <w:p w:rsidR="009C7A76" w:rsidRPr="009C7A76" w:rsidRDefault="009C7A76" w:rsidP="009C7A76">
            <w:pPr>
              <w:spacing w:after="0" w:line="280" w:lineRule="atLeast"/>
              <w:rPr>
                <w:rFonts w:ascii="Arial" w:eastAsia="Times New Roman" w:hAnsi="Arial" w:cs="Arial"/>
                <w:color w:val="000000"/>
                <w:sz w:val="21"/>
                <w:szCs w:val="21"/>
                <w:lang w:eastAsia="en-GB"/>
              </w:rPr>
            </w:pPr>
          </w:p>
        </w:tc>
      </w:tr>
      <w:tr w:rsidR="009C7A76" w:rsidRPr="009C7A76">
        <w:trPr>
          <w:tblCellSpacing w:w="7" w:type="dxa"/>
        </w:trPr>
        <w:tc>
          <w:tcPr>
            <w:tcW w:w="0" w:type="auto"/>
            <w:gridSpan w:val="2"/>
            <w:vAlign w:val="center"/>
            <w:hideMark/>
          </w:tcPr>
          <w:p w:rsidR="009C7A76" w:rsidRPr="009C7A76" w:rsidRDefault="009C7A76" w:rsidP="009C7A76">
            <w:pPr>
              <w:spacing w:after="0" w:line="280" w:lineRule="atLeast"/>
              <w:rPr>
                <w:rFonts w:ascii="Arial" w:eastAsia="Times New Roman" w:hAnsi="Arial" w:cs="Arial"/>
                <w:color w:val="000000"/>
                <w:sz w:val="21"/>
                <w:szCs w:val="21"/>
                <w:lang w:eastAsia="en-GB"/>
              </w:rPr>
            </w:pPr>
            <w:r w:rsidRPr="009C7A76">
              <w:rPr>
                <w:rFonts w:ascii="Arial" w:eastAsia="Times New Roman" w:hAnsi="Arial" w:cs="Arial"/>
                <w:color w:val="000000"/>
                <w:sz w:val="21"/>
                <w:szCs w:val="21"/>
                <w:lang w:eastAsia="en-GB"/>
              </w:rPr>
              <w:t> </w:t>
            </w:r>
          </w:p>
        </w:tc>
      </w:tr>
      <w:tr w:rsidR="009C7A76" w:rsidRPr="009C7A76">
        <w:trPr>
          <w:tblCellSpacing w:w="7" w:type="dxa"/>
        </w:trPr>
        <w:tc>
          <w:tcPr>
            <w:tcW w:w="0" w:type="auto"/>
            <w:vAlign w:val="center"/>
            <w:hideMark/>
          </w:tcPr>
          <w:p w:rsidR="009C7A76" w:rsidRPr="009C7A76" w:rsidRDefault="009C7A76" w:rsidP="00F25221">
            <w:pPr>
              <w:spacing w:after="0" w:line="280" w:lineRule="atLeast"/>
              <w:rPr>
                <w:rFonts w:ascii="Arial" w:eastAsia="Times New Roman" w:hAnsi="Arial" w:cs="Arial"/>
                <w:color w:val="000000"/>
                <w:sz w:val="21"/>
                <w:szCs w:val="21"/>
                <w:lang w:eastAsia="en-GB"/>
              </w:rPr>
            </w:pPr>
            <w:r w:rsidRPr="009C7A76">
              <w:rPr>
                <w:rFonts w:ascii="Arial" w:eastAsia="Times New Roman" w:hAnsi="Arial" w:cs="Arial"/>
                <w:color w:val="000000"/>
                <w:sz w:val="21"/>
                <w:szCs w:val="21"/>
                <w:lang w:eastAsia="en-GB"/>
              </w:rPr>
              <w:br/>
            </w:r>
          </w:p>
        </w:tc>
        <w:tc>
          <w:tcPr>
            <w:tcW w:w="0" w:type="auto"/>
            <w:vAlign w:val="center"/>
            <w:hideMark/>
          </w:tcPr>
          <w:p w:rsidR="009C7A76" w:rsidRPr="009C7A76" w:rsidRDefault="009C7A76" w:rsidP="009C7A76">
            <w:pPr>
              <w:spacing w:after="0" w:line="240" w:lineRule="auto"/>
              <w:rPr>
                <w:rFonts w:ascii="Times New Roman" w:eastAsia="Times New Roman" w:hAnsi="Times New Roman" w:cs="Times New Roman"/>
                <w:sz w:val="20"/>
                <w:szCs w:val="20"/>
                <w:lang w:eastAsia="en-GB"/>
              </w:rPr>
            </w:pPr>
          </w:p>
        </w:tc>
      </w:tr>
      <w:tr w:rsidR="009C7A76" w:rsidRPr="009C7A76">
        <w:trPr>
          <w:tblCellSpacing w:w="7" w:type="dxa"/>
        </w:trPr>
        <w:tc>
          <w:tcPr>
            <w:tcW w:w="0" w:type="auto"/>
            <w:vAlign w:val="center"/>
            <w:hideMark/>
          </w:tcPr>
          <w:p w:rsidR="009C7A76" w:rsidRPr="009C7A76" w:rsidRDefault="009C7A76" w:rsidP="009C7A76">
            <w:pPr>
              <w:spacing w:after="0" w:line="280" w:lineRule="atLeast"/>
              <w:rPr>
                <w:rFonts w:ascii="Arial" w:eastAsia="Times New Roman" w:hAnsi="Arial" w:cs="Arial"/>
                <w:color w:val="000000"/>
                <w:sz w:val="21"/>
                <w:szCs w:val="21"/>
                <w:lang w:eastAsia="en-GB"/>
              </w:rPr>
            </w:pPr>
            <w:r w:rsidRPr="009C7A76">
              <w:rPr>
                <w:rFonts w:ascii="Arial" w:eastAsia="Times New Roman" w:hAnsi="Arial" w:cs="Arial"/>
                <w:color w:val="000000"/>
                <w:sz w:val="21"/>
                <w:szCs w:val="21"/>
                <w:lang w:eastAsia="en-GB"/>
              </w:rPr>
              <w:t> </w:t>
            </w:r>
          </w:p>
          <w:p w:rsidR="009C7A76" w:rsidRPr="009C7A76" w:rsidRDefault="009C7A76" w:rsidP="009C7A76">
            <w:pPr>
              <w:spacing w:after="0" w:line="280" w:lineRule="atLeast"/>
              <w:rPr>
                <w:rFonts w:ascii="Arial" w:eastAsia="Times New Roman" w:hAnsi="Arial" w:cs="Arial"/>
                <w:color w:val="000000"/>
                <w:sz w:val="21"/>
                <w:szCs w:val="21"/>
                <w:lang w:eastAsia="en-GB"/>
              </w:rPr>
            </w:pPr>
          </w:p>
        </w:tc>
        <w:tc>
          <w:tcPr>
            <w:tcW w:w="0" w:type="auto"/>
            <w:vAlign w:val="center"/>
            <w:hideMark/>
          </w:tcPr>
          <w:p w:rsidR="009C7A76" w:rsidRPr="009C7A76" w:rsidRDefault="009C7A76" w:rsidP="009C7A76">
            <w:pPr>
              <w:spacing w:after="0" w:line="240" w:lineRule="auto"/>
              <w:rPr>
                <w:rFonts w:ascii="Times New Roman" w:eastAsia="Times New Roman" w:hAnsi="Times New Roman" w:cs="Times New Roman"/>
                <w:sz w:val="20"/>
                <w:szCs w:val="20"/>
                <w:lang w:eastAsia="en-GB"/>
              </w:rPr>
            </w:pPr>
          </w:p>
        </w:tc>
      </w:tr>
      <w:tr w:rsidR="009C7A76" w:rsidRPr="009C7A76">
        <w:trPr>
          <w:tblCellSpacing w:w="7" w:type="dxa"/>
        </w:trPr>
        <w:tc>
          <w:tcPr>
            <w:tcW w:w="0" w:type="auto"/>
            <w:vAlign w:val="center"/>
            <w:hideMark/>
          </w:tcPr>
          <w:p w:rsidR="009C7A76" w:rsidRPr="009C7A76" w:rsidRDefault="009C7A76" w:rsidP="009C7A76">
            <w:pPr>
              <w:spacing w:after="0" w:line="240" w:lineRule="auto"/>
              <w:rPr>
                <w:rFonts w:ascii="Arial" w:eastAsia="Times New Roman" w:hAnsi="Arial" w:cs="Arial"/>
                <w:color w:val="000000"/>
                <w:sz w:val="21"/>
                <w:szCs w:val="21"/>
                <w:lang w:eastAsia="en-GB"/>
              </w:rPr>
            </w:pPr>
          </w:p>
        </w:tc>
        <w:tc>
          <w:tcPr>
            <w:tcW w:w="0" w:type="auto"/>
            <w:vAlign w:val="center"/>
            <w:hideMark/>
          </w:tcPr>
          <w:p w:rsidR="009C7A76" w:rsidRPr="009C7A76" w:rsidRDefault="009C7A76" w:rsidP="009C7A76">
            <w:pPr>
              <w:spacing w:after="0" w:line="240" w:lineRule="auto"/>
              <w:rPr>
                <w:rFonts w:ascii="Times New Roman" w:eastAsia="Times New Roman" w:hAnsi="Times New Roman" w:cs="Times New Roman"/>
                <w:sz w:val="20"/>
                <w:szCs w:val="20"/>
                <w:lang w:eastAsia="en-GB"/>
              </w:rPr>
            </w:pPr>
          </w:p>
        </w:tc>
      </w:tr>
      <w:tr w:rsidR="009C7A76" w:rsidRPr="009C7A76">
        <w:trPr>
          <w:tblCellSpacing w:w="7" w:type="dxa"/>
        </w:trPr>
        <w:tc>
          <w:tcPr>
            <w:tcW w:w="0" w:type="auto"/>
            <w:vAlign w:val="center"/>
            <w:hideMark/>
          </w:tcPr>
          <w:p w:rsidR="009C7A76" w:rsidRPr="009C7A76" w:rsidRDefault="009C7A76" w:rsidP="009C7A76">
            <w:pPr>
              <w:spacing w:after="0" w:line="280" w:lineRule="atLeast"/>
              <w:rPr>
                <w:rFonts w:ascii="Arial" w:eastAsia="Times New Roman" w:hAnsi="Arial" w:cs="Arial"/>
                <w:color w:val="000000"/>
                <w:sz w:val="21"/>
                <w:szCs w:val="21"/>
                <w:lang w:eastAsia="en-GB"/>
              </w:rPr>
            </w:pPr>
          </w:p>
        </w:tc>
        <w:tc>
          <w:tcPr>
            <w:tcW w:w="0" w:type="auto"/>
            <w:vAlign w:val="center"/>
            <w:hideMark/>
          </w:tcPr>
          <w:p w:rsidR="009C7A76" w:rsidRPr="009C7A76" w:rsidRDefault="009C7A76" w:rsidP="009C7A76">
            <w:pPr>
              <w:spacing w:after="0" w:line="240" w:lineRule="auto"/>
              <w:rPr>
                <w:rFonts w:ascii="Times New Roman" w:eastAsia="Times New Roman" w:hAnsi="Times New Roman" w:cs="Times New Roman"/>
                <w:sz w:val="20"/>
                <w:szCs w:val="20"/>
                <w:lang w:eastAsia="en-GB"/>
              </w:rPr>
            </w:pPr>
          </w:p>
        </w:tc>
      </w:tr>
      <w:tr w:rsidR="009C7A76" w:rsidRPr="009C7A76">
        <w:trPr>
          <w:tblCellSpacing w:w="7" w:type="dxa"/>
        </w:trPr>
        <w:tc>
          <w:tcPr>
            <w:tcW w:w="0" w:type="auto"/>
            <w:vAlign w:val="center"/>
            <w:hideMark/>
          </w:tcPr>
          <w:p w:rsidR="009C7A76" w:rsidRPr="009C7A76" w:rsidRDefault="009C7A76" w:rsidP="009C7A76">
            <w:pPr>
              <w:spacing w:after="0" w:line="280" w:lineRule="atLeast"/>
              <w:rPr>
                <w:rFonts w:ascii="Arial" w:eastAsia="Times New Roman" w:hAnsi="Arial" w:cs="Arial"/>
                <w:color w:val="000000"/>
                <w:sz w:val="21"/>
                <w:szCs w:val="21"/>
                <w:lang w:eastAsia="en-GB"/>
              </w:rPr>
            </w:pPr>
          </w:p>
        </w:tc>
        <w:tc>
          <w:tcPr>
            <w:tcW w:w="0" w:type="auto"/>
            <w:vAlign w:val="center"/>
            <w:hideMark/>
          </w:tcPr>
          <w:p w:rsidR="009C7A76" w:rsidRPr="009C7A76" w:rsidRDefault="009C7A76" w:rsidP="009C7A76">
            <w:pPr>
              <w:spacing w:after="0" w:line="240" w:lineRule="auto"/>
              <w:rPr>
                <w:rFonts w:ascii="Times New Roman" w:eastAsia="Times New Roman" w:hAnsi="Times New Roman" w:cs="Times New Roman"/>
                <w:sz w:val="20"/>
                <w:szCs w:val="20"/>
                <w:lang w:eastAsia="en-GB"/>
              </w:rPr>
            </w:pPr>
          </w:p>
        </w:tc>
      </w:tr>
      <w:tr w:rsidR="009C7A76" w:rsidRPr="009C7A76">
        <w:trPr>
          <w:tblCellSpacing w:w="7" w:type="dxa"/>
        </w:trPr>
        <w:tc>
          <w:tcPr>
            <w:tcW w:w="0" w:type="auto"/>
            <w:vAlign w:val="center"/>
            <w:hideMark/>
          </w:tcPr>
          <w:p w:rsidR="009C7A76" w:rsidRPr="009C7A76" w:rsidRDefault="009C7A76" w:rsidP="009C7A76">
            <w:pPr>
              <w:spacing w:after="0" w:line="280" w:lineRule="atLeast"/>
              <w:rPr>
                <w:rFonts w:ascii="Arial" w:eastAsia="Times New Roman" w:hAnsi="Arial" w:cs="Arial"/>
                <w:color w:val="000000"/>
                <w:sz w:val="21"/>
                <w:szCs w:val="21"/>
                <w:lang w:eastAsia="en-GB"/>
              </w:rPr>
            </w:pPr>
          </w:p>
        </w:tc>
        <w:tc>
          <w:tcPr>
            <w:tcW w:w="0" w:type="auto"/>
            <w:vAlign w:val="center"/>
            <w:hideMark/>
          </w:tcPr>
          <w:p w:rsidR="009C7A76" w:rsidRPr="009C7A76" w:rsidRDefault="009C7A76" w:rsidP="009C7A76">
            <w:pPr>
              <w:spacing w:after="0" w:line="240" w:lineRule="auto"/>
              <w:rPr>
                <w:rFonts w:ascii="Times New Roman" w:eastAsia="Times New Roman" w:hAnsi="Times New Roman" w:cs="Times New Roman"/>
                <w:sz w:val="20"/>
                <w:szCs w:val="20"/>
                <w:lang w:eastAsia="en-GB"/>
              </w:rPr>
            </w:pPr>
          </w:p>
        </w:tc>
      </w:tr>
      <w:tr w:rsidR="009C7A76" w:rsidRPr="009C7A76">
        <w:trPr>
          <w:tblCellSpacing w:w="7" w:type="dxa"/>
        </w:trPr>
        <w:tc>
          <w:tcPr>
            <w:tcW w:w="0" w:type="auto"/>
            <w:vAlign w:val="center"/>
            <w:hideMark/>
          </w:tcPr>
          <w:p w:rsidR="009C7A76" w:rsidRPr="009C7A76" w:rsidRDefault="009C7A76" w:rsidP="009C7A76">
            <w:pPr>
              <w:spacing w:after="0" w:line="280" w:lineRule="atLeast"/>
              <w:rPr>
                <w:rFonts w:ascii="Arial" w:eastAsia="Times New Roman" w:hAnsi="Arial" w:cs="Arial"/>
                <w:color w:val="000000"/>
                <w:sz w:val="21"/>
                <w:szCs w:val="21"/>
                <w:lang w:eastAsia="en-GB"/>
              </w:rPr>
            </w:pPr>
          </w:p>
        </w:tc>
        <w:tc>
          <w:tcPr>
            <w:tcW w:w="0" w:type="auto"/>
            <w:vAlign w:val="center"/>
            <w:hideMark/>
          </w:tcPr>
          <w:p w:rsidR="009C7A76" w:rsidRPr="009C7A76" w:rsidRDefault="009C7A76" w:rsidP="009C7A76">
            <w:pPr>
              <w:spacing w:after="0" w:line="240" w:lineRule="auto"/>
              <w:rPr>
                <w:rFonts w:ascii="Times New Roman" w:eastAsia="Times New Roman" w:hAnsi="Times New Roman" w:cs="Times New Roman"/>
                <w:sz w:val="20"/>
                <w:szCs w:val="20"/>
                <w:lang w:eastAsia="en-GB"/>
              </w:rPr>
            </w:pPr>
          </w:p>
        </w:tc>
      </w:tr>
    </w:tbl>
    <w:p w:rsidR="007B69BD" w:rsidRDefault="007B69BD"/>
    <w:sectPr w:rsidR="007B69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A76"/>
    <w:rsid w:val="001615CE"/>
    <w:rsid w:val="00450A60"/>
    <w:rsid w:val="00786EBC"/>
    <w:rsid w:val="007959C7"/>
    <w:rsid w:val="007B69BD"/>
    <w:rsid w:val="008F43F9"/>
    <w:rsid w:val="0095390E"/>
    <w:rsid w:val="009C6B25"/>
    <w:rsid w:val="009C7A76"/>
    <w:rsid w:val="00DF61EF"/>
    <w:rsid w:val="00F25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7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A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7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A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115665">
      <w:bodyDiv w:val="1"/>
      <w:marLeft w:val="0"/>
      <w:marRight w:val="0"/>
      <w:marTop w:val="0"/>
      <w:marBottom w:val="0"/>
      <w:divBdr>
        <w:top w:val="none" w:sz="0" w:space="0" w:color="auto"/>
        <w:left w:val="none" w:sz="0" w:space="0" w:color="auto"/>
        <w:bottom w:val="none" w:sz="0" w:space="0" w:color="auto"/>
        <w:right w:val="none" w:sz="0" w:space="0" w:color="auto"/>
      </w:divBdr>
      <w:divsChild>
        <w:div w:id="1059089740">
          <w:marLeft w:val="0"/>
          <w:marRight w:val="0"/>
          <w:marTop w:val="0"/>
          <w:marBottom w:val="0"/>
          <w:divBdr>
            <w:top w:val="none" w:sz="0" w:space="0" w:color="auto"/>
            <w:left w:val="none" w:sz="0" w:space="0" w:color="auto"/>
            <w:bottom w:val="none" w:sz="0" w:space="0" w:color="auto"/>
            <w:right w:val="none" w:sz="0" w:space="0" w:color="auto"/>
          </w:divBdr>
        </w:div>
        <w:div w:id="1077941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Gair</dc:creator>
  <cp:lastModifiedBy>Rachel Gair</cp:lastModifiedBy>
  <cp:revision>2</cp:revision>
  <dcterms:created xsi:type="dcterms:W3CDTF">2018-01-31T08:47:00Z</dcterms:created>
  <dcterms:modified xsi:type="dcterms:W3CDTF">2018-01-31T08:47:00Z</dcterms:modified>
</cp:coreProperties>
</file>