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2221E6" w14:textId="67F6FF4E" w:rsidR="00205720" w:rsidRPr="002C2F39" w:rsidRDefault="002C2F39" w:rsidP="002C2F39">
      <w:pPr>
        <w:pStyle w:val="CommentText"/>
        <w:rPr>
          <w:rFonts w:asciiTheme="majorHAnsi" w:hAnsiTheme="majorHAnsi"/>
          <w:sz w:val="20"/>
        </w:rPr>
      </w:pPr>
      <w:r w:rsidRPr="002C2F39">
        <w:rPr>
          <w:rFonts w:asciiTheme="majorHAnsi" w:hAnsiTheme="majorHAnsi"/>
          <w:sz w:val="20"/>
          <w:szCs w:val="20"/>
        </w:rPr>
        <w:t>Quantitative Longitudinal Relaxation Time (T</w:t>
      </w:r>
      <w:r w:rsidRPr="002C2F39">
        <w:rPr>
          <w:rFonts w:asciiTheme="majorHAnsi" w:hAnsiTheme="majorHAnsi"/>
          <w:sz w:val="20"/>
          <w:szCs w:val="20"/>
          <w:vertAlign w:val="subscript"/>
        </w:rPr>
        <w:t>1</w:t>
      </w:r>
      <w:r w:rsidRPr="002C2F39">
        <w:rPr>
          <w:rFonts w:asciiTheme="majorHAnsi" w:hAnsiTheme="majorHAnsi"/>
          <w:sz w:val="20"/>
          <w:szCs w:val="20"/>
        </w:rPr>
        <w:t>)</w:t>
      </w:r>
      <w:r>
        <w:rPr>
          <w:rFonts w:asciiTheme="majorHAnsi" w:hAnsiTheme="majorHAnsi"/>
          <w:sz w:val="20"/>
          <w:szCs w:val="20"/>
        </w:rPr>
        <w:t xml:space="preserve"> As Part of </w:t>
      </w:r>
      <w:proofErr w:type="spellStart"/>
      <w:r>
        <w:rPr>
          <w:rFonts w:asciiTheme="majorHAnsi" w:hAnsiTheme="majorHAnsi"/>
          <w:sz w:val="20"/>
          <w:szCs w:val="20"/>
        </w:rPr>
        <w:t>Multiparametric</w:t>
      </w:r>
      <w:proofErr w:type="spellEnd"/>
      <w:r w:rsidRPr="002C2F39">
        <w:rPr>
          <w:rFonts w:asciiTheme="majorHAnsi" w:hAnsiTheme="majorHAnsi"/>
          <w:sz w:val="20"/>
          <w:szCs w:val="20"/>
        </w:rPr>
        <w:t xml:space="preserve"> MRI Mapping</w:t>
      </w:r>
      <w:r>
        <w:rPr>
          <w:rFonts w:asciiTheme="majorHAnsi" w:hAnsiTheme="majorHAnsi"/>
          <w:sz w:val="20"/>
          <w:szCs w:val="20"/>
        </w:rPr>
        <w:t xml:space="preserve"> </w:t>
      </w:r>
      <w:r w:rsidR="005C759A" w:rsidRPr="002C2F39">
        <w:rPr>
          <w:rFonts w:asciiTheme="majorHAnsi" w:hAnsiTheme="majorHAnsi"/>
          <w:sz w:val="20"/>
        </w:rPr>
        <w:t>Reveals Distinct P</w:t>
      </w:r>
      <w:r w:rsidR="009E26B2" w:rsidRPr="002C2F39">
        <w:rPr>
          <w:rFonts w:asciiTheme="majorHAnsi" w:hAnsiTheme="majorHAnsi"/>
          <w:sz w:val="20"/>
        </w:rPr>
        <w:t>atterns o</w:t>
      </w:r>
      <w:r w:rsidR="005C759A" w:rsidRPr="002C2F39">
        <w:rPr>
          <w:rFonts w:asciiTheme="majorHAnsi" w:hAnsiTheme="majorHAnsi"/>
          <w:sz w:val="20"/>
        </w:rPr>
        <w:t xml:space="preserve">f </w:t>
      </w:r>
      <w:r w:rsidR="00580F13" w:rsidRPr="002C2F39">
        <w:rPr>
          <w:rFonts w:asciiTheme="majorHAnsi" w:hAnsiTheme="majorHAnsi"/>
          <w:sz w:val="20"/>
        </w:rPr>
        <w:t xml:space="preserve">Renal </w:t>
      </w:r>
      <w:r w:rsidR="005C759A" w:rsidRPr="002C2F39">
        <w:rPr>
          <w:rFonts w:asciiTheme="majorHAnsi" w:hAnsiTheme="majorHAnsi"/>
          <w:sz w:val="20"/>
        </w:rPr>
        <w:t>I</w:t>
      </w:r>
      <w:r w:rsidR="009E26B2" w:rsidRPr="002C2F39">
        <w:rPr>
          <w:rFonts w:asciiTheme="majorHAnsi" w:hAnsiTheme="majorHAnsi"/>
          <w:sz w:val="20"/>
        </w:rPr>
        <w:t xml:space="preserve">njury in AKI </w:t>
      </w:r>
      <w:r w:rsidR="00580F13" w:rsidRPr="002C2F39">
        <w:rPr>
          <w:rFonts w:asciiTheme="majorHAnsi" w:hAnsiTheme="majorHAnsi"/>
          <w:sz w:val="20"/>
        </w:rPr>
        <w:t>and</w:t>
      </w:r>
      <w:r w:rsidR="009E26B2" w:rsidRPr="002C2F39">
        <w:rPr>
          <w:rFonts w:asciiTheme="majorHAnsi" w:hAnsiTheme="majorHAnsi"/>
          <w:sz w:val="20"/>
        </w:rPr>
        <w:t xml:space="preserve"> CKD</w:t>
      </w:r>
    </w:p>
    <w:p w14:paraId="787B3FDB" w14:textId="77777777" w:rsidR="00984218" w:rsidRDefault="00984218"/>
    <w:p w14:paraId="5F3EE43C" w14:textId="77777777" w:rsidR="003305F3" w:rsidRPr="00A6685D" w:rsidRDefault="00A6685D" w:rsidP="003305F3">
      <w:pPr>
        <w:pStyle w:val="NoSpacing"/>
        <w:jc w:val="both"/>
        <w:rPr>
          <w:rFonts w:asciiTheme="minorHAnsi" w:hAnsiTheme="minorHAnsi"/>
          <w:sz w:val="22"/>
          <w:u w:val="single"/>
        </w:rPr>
      </w:pPr>
      <w:bookmarkStart w:id="0" w:name="_GoBack"/>
      <w:bookmarkEnd w:id="0"/>
      <w:r>
        <w:rPr>
          <w:rFonts w:asciiTheme="minorHAnsi" w:hAnsiTheme="minorHAnsi"/>
          <w:b/>
          <w:sz w:val="22"/>
          <w:u w:val="single"/>
        </w:rPr>
        <w:t>PURPOSE</w:t>
      </w:r>
      <w:r w:rsidR="003305F3" w:rsidRPr="00A6685D">
        <w:rPr>
          <w:rFonts w:asciiTheme="minorHAnsi" w:hAnsiTheme="minorHAnsi"/>
          <w:b/>
          <w:sz w:val="22"/>
          <w:u w:val="single"/>
        </w:rPr>
        <w:t>:</w:t>
      </w:r>
      <w:r w:rsidR="003305F3" w:rsidRPr="00A6685D">
        <w:rPr>
          <w:rFonts w:asciiTheme="minorHAnsi" w:hAnsiTheme="minorHAnsi"/>
          <w:sz w:val="22"/>
          <w:u w:val="single"/>
        </w:rPr>
        <w:t xml:space="preserve"> </w:t>
      </w:r>
    </w:p>
    <w:p w14:paraId="0AC6BC93" w14:textId="5D570088" w:rsidR="00452C87" w:rsidRPr="00C704FD" w:rsidRDefault="003F5430" w:rsidP="00452C87">
      <w:pPr>
        <w:pStyle w:val="NoSpacing"/>
        <w:rPr>
          <w:rFonts w:asciiTheme="majorHAnsi" w:hAnsiTheme="majorHAnsi"/>
          <w:szCs w:val="20"/>
        </w:rPr>
      </w:pPr>
      <w:r w:rsidRPr="00E16008">
        <w:rPr>
          <w:rFonts w:asciiTheme="majorHAnsi" w:hAnsiTheme="majorHAnsi" w:cs="Lucida Sans Unicode"/>
          <w:szCs w:val="20"/>
          <w:shd w:val="clear" w:color="auto" w:fill="FFFFFF"/>
        </w:rPr>
        <w:t>Acute Kidney Injury</w:t>
      </w:r>
      <w:r w:rsidR="004C6336">
        <w:rPr>
          <w:rFonts w:asciiTheme="majorHAnsi" w:hAnsiTheme="majorHAnsi" w:cs="Lucida Sans Unicode"/>
          <w:szCs w:val="20"/>
          <w:shd w:val="clear" w:color="auto" w:fill="FFFFFF"/>
        </w:rPr>
        <w:t xml:space="preserve"> </w:t>
      </w:r>
      <w:r w:rsidRPr="00E16008">
        <w:rPr>
          <w:rFonts w:asciiTheme="majorHAnsi" w:hAnsiTheme="majorHAnsi" w:cs="Lucida Sans Unicode"/>
          <w:szCs w:val="20"/>
          <w:shd w:val="clear" w:color="auto" w:fill="FFFFFF"/>
        </w:rPr>
        <w:t xml:space="preserve">(AKI) </w:t>
      </w:r>
      <w:r w:rsidR="002D5446">
        <w:rPr>
          <w:rFonts w:asciiTheme="majorHAnsi" w:hAnsiTheme="majorHAnsi" w:cs="Lucida Sans Unicode"/>
          <w:szCs w:val="20"/>
          <w:shd w:val="clear" w:color="auto" w:fill="FFFFFF"/>
        </w:rPr>
        <w:t xml:space="preserve">and </w:t>
      </w:r>
      <w:r w:rsidR="00B52018">
        <w:rPr>
          <w:rFonts w:asciiTheme="majorHAnsi" w:hAnsiTheme="majorHAnsi" w:cs="Lucida Sans Unicode"/>
          <w:szCs w:val="20"/>
          <w:shd w:val="clear" w:color="auto" w:fill="FFFFFF"/>
        </w:rPr>
        <w:t>C</w:t>
      </w:r>
      <w:r w:rsidR="002D5446">
        <w:rPr>
          <w:rFonts w:asciiTheme="majorHAnsi" w:hAnsiTheme="majorHAnsi" w:cs="Lucida Sans Unicode"/>
          <w:szCs w:val="20"/>
          <w:shd w:val="clear" w:color="auto" w:fill="FFFFFF"/>
        </w:rPr>
        <w:t xml:space="preserve">hronic </w:t>
      </w:r>
      <w:r w:rsidR="00B52018">
        <w:rPr>
          <w:rFonts w:asciiTheme="majorHAnsi" w:hAnsiTheme="majorHAnsi" w:cs="Lucida Sans Unicode"/>
          <w:szCs w:val="20"/>
          <w:shd w:val="clear" w:color="auto" w:fill="FFFFFF"/>
        </w:rPr>
        <w:t>K</w:t>
      </w:r>
      <w:r w:rsidR="002D5446">
        <w:rPr>
          <w:rFonts w:asciiTheme="majorHAnsi" w:hAnsiTheme="majorHAnsi" w:cs="Lucida Sans Unicode"/>
          <w:szCs w:val="20"/>
          <w:shd w:val="clear" w:color="auto" w:fill="FFFFFF"/>
        </w:rPr>
        <w:t xml:space="preserve">idney </w:t>
      </w:r>
      <w:r w:rsidR="00B52018">
        <w:rPr>
          <w:rFonts w:asciiTheme="majorHAnsi" w:hAnsiTheme="majorHAnsi" w:cs="Lucida Sans Unicode"/>
          <w:szCs w:val="20"/>
          <w:shd w:val="clear" w:color="auto" w:fill="FFFFFF"/>
        </w:rPr>
        <w:t>D</w:t>
      </w:r>
      <w:r w:rsidR="002D5446">
        <w:rPr>
          <w:rFonts w:asciiTheme="majorHAnsi" w:hAnsiTheme="majorHAnsi" w:cs="Lucida Sans Unicode"/>
          <w:szCs w:val="20"/>
          <w:shd w:val="clear" w:color="auto" w:fill="FFFFFF"/>
        </w:rPr>
        <w:t>isease (CKD) both result in a reduction in GFR but by different mechanisms. Nevertheless, there is growing evidence of a relationship between AKI and CKD such that incomplete recovery of AKI may result in CKD. The</w:t>
      </w:r>
      <w:r w:rsidR="00007399" w:rsidRPr="00E16008">
        <w:rPr>
          <w:rFonts w:asciiTheme="majorHAnsi" w:hAnsiTheme="majorHAnsi" w:cs="Lucida Sans Unicode"/>
          <w:szCs w:val="20"/>
          <w:shd w:val="clear" w:color="auto" w:fill="FFFFFF"/>
        </w:rPr>
        <w:t xml:space="preserve"> pathophysiology of </w:t>
      </w:r>
      <w:r w:rsidR="002D5446">
        <w:rPr>
          <w:rFonts w:asciiTheme="majorHAnsi" w:hAnsiTheme="majorHAnsi" w:cs="Lucida Sans Unicode"/>
          <w:szCs w:val="20"/>
          <w:shd w:val="clear" w:color="auto" w:fill="FFFFFF"/>
        </w:rPr>
        <w:t xml:space="preserve">progression from AKI to CKD </w:t>
      </w:r>
      <w:r w:rsidR="004D2F76">
        <w:rPr>
          <w:rFonts w:asciiTheme="majorHAnsi" w:hAnsiTheme="majorHAnsi" w:cs="Lucida Sans Unicode"/>
          <w:szCs w:val="20"/>
          <w:shd w:val="clear" w:color="auto" w:fill="FFFFFF"/>
        </w:rPr>
        <w:t>i</w:t>
      </w:r>
      <w:r w:rsidR="001F17EE" w:rsidRPr="00C704FD">
        <w:rPr>
          <w:rFonts w:asciiTheme="majorHAnsi" w:hAnsiTheme="majorHAnsi"/>
          <w:szCs w:val="20"/>
        </w:rPr>
        <w:t>n humans</w:t>
      </w:r>
      <w:r w:rsidR="004D2F76">
        <w:rPr>
          <w:rFonts w:asciiTheme="majorHAnsi" w:hAnsiTheme="majorHAnsi"/>
          <w:szCs w:val="20"/>
        </w:rPr>
        <w:t xml:space="preserve"> is not well described</w:t>
      </w:r>
      <w:r w:rsidR="001F17EE" w:rsidRPr="00C704FD">
        <w:rPr>
          <w:rFonts w:asciiTheme="majorHAnsi" w:hAnsiTheme="majorHAnsi"/>
          <w:szCs w:val="20"/>
        </w:rPr>
        <w:t>.</w:t>
      </w:r>
      <w:r w:rsidR="005B4562">
        <w:rPr>
          <w:rFonts w:asciiTheme="majorHAnsi" w:hAnsiTheme="majorHAnsi"/>
          <w:szCs w:val="20"/>
        </w:rPr>
        <w:t xml:space="preserve"> </w:t>
      </w:r>
      <w:r w:rsidR="00560567">
        <w:rPr>
          <w:rFonts w:asciiTheme="majorHAnsi" w:hAnsiTheme="majorHAnsi"/>
          <w:szCs w:val="20"/>
        </w:rPr>
        <w:t xml:space="preserve">Here, as part of a </w:t>
      </w:r>
      <w:proofErr w:type="spellStart"/>
      <w:r w:rsidR="005B4562">
        <w:rPr>
          <w:rFonts w:asciiTheme="majorHAnsi" w:hAnsiTheme="majorHAnsi"/>
          <w:szCs w:val="20"/>
        </w:rPr>
        <w:t>multiparametric</w:t>
      </w:r>
      <w:proofErr w:type="spellEnd"/>
      <w:r w:rsidR="005B4562">
        <w:rPr>
          <w:rFonts w:asciiTheme="majorHAnsi" w:hAnsiTheme="majorHAnsi"/>
          <w:szCs w:val="20"/>
        </w:rPr>
        <w:t xml:space="preserve"> MRI study</w:t>
      </w:r>
      <w:r w:rsidR="00560567">
        <w:rPr>
          <w:rFonts w:asciiTheme="majorHAnsi" w:hAnsiTheme="majorHAnsi"/>
          <w:szCs w:val="20"/>
        </w:rPr>
        <w:t>, longitudinal relaxation time (T</w:t>
      </w:r>
      <w:r w:rsidR="00560567" w:rsidRPr="002C2F39">
        <w:rPr>
          <w:rFonts w:asciiTheme="majorHAnsi" w:hAnsiTheme="majorHAnsi"/>
          <w:szCs w:val="20"/>
          <w:vertAlign w:val="subscript"/>
        </w:rPr>
        <w:t>1</w:t>
      </w:r>
      <w:r w:rsidR="00560567">
        <w:rPr>
          <w:rFonts w:asciiTheme="majorHAnsi" w:hAnsiTheme="majorHAnsi"/>
          <w:szCs w:val="20"/>
        </w:rPr>
        <w:t>) mapping</w:t>
      </w:r>
      <w:r w:rsidR="005B4562">
        <w:rPr>
          <w:rFonts w:asciiTheme="majorHAnsi" w:hAnsiTheme="majorHAnsi"/>
          <w:szCs w:val="20"/>
        </w:rPr>
        <w:t xml:space="preserve"> was performed </w:t>
      </w:r>
      <w:r w:rsidR="001F06E9" w:rsidRPr="00C704FD">
        <w:rPr>
          <w:rFonts w:asciiTheme="majorHAnsi" w:hAnsiTheme="majorHAnsi"/>
          <w:szCs w:val="20"/>
        </w:rPr>
        <w:t>to</w:t>
      </w:r>
      <w:r w:rsidR="003305F3" w:rsidRPr="00C704FD">
        <w:rPr>
          <w:rFonts w:asciiTheme="majorHAnsi" w:hAnsiTheme="majorHAnsi"/>
          <w:szCs w:val="20"/>
        </w:rPr>
        <w:t xml:space="preserve"> assess</w:t>
      </w:r>
      <w:r w:rsidR="00452C87" w:rsidRPr="00C704FD">
        <w:rPr>
          <w:rFonts w:asciiTheme="majorHAnsi" w:hAnsiTheme="majorHAnsi"/>
          <w:szCs w:val="20"/>
        </w:rPr>
        <w:t xml:space="preserve"> </w:t>
      </w:r>
      <w:r w:rsidR="0055730C" w:rsidRPr="00C704FD">
        <w:rPr>
          <w:rFonts w:asciiTheme="majorHAnsi" w:hAnsiTheme="majorHAnsi"/>
          <w:szCs w:val="20"/>
        </w:rPr>
        <w:t>differences</w:t>
      </w:r>
      <w:r w:rsidR="00E16008">
        <w:rPr>
          <w:rFonts w:asciiTheme="majorHAnsi" w:hAnsiTheme="majorHAnsi"/>
          <w:szCs w:val="20"/>
        </w:rPr>
        <w:t xml:space="preserve"> in</w:t>
      </w:r>
      <w:r w:rsidR="001E7B52" w:rsidRPr="00C704FD">
        <w:rPr>
          <w:rFonts w:asciiTheme="majorHAnsi" w:hAnsiTheme="majorHAnsi"/>
          <w:szCs w:val="20"/>
        </w:rPr>
        <w:t xml:space="preserve"> renal structure</w:t>
      </w:r>
      <w:r w:rsidR="00452C87" w:rsidRPr="00C704FD">
        <w:rPr>
          <w:rFonts w:asciiTheme="majorHAnsi" w:hAnsiTheme="majorHAnsi"/>
          <w:szCs w:val="20"/>
        </w:rPr>
        <w:t xml:space="preserve"> and function </w:t>
      </w:r>
      <w:r w:rsidR="00452C87" w:rsidRPr="00C704FD">
        <w:rPr>
          <w:rFonts w:asciiTheme="majorHAnsi" w:hAnsiTheme="majorHAnsi" w:cs="Arial"/>
          <w:color w:val="222222"/>
          <w:szCs w:val="20"/>
          <w:shd w:val="clear" w:color="auto" w:fill="FFFFFF"/>
        </w:rPr>
        <w:t xml:space="preserve">between AKI and CKD. </w:t>
      </w:r>
    </w:p>
    <w:p w14:paraId="053D00AA" w14:textId="77777777" w:rsidR="003305F3" w:rsidRPr="003808FB" w:rsidRDefault="003305F3" w:rsidP="00984218">
      <w:pPr>
        <w:spacing w:line="276" w:lineRule="auto"/>
        <w:jc w:val="both"/>
        <w:rPr>
          <w:rFonts w:asciiTheme="minorHAnsi" w:eastAsia="SimSun" w:hAnsiTheme="minorHAnsi" w:cs="Arial"/>
          <w:sz w:val="22"/>
          <w:lang w:eastAsia="zh-CN"/>
        </w:rPr>
      </w:pPr>
    </w:p>
    <w:p w14:paraId="104F2226" w14:textId="77777777" w:rsidR="001E7B52" w:rsidRDefault="00984218" w:rsidP="00984218">
      <w:pPr>
        <w:tabs>
          <w:tab w:val="left" w:pos="1406"/>
        </w:tabs>
        <w:autoSpaceDE w:val="0"/>
        <w:autoSpaceDN w:val="0"/>
        <w:adjustRightInd w:val="0"/>
        <w:spacing w:line="276" w:lineRule="auto"/>
        <w:jc w:val="both"/>
        <w:rPr>
          <w:rFonts w:asciiTheme="minorHAnsi" w:hAnsiTheme="minorHAnsi" w:cs="Arial"/>
          <w:b/>
          <w:sz w:val="22"/>
        </w:rPr>
      </w:pPr>
      <w:r w:rsidRPr="003808FB">
        <w:rPr>
          <w:rFonts w:asciiTheme="minorHAnsi" w:hAnsiTheme="minorHAnsi" w:cs="Arial"/>
          <w:b/>
          <w:sz w:val="22"/>
          <w:u w:val="single"/>
        </w:rPr>
        <w:t>METHODS</w:t>
      </w:r>
      <w:r w:rsidRPr="003808FB">
        <w:rPr>
          <w:rFonts w:asciiTheme="minorHAnsi" w:hAnsiTheme="minorHAnsi" w:cs="Arial"/>
          <w:b/>
          <w:sz w:val="22"/>
        </w:rPr>
        <w:t xml:space="preserve">: </w:t>
      </w:r>
    </w:p>
    <w:p w14:paraId="33659FC4" w14:textId="16BA5429" w:rsidR="008721CC" w:rsidRDefault="004D2F76" w:rsidP="004C6336">
      <w:pPr>
        <w:pStyle w:val="NoSpacing"/>
        <w:rPr>
          <w:rFonts w:asciiTheme="majorHAnsi" w:hAnsiTheme="majorHAnsi"/>
          <w:szCs w:val="20"/>
        </w:rPr>
      </w:pPr>
      <w:r>
        <w:rPr>
          <w:rFonts w:asciiTheme="majorHAnsi" w:hAnsiTheme="majorHAnsi"/>
        </w:rPr>
        <w:t xml:space="preserve">57 participants; </w:t>
      </w:r>
      <w:r w:rsidR="00007399">
        <w:rPr>
          <w:rFonts w:asciiTheme="majorHAnsi" w:hAnsiTheme="majorHAnsi"/>
        </w:rPr>
        <w:t xml:space="preserve">10 </w:t>
      </w:r>
      <w:r w:rsidR="004C6336">
        <w:rPr>
          <w:rFonts w:asciiTheme="majorHAnsi" w:hAnsiTheme="majorHAnsi"/>
        </w:rPr>
        <w:t xml:space="preserve">AKI </w:t>
      </w:r>
      <w:r w:rsidR="001E7B52">
        <w:rPr>
          <w:rFonts w:asciiTheme="majorHAnsi" w:hAnsiTheme="majorHAnsi"/>
        </w:rPr>
        <w:t>patients</w:t>
      </w:r>
      <w:r w:rsidR="00007399">
        <w:rPr>
          <w:rFonts w:asciiTheme="majorHAnsi" w:hAnsiTheme="majorHAnsi"/>
        </w:rPr>
        <w:t xml:space="preserve">, </w:t>
      </w:r>
      <w:r w:rsidR="005C27B6">
        <w:rPr>
          <w:rFonts w:asciiTheme="majorHAnsi" w:hAnsiTheme="majorHAnsi"/>
        </w:rPr>
        <w:t xml:space="preserve">26 CKD patients and </w:t>
      </w:r>
      <w:r w:rsidR="001E7B52">
        <w:rPr>
          <w:rFonts w:asciiTheme="majorHAnsi" w:hAnsiTheme="majorHAnsi"/>
        </w:rPr>
        <w:t>21</w:t>
      </w:r>
      <w:r w:rsidR="00007399">
        <w:rPr>
          <w:rFonts w:asciiTheme="majorHAnsi" w:hAnsiTheme="majorHAnsi"/>
        </w:rPr>
        <w:t xml:space="preserve"> healthy </w:t>
      </w:r>
      <w:r w:rsidR="00EE114F">
        <w:rPr>
          <w:rFonts w:asciiTheme="majorHAnsi" w:hAnsiTheme="majorHAnsi"/>
        </w:rPr>
        <w:t xml:space="preserve">volunteers </w:t>
      </w:r>
      <w:r w:rsidR="001E7B52">
        <w:rPr>
          <w:rFonts w:asciiTheme="majorHAnsi" w:hAnsiTheme="majorHAnsi"/>
        </w:rPr>
        <w:t>(HV</w:t>
      </w:r>
      <w:r w:rsidR="004C6336">
        <w:rPr>
          <w:rFonts w:asciiTheme="majorHAnsi" w:hAnsiTheme="majorHAnsi"/>
        </w:rPr>
        <w:t>)</w:t>
      </w:r>
      <w:r w:rsidR="00B52018">
        <w:rPr>
          <w:rFonts w:asciiTheme="majorHAnsi" w:hAnsiTheme="majorHAnsi"/>
        </w:rPr>
        <w:t xml:space="preserve"> were included in this study</w:t>
      </w:r>
      <w:r w:rsidR="001E7B52">
        <w:rPr>
          <w:rFonts w:asciiTheme="majorHAnsi" w:hAnsiTheme="majorHAnsi"/>
        </w:rPr>
        <w:t xml:space="preserve">. </w:t>
      </w:r>
      <w:r w:rsidR="00EE114F">
        <w:rPr>
          <w:rFonts w:asciiTheme="majorHAnsi" w:hAnsiTheme="majorHAnsi"/>
        </w:rPr>
        <w:t xml:space="preserve">AKI </w:t>
      </w:r>
      <w:r w:rsidR="00580F13">
        <w:rPr>
          <w:rFonts w:asciiTheme="majorHAnsi" w:hAnsiTheme="majorHAnsi"/>
        </w:rPr>
        <w:t>p</w:t>
      </w:r>
      <w:r w:rsidR="001E7B52">
        <w:rPr>
          <w:rFonts w:asciiTheme="majorHAnsi" w:hAnsiTheme="majorHAnsi"/>
        </w:rPr>
        <w:t>atients</w:t>
      </w:r>
      <w:r w:rsidR="005B4562">
        <w:rPr>
          <w:rFonts w:asciiTheme="majorHAnsi" w:hAnsiTheme="majorHAnsi"/>
        </w:rPr>
        <w:t xml:space="preserve"> (inpatient AKI </w:t>
      </w:r>
      <w:r w:rsidR="005B4562" w:rsidRPr="00CC5644">
        <w:rPr>
          <w:rFonts w:asciiTheme="majorHAnsi" w:hAnsiTheme="majorHAnsi"/>
        </w:rPr>
        <w:t xml:space="preserve">stage </w:t>
      </w:r>
      <w:r w:rsidR="005B4562">
        <w:rPr>
          <w:rFonts w:asciiTheme="majorHAnsi" w:hAnsiTheme="majorHAnsi"/>
        </w:rPr>
        <w:t>2/</w:t>
      </w:r>
      <w:r w:rsidR="005B4562" w:rsidRPr="00CC5644">
        <w:rPr>
          <w:rFonts w:asciiTheme="majorHAnsi" w:hAnsiTheme="majorHAnsi"/>
        </w:rPr>
        <w:t>3</w:t>
      </w:r>
      <w:r w:rsidR="005B4562">
        <w:rPr>
          <w:rFonts w:asciiTheme="majorHAnsi" w:hAnsiTheme="majorHAnsi"/>
        </w:rPr>
        <w:t>, no pre-existing CKD)</w:t>
      </w:r>
      <w:r w:rsidR="001E7B52" w:rsidRPr="00CC5644">
        <w:rPr>
          <w:rFonts w:asciiTheme="majorHAnsi" w:hAnsiTheme="majorHAnsi"/>
        </w:rPr>
        <w:t xml:space="preserve"> </w:t>
      </w:r>
      <w:r w:rsidR="001E7B52">
        <w:rPr>
          <w:rFonts w:asciiTheme="majorHAnsi" w:hAnsiTheme="majorHAnsi"/>
        </w:rPr>
        <w:t>underwent MRI</w:t>
      </w:r>
      <w:r w:rsidR="001E7B52" w:rsidRPr="00CC5644">
        <w:rPr>
          <w:rFonts w:asciiTheme="majorHAnsi" w:hAnsiTheme="majorHAnsi"/>
        </w:rPr>
        <w:t xml:space="preserve"> scans at the time of AKI</w:t>
      </w:r>
      <w:r w:rsidR="00EE114F">
        <w:rPr>
          <w:rFonts w:asciiTheme="majorHAnsi" w:hAnsiTheme="majorHAnsi"/>
        </w:rPr>
        <w:t>,</w:t>
      </w:r>
      <w:r w:rsidR="001E7B52">
        <w:rPr>
          <w:rFonts w:asciiTheme="majorHAnsi" w:hAnsiTheme="majorHAnsi"/>
        </w:rPr>
        <w:t xml:space="preserve"> </w:t>
      </w:r>
      <w:r w:rsidR="001E7B52" w:rsidRPr="00CC5644">
        <w:rPr>
          <w:rFonts w:asciiTheme="majorHAnsi" w:hAnsiTheme="majorHAnsi"/>
        </w:rPr>
        <w:t>90 days</w:t>
      </w:r>
      <w:r w:rsidR="001E7B52">
        <w:rPr>
          <w:rFonts w:asciiTheme="majorHAnsi" w:hAnsiTheme="majorHAnsi"/>
        </w:rPr>
        <w:t xml:space="preserve"> later</w:t>
      </w:r>
      <w:r w:rsidR="00007399">
        <w:rPr>
          <w:rFonts w:asciiTheme="majorHAnsi" w:hAnsiTheme="majorHAnsi"/>
        </w:rPr>
        <w:t xml:space="preserve"> and a year later</w:t>
      </w:r>
      <w:r w:rsidR="001E7B52" w:rsidRPr="00CC5644">
        <w:rPr>
          <w:rFonts w:asciiTheme="majorHAnsi" w:hAnsiTheme="majorHAnsi"/>
        </w:rPr>
        <w:t xml:space="preserve">. </w:t>
      </w:r>
      <w:r w:rsidR="003A57A8">
        <w:rPr>
          <w:rFonts w:asciiTheme="majorHAnsi" w:hAnsiTheme="majorHAnsi" w:cs="Arial"/>
          <w:color w:val="222222"/>
          <w:shd w:val="clear" w:color="auto" w:fill="FFFFFF"/>
        </w:rPr>
        <w:t xml:space="preserve">Patients with </w:t>
      </w:r>
      <w:r w:rsidR="005C27B6">
        <w:rPr>
          <w:rFonts w:asciiTheme="majorHAnsi" w:hAnsiTheme="majorHAnsi" w:cs="Arial"/>
          <w:color w:val="222222"/>
          <w:shd w:val="clear" w:color="auto" w:fill="FFFFFF"/>
        </w:rPr>
        <w:t xml:space="preserve">CKD stage 3/4 </w:t>
      </w:r>
      <w:r w:rsidR="00EE114F">
        <w:rPr>
          <w:rFonts w:asciiTheme="majorHAnsi" w:hAnsiTheme="majorHAnsi" w:cs="Arial"/>
          <w:color w:val="222222"/>
          <w:shd w:val="clear" w:color="auto" w:fill="FFFFFF"/>
        </w:rPr>
        <w:t xml:space="preserve">underwent MRI </w:t>
      </w:r>
      <w:r w:rsidR="005C27B6">
        <w:rPr>
          <w:rFonts w:asciiTheme="majorHAnsi" w:hAnsiTheme="majorHAnsi" w:cs="Arial"/>
          <w:color w:val="222222"/>
          <w:shd w:val="clear" w:color="auto" w:fill="FFFFFF"/>
        </w:rPr>
        <w:t>within</w:t>
      </w:r>
      <w:r>
        <w:rPr>
          <w:rFonts w:asciiTheme="majorHAnsi" w:hAnsiTheme="majorHAnsi" w:cs="Arial"/>
          <w:color w:val="222222"/>
          <w:shd w:val="clear" w:color="auto" w:fill="FFFFFF"/>
        </w:rPr>
        <w:t xml:space="preserve"> </w:t>
      </w:r>
      <w:r w:rsidR="005B4562">
        <w:rPr>
          <w:rFonts w:asciiTheme="majorHAnsi" w:hAnsiTheme="majorHAnsi" w:cs="Arial"/>
          <w:color w:val="222222"/>
          <w:shd w:val="clear" w:color="auto" w:fill="FFFFFF"/>
        </w:rPr>
        <w:t>3 months</w:t>
      </w:r>
      <w:r>
        <w:rPr>
          <w:rFonts w:asciiTheme="majorHAnsi" w:hAnsiTheme="majorHAnsi" w:cs="Arial"/>
          <w:color w:val="222222"/>
          <w:shd w:val="clear" w:color="auto" w:fill="FFFFFF"/>
        </w:rPr>
        <w:t xml:space="preserve"> of a </w:t>
      </w:r>
      <w:r w:rsidR="00B52018">
        <w:rPr>
          <w:rFonts w:asciiTheme="majorHAnsi" w:hAnsiTheme="majorHAnsi" w:cs="Arial"/>
          <w:color w:val="222222"/>
          <w:shd w:val="clear" w:color="auto" w:fill="FFFFFF"/>
        </w:rPr>
        <w:t>routine</w:t>
      </w:r>
      <w:r>
        <w:rPr>
          <w:rFonts w:asciiTheme="majorHAnsi" w:hAnsiTheme="majorHAnsi" w:cs="Arial"/>
          <w:color w:val="222222"/>
          <w:shd w:val="clear" w:color="auto" w:fill="FFFFFF"/>
        </w:rPr>
        <w:t xml:space="preserve"> </w:t>
      </w:r>
      <w:r w:rsidR="00B52018">
        <w:rPr>
          <w:rFonts w:asciiTheme="majorHAnsi" w:hAnsiTheme="majorHAnsi" w:cs="Arial"/>
          <w:color w:val="222222"/>
          <w:shd w:val="clear" w:color="auto" w:fill="FFFFFF"/>
        </w:rPr>
        <w:t>biopsy</w:t>
      </w:r>
      <w:r w:rsidR="00EE114F">
        <w:rPr>
          <w:rFonts w:asciiTheme="majorHAnsi" w:hAnsiTheme="majorHAnsi" w:cs="Arial"/>
          <w:color w:val="222222"/>
          <w:shd w:val="clear" w:color="auto" w:fill="FFFFFF"/>
        </w:rPr>
        <w:t>; their</w:t>
      </w:r>
      <w:r w:rsidR="007C0595">
        <w:rPr>
          <w:rFonts w:asciiTheme="majorHAnsi" w:hAnsiTheme="majorHAnsi" w:cs="Arial"/>
          <w:color w:val="222222"/>
          <w:shd w:val="clear" w:color="auto" w:fill="FFFFFF"/>
        </w:rPr>
        <w:t xml:space="preserve"> mean </w:t>
      </w:r>
      <w:proofErr w:type="spellStart"/>
      <w:r w:rsidR="007C0595">
        <w:rPr>
          <w:rFonts w:asciiTheme="majorHAnsi" w:hAnsiTheme="majorHAnsi" w:cs="Arial"/>
          <w:color w:val="222222"/>
          <w:shd w:val="clear" w:color="auto" w:fill="FFFFFF"/>
        </w:rPr>
        <w:t>eGFR</w:t>
      </w:r>
      <w:proofErr w:type="spellEnd"/>
      <w:r w:rsidR="00E16008">
        <w:rPr>
          <w:rFonts w:asciiTheme="majorHAnsi" w:hAnsiTheme="majorHAnsi" w:cs="Arial"/>
          <w:color w:val="222222"/>
          <w:shd w:val="clear" w:color="auto" w:fill="FFFFFF"/>
        </w:rPr>
        <w:t xml:space="preserve"> </w:t>
      </w:r>
      <w:r w:rsidR="00EE114F">
        <w:rPr>
          <w:rFonts w:asciiTheme="majorHAnsi" w:hAnsiTheme="majorHAnsi" w:cs="Arial"/>
          <w:color w:val="222222"/>
          <w:shd w:val="clear" w:color="auto" w:fill="FFFFFF"/>
        </w:rPr>
        <w:t xml:space="preserve">was </w:t>
      </w:r>
      <w:r w:rsidR="00A970D6" w:rsidRPr="007C0595">
        <w:rPr>
          <w:rFonts w:asciiTheme="majorHAnsi" w:hAnsiTheme="majorHAnsi" w:cs="Arial"/>
          <w:color w:val="222222"/>
          <w:shd w:val="clear" w:color="auto" w:fill="FFFFFF"/>
        </w:rPr>
        <w:t>39±13 ml/min/1.73 m</w:t>
      </w:r>
      <w:r w:rsidR="00A970D6" w:rsidRPr="007C0595">
        <w:rPr>
          <w:rFonts w:asciiTheme="majorHAnsi" w:hAnsiTheme="majorHAnsi" w:cs="Arial"/>
          <w:color w:val="222222"/>
          <w:shd w:val="clear" w:color="auto" w:fill="FFFFFF"/>
          <w:vertAlign w:val="superscript"/>
        </w:rPr>
        <w:t>2</w:t>
      </w:r>
      <w:r w:rsidR="007C0595">
        <w:rPr>
          <w:rFonts w:asciiTheme="majorHAnsi" w:hAnsiTheme="majorHAnsi" w:cs="Arial"/>
          <w:color w:val="222222"/>
          <w:shd w:val="clear" w:color="auto" w:fill="FFFFFF"/>
          <w:vertAlign w:val="superscript"/>
        </w:rPr>
        <w:t xml:space="preserve"> </w:t>
      </w:r>
      <w:r w:rsidR="007C0595">
        <w:rPr>
          <w:rFonts w:asciiTheme="majorHAnsi" w:hAnsiTheme="majorHAnsi" w:cs="Arial"/>
          <w:color w:val="222222"/>
          <w:shd w:val="clear" w:color="auto" w:fill="FFFFFF"/>
        </w:rPr>
        <w:t xml:space="preserve">and </w:t>
      </w:r>
      <w:r w:rsidR="00EE114F">
        <w:rPr>
          <w:rFonts w:asciiTheme="majorHAnsi" w:hAnsiTheme="majorHAnsi" w:cs="Arial"/>
          <w:color w:val="222222"/>
          <w:shd w:val="clear" w:color="auto" w:fill="FFFFFF"/>
        </w:rPr>
        <w:t xml:space="preserve">urine </w:t>
      </w:r>
      <w:proofErr w:type="spellStart"/>
      <w:r w:rsidR="00EE114F">
        <w:rPr>
          <w:rFonts w:asciiTheme="majorHAnsi" w:hAnsiTheme="majorHAnsi" w:cs="Arial"/>
          <w:color w:val="222222"/>
          <w:shd w:val="clear" w:color="auto" w:fill="FFFFFF"/>
        </w:rPr>
        <w:t>protein</w:t>
      </w:r>
      <w:proofErr w:type="gramStart"/>
      <w:r w:rsidR="00EE114F">
        <w:rPr>
          <w:rFonts w:asciiTheme="majorHAnsi" w:hAnsiTheme="majorHAnsi" w:cs="Arial"/>
          <w:color w:val="222222"/>
          <w:shd w:val="clear" w:color="auto" w:fill="FFFFFF"/>
        </w:rPr>
        <w:t>:creatinine</w:t>
      </w:r>
      <w:proofErr w:type="spellEnd"/>
      <w:proofErr w:type="gramEnd"/>
      <w:r w:rsidR="00EE114F">
        <w:rPr>
          <w:rFonts w:asciiTheme="majorHAnsi" w:hAnsiTheme="majorHAnsi" w:cs="Arial"/>
          <w:color w:val="222222"/>
          <w:shd w:val="clear" w:color="auto" w:fill="FFFFFF"/>
        </w:rPr>
        <w:t xml:space="preserve"> ratio </w:t>
      </w:r>
      <w:r w:rsidR="00A970D6" w:rsidRPr="007C0595">
        <w:rPr>
          <w:rFonts w:asciiTheme="majorHAnsi" w:hAnsiTheme="majorHAnsi" w:cs="Arial"/>
          <w:color w:val="222222"/>
          <w:shd w:val="clear" w:color="auto" w:fill="FFFFFF"/>
        </w:rPr>
        <w:t>120±188mg/</w:t>
      </w:r>
      <w:proofErr w:type="spellStart"/>
      <w:r w:rsidR="00A970D6" w:rsidRPr="007C0595">
        <w:rPr>
          <w:rFonts w:asciiTheme="majorHAnsi" w:hAnsiTheme="majorHAnsi" w:cs="Arial"/>
          <w:color w:val="222222"/>
          <w:shd w:val="clear" w:color="auto" w:fill="FFFFFF"/>
        </w:rPr>
        <w:t>mmol</w:t>
      </w:r>
      <w:proofErr w:type="spellEnd"/>
      <w:r w:rsidR="007C0595">
        <w:rPr>
          <w:rFonts w:asciiTheme="majorHAnsi" w:hAnsiTheme="majorHAnsi" w:cs="Arial"/>
          <w:color w:val="222222"/>
          <w:shd w:val="clear" w:color="auto" w:fill="FFFFFF"/>
        </w:rPr>
        <w:t xml:space="preserve">. HVs </w:t>
      </w:r>
      <w:r w:rsidR="00E16008">
        <w:rPr>
          <w:rFonts w:asciiTheme="majorHAnsi" w:hAnsiTheme="majorHAnsi" w:cs="Arial"/>
          <w:color w:val="222222"/>
          <w:shd w:val="clear" w:color="auto" w:fill="FFFFFF"/>
        </w:rPr>
        <w:t>were age matched</w:t>
      </w:r>
      <w:r w:rsidR="00EE114F">
        <w:rPr>
          <w:rFonts w:asciiTheme="majorHAnsi" w:hAnsiTheme="majorHAnsi" w:cs="Arial"/>
          <w:color w:val="222222"/>
          <w:shd w:val="clear" w:color="auto" w:fill="FFFFFF"/>
        </w:rPr>
        <w:t>,</w:t>
      </w:r>
      <w:r w:rsidR="00E16008">
        <w:rPr>
          <w:rFonts w:asciiTheme="majorHAnsi" w:hAnsiTheme="majorHAnsi" w:cs="Arial"/>
          <w:color w:val="222222"/>
          <w:shd w:val="clear" w:color="auto" w:fill="FFFFFF"/>
        </w:rPr>
        <w:t xml:space="preserve"> had normal renal function and no proteinuria. </w:t>
      </w:r>
      <w:r w:rsidR="00A57C29" w:rsidRPr="00A57C29">
        <w:rPr>
          <w:rFonts w:asciiTheme="majorHAnsi" w:hAnsiTheme="majorHAnsi"/>
          <w:szCs w:val="20"/>
        </w:rPr>
        <w:t xml:space="preserve">MRI scans were performed on a 3T Philips </w:t>
      </w:r>
      <w:proofErr w:type="spellStart"/>
      <w:r w:rsidR="00A57C29" w:rsidRPr="00A57C29">
        <w:rPr>
          <w:rFonts w:asciiTheme="majorHAnsi" w:hAnsiTheme="majorHAnsi"/>
          <w:szCs w:val="20"/>
        </w:rPr>
        <w:t>Ingeni</w:t>
      </w:r>
      <w:r w:rsidR="00BA5309">
        <w:rPr>
          <w:rFonts w:asciiTheme="majorHAnsi" w:hAnsiTheme="majorHAnsi"/>
          <w:szCs w:val="20"/>
        </w:rPr>
        <w:t>a</w:t>
      </w:r>
      <w:proofErr w:type="spellEnd"/>
      <w:r w:rsidR="00BA5309">
        <w:rPr>
          <w:rFonts w:asciiTheme="majorHAnsi" w:hAnsiTheme="majorHAnsi"/>
          <w:szCs w:val="20"/>
        </w:rPr>
        <w:t xml:space="preserve"> scanner. MR measures of structure and function were taken, including </w:t>
      </w:r>
      <w:r w:rsidR="00A57C29" w:rsidRPr="00A57C29">
        <w:rPr>
          <w:rFonts w:asciiTheme="majorHAnsi" w:hAnsiTheme="majorHAnsi"/>
          <w:szCs w:val="20"/>
        </w:rPr>
        <w:t>T</w:t>
      </w:r>
      <w:r w:rsidR="00A57C29" w:rsidRPr="00A57C29">
        <w:rPr>
          <w:rFonts w:asciiTheme="majorHAnsi" w:hAnsiTheme="majorHAnsi"/>
          <w:szCs w:val="20"/>
          <w:vertAlign w:val="subscript"/>
        </w:rPr>
        <w:t xml:space="preserve">1 </w:t>
      </w:r>
      <w:r w:rsidR="00A57C29" w:rsidRPr="00A57C29">
        <w:rPr>
          <w:rFonts w:asciiTheme="majorHAnsi" w:hAnsiTheme="majorHAnsi"/>
          <w:szCs w:val="20"/>
        </w:rPr>
        <w:t>mapping</w:t>
      </w:r>
      <w:r w:rsidR="005E7EE3">
        <w:rPr>
          <w:rFonts w:asciiTheme="majorHAnsi" w:hAnsiTheme="majorHAnsi"/>
          <w:szCs w:val="20"/>
        </w:rPr>
        <w:t xml:space="preserve"> as</w:t>
      </w:r>
      <w:r w:rsidR="00BA5309">
        <w:rPr>
          <w:rFonts w:asciiTheme="majorHAnsi" w:hAnsiTheme="majorHAnsi"/>
          <w:szCs w:val="20"/>
        </w:rPr>
        <w:t xml:space="preserve"> a marker </w:t>
      </w:r>
      <w:r w:rsidR="00A57C29" w:rsidRPr="00A57C29">
        <w:rPr>
          <w:rFonts w:asciiTheme="majorHAnsi" w:hAnsiTheme="majorHAnsi"/>
          <w:szCs w:val="20"/>
        </w:rPr>
        <w:t xml:space="preserve">of fibrosis and/or inflammation. </w:t>
      </w:r>
    </w:p>
    <w:p w14:paraId="5CAEDE12" w14:textId="77777777" w:rsidR="00BA5309" w:rsidRPr="00A57C29" w:rsidRDefault="00BA5309" w:rsidP="00A57C29">
      <w:pPr>
        <w:tabs>
          <w:tab w:val="left" w:pos="1406"/>
        </w:tabs>
        <w:autoSpaceDE w:val="0"/>
        <w:autoSpaceDN w:val="0"/>
        <w:adjustRightInd w:val="0"/>
        <w:jc w:val="both"/>
        <w:rPr>
          <w:rFonts w:asciiTheme="majorHAnsi" w:hAnsiTheme="majorHAnsi" w:cs="Arial"/>
          <w:b/>
          <w:sz w:val="22"/>
        </w:rPr>
      </w:pPr>
    </w:p>
    <w:p w14:paraId="3B8A3766" w14:textId="77777777" w:rsidR="00663506" w:rsidRDefault="00BA2829" w:rsidP="00984218">
      <w:pPr>
        <w:tabs>
          <w:tab w:val="left" w:pos="1406"/>
        </w:tabs>
        <w:autoSpaceDE w:val="0"/>
        <w:autoSpaceDN w:val="0"/>
        <w:adjustRightInd w:val="0"/>
        <w:spacing w:line="276" w:lineRule="auto"/>
        <w:jc w:val="both"/>
        <w:rPr>
          <w:rFonts w:asciiTheme="minorHAnsi" w:hAnsiTheme="minorHAnsi" w:cs="Arial"/>
          <w:b/>
          <w:sz w:val="22"/>
        </w:rPr>
      </w:pPr>
      <w:r>
        <w:rPr>
          <w:rFonts w:asciiTheme="minorHAnsi" w:hAnsiTheme="minorHAnsi" w:cs="Arial"/>
          <w:b/>
          <w:sz w:val="22"/>
          <w:u w:val="single"/>
        </w:rPr>
        <w:t>RESULT</w:t>
      </w:r>
      <w:r w:rsidRPr="003808FB">
        <w:rPr>
          <w:rFonts w:asciiTheme="minorHAnsi" w:hAnsiTheme="minorHAnsi" w:cs="Arial"/>
          <w:b/>
          <w:sz w:val="22"/>
          <w:u w:val="single"/>
        </w:rPr>
        <w:t>S</w:t>
      </w:r>
      <w:r w:rsidRPr="003808FB">
        <w:rPr>
          <w:rFonts w:asciiTheme="minorHAnsi" w:hAnsiTheme="minorHAnsi" w:cs="Arial"/>
          <w:b/>
          <w:sz w:val="22"/>
        </w:rPr>
        <w:t>:</w:t>
      </w:r>
    </w:p>
    <w:p w14:paraId="407C1C3F" w14:textId="1FF4A4EF" w:rsidR="003D60C9" w:rsidRDefault="000E1690" w:rsidP="00984218">
      <w:pPr>
        <w:spacing w:line="276" w:lineRule="auto"/>
        <w:jc w:val="both"/>
        <w:rPr>
          <w:rFonts w:asciiTheme="majorHAnsi" w:hAnsiTheme="majorHAnsi" w:cs="Arial"/>
          <w:bCs/>
          <w:noProof/>
          <w:szCs w:val="20"/>
        </w:rPr>
      </w:pPr>
      <w:r>
        <w:rPr>
          <w:rFonts w:asciiTheme="majorHAnsi" w:hAnsiTheme="majorHAnsi" w:cs="Arial"/>
          <w:bCs/>
          <w:noProof/>
          <w:szCs w:val="20"/>
        </w:rPr>
        <w:t xml:space="preserve">Table 1 demonstrates </w:t>
      </w:r>
      <w:r w:rsidRPr="00A6685D">
        <w:rPr>
          <w:rFonts w:asciiTheme="majorHAnsi" w:hAnsiTheme="majorHAnsi" w:cs="Arial"/>
          <w:bCs/>
          <w:noProof/>
          <w:szCs w:val="20"/>
        </w:rPr>
        <w:t>T</w:t>
      </w:r>
      <w:r w:rsidRPr="00A6685D">
        <w:rPr>
          <w:rFonts w:asciiTheme="majorHAnsi" w:hAnsiTheme="majorHAnsi" w:cs="Arial"/>
          <w:bCs/>
          <w:noProof/>
          <w:szCs w:val="20"/>
          <w:vertAlign w:val="subscript"/>
        </w:rPr>
        <w:t>1</w:t>
      </w:r>
      <w:r w:rsidRPr="00A6685D">
        <w:rPr>
          <w:rFonts w:asciiTheme="majorHAnsi" w:hAnsiTheme="majorHAnsi" w:cs="Arial"/>
          <w:bCs/>
          <w:noProof/>
          <w:szCs w:val="20"/>
        </w:rPr>
        <w:t xml:space="preserve"> values</w:t>
      </w:r>
      <w:r>
        <w:rPr>
          <w:rFonts w:asciiTheme="majorHAnsi" w:hAnsiTheme="majorHAnsi" w:cs="Arial"/>
          <w:bCs/>
          <w:noProof/>
          <w:szCs w:val="20"/>
        </w:rPr>
        <w:t xml:space="preserve"> </w:t>
      </w:r>
      <w:r w:rsidR="005E7EE3">
        <w:rPr>
          <w:rFonts w:asciiTheme="majorHAnsi" w:hAnsiTheme="majorHAnsi" w:cs="Arial"/>
          <w:bCs/>
          <w:noProof/>
          <w:szCs w:val="20"/>
        </w:rPr>
        <w:t>with</w:t>
      </w:r>
      <w:r>
        <w:rPr>
          <w:rFonts w:asciiTheme="majorHAnsi" w:hAnsiTheme="majorHAnsi" w:cs="Arial"/>
          <w:bCs/>
          <w:noProof/>
          <w:szCs w:val="20"/>
        </w:rPr>
        <w:t>in the cortex</w:t>
      </w:r>
      <w:r w:rsidR="00B52018">
        <w:rPr>
          <w:rFonts w:asciiTheme="majorHAnsi" w:hAnsiTheme="majorHAnsi" w:cs="Arial"/>
          <w:bCs/>
          <w:noProof/>
          <w:szCs w:val="20"/>
        </w:rPr>
        <w:t xml:space="preserve"> and </w:t>
      </w:r>
      <w:r>
        <w:rPr>
          <w:rFonts w:asciiTheme="majorHAnsi" w:hAnsiTheme="majorHAnsi" w:cs="Arial"/>
          <w:bCs/>
          <w:noProof/>
          <w:szCs w:val="20"/>
        </w:rPr>
        <w:t xml:space="preserve">medulla </w:t>
      </w:r>
      <w:r w:rsidR="005E7EE3">
        <w:rPr>
          <w:rFonts w:asciiTheme="majorHAnsi" w:hAnsiTheme="majorHAnsi" w:cs="Arial"/>
          <w:bCs/>
          <w:noProof/>
          <w:szCs w:val="20"/>
        </w:rPr>
        <w:t xml:space="preserve">for </w:t>
      </w:r>
      <w:r>
        <w:rPr>
          <w:rFonts w:asciiTheme="majorHAnsi" w:hAnsiTheme="majorHAnsi" w:cs="Arial"/>
          <w:bCs/>
          <w:noProof/>
          <w:szCs w:val="20"/>
        </w:rPr>
        <w:t xml:space="preserve">HVs, </w:t>
      </w:r>
      <w:r w:rsidR="005C759A">
        <w:rPr>
          <w:rFonts w:asciiTheme="majorHAnsi" w:hAnsiTheme="majorHAnsi" w:cs="Arial"/>
          <w:bCs/>
          <w:noProof/>
          <w:szCs w:val="20"/>
        </w:rPr>
        <w:t xml:space="preserve">AKI </w:t>
      </w:r>
      <w:r w:rsidR="005E7EE3">
        <w:rPr>
          <w:rFonts w:asciiTheme="majorHAnsi" w:hAnsiTheme="majorHAnsi" w:cs="Arial"/>
          <w:bCs/>
          <w:noProof/>
          <w:szCs w:val="20"/>
        </w:rPr>
        <w:t xml:space="preserve">patients </w:t>
      </w:r>
      <w:r w:rsidR="005C759A">
        <w:rPr>
          <w:rFonts w:asciiTheme="majorHAnsi" w:hAnsiTheme="majorHAnsi" w:cs="Arial"/>
          <w:bCs/>
          <w:noProof/>
          <w:szCs w:val="20"/>
        </w:rPr>
        <w:t>at time of injury</w:t>
      </w:r>
      <w:r w:rsidR="005E7EE3">
        <w:rPr>
          <w:rFonts w:asciiTheme="majorHAnsi" w:hAnsiTheme="majorHAnsi" w:cs="Arial"/>
          <w:bCs/>
          <w:noProof/>
          <w:szCs w:val="20"/>
        </w:rPr>
        <w:t xml:space="preserve"> and</w:t>
      </w:r>
      <w:r w:rsidR="005C759A">
        <w:rPr>
          <w:rFonts w:asciiTheme="majorHAnsi" w:hAnsiTheme="majorHAnsi" w:cs="Arial"/>
          <w:bCs/>
          <w:noProof/>
          <w:szCs w:val="20"/>
        </w:rPr>
        <w:t xml:space="preserve"> at </w:t>
      </w:r>
      <w:r w:rsidR="00A970D6">
        <w:rPr>
          <w:rFonts w:asciiTheme="majorHAnsi" w:hAnsiTheme="majorHAnsi" w:cs="Arial"/>
          <w:bCs/>
          <w:noProof/>
          <w:szCs w:val="20"/>
        </w:rPr>
        <w:t>3</w:t>
      </w:r>
      <w:r w:rsidR="005C759A">
        <w:rPr>
          <w:rFonts w:asciiTheme="majorHAnsi" w:hAnsiTheme="majorHAnsi" w:cs="Arial"/>
          <w:bCs/>
          <w:noProof/>
          <w:szCs w:val="20"/>
        </w:rPr>
        <w:t xml:space="preserve"> months</w:t>
      </w:r>
      <w:r w:rsidR="005E7EE3">
        <w:rPr>
          <w:rFonts w:asciiTheme="majorHAnsi" w:hAnsiTheme="majorHAnsi" w:cs="Arial"/>
          <w:bCs/>
          <w:noProof/>
          <w:szCs w:val="20"/>
        </w:rPr>
        <w:t xml:space="preserve"> post-AKI,</w:t>
      </w:r>
      <w:r w:rsidR="005C759A">
        <w:rPr>
          <w:rFonts w:asciiTheme="majorHAnsi" w:hAnsiTheme="majorHAnsi" w:cs="Arial"/>
          <w:bCs/>
          <w:noProof/>
          <w:szCs w:val="20"/>
        </w:rPr>
        <w:t xml:space="preserve"> </w:t>
      </w:r>
      <w:r>
        <w:rPr>
          <w:rFonts w:asciiTheme="majorHAnsi" w:hAnsiTheme="majorHAnsi" w:cs="Arial"/>
          <w:bCs/>
          <w:noProof/>
          <w:szCs w:val="20"/>
        </w:rPr>
        <w:t>and CKD patients</w:t>
      </w:r>
      <w:r w:rsidR="008721CC">
        <w:rPr>
          <w:rFonts w:asciiTheme="majorHAnsi" w:hAnsiTheme="majorHAnsi" w:cs="Arial"/>
          <w:bCs/>
          <w:noProof/>
          <w:szCs w:val="20"/>
        </w:rPr>
        <w:t>.</w:t>
      </w:r>
      <w:r w:rsidR="00BD7DDA">
        <w:rPr>
          <w:rFonts w:asciiTheme="majorHAnsi" w:hAnsiTheme="majorHAnsi" w:cs="Arial"/>
          <w:bCs/>
          <w:noProof/>
          <w:szCs w:val="20"/>
        </w:rPr>
        <w:t xml:space="preserve"> AKI patients at the time of injury </w:t>
      </w:r>
      <w:r w:rsidR="005D6972">
        <w:rPr>
          <w:rFonts w:asciiTheme="majorHAnsi" w:hAnsiTheme="majorHAnsi" w:cs="Arial"/>
          <w:bCs/>
          <w:noProof/>
          <w:szCs w:val="20"/>
        </w:rPr>
        <w:t xml:space="preserve">had </w:t>
      </w:r>
      <w:r w:rsidR="00BD7DDA">
        <w:rPr>
          <w:rFonts w:asciiTheme="majorHAnsi" w:hAnsiTheme="majorHAnsi" w:cs="Arial"/>
          <w:bCs/>
          <w:noProof/>
          <w:szCs w:val="20"/>
        </w:rPr>
        <w:t xml:space="preserve">the highest </w:t>
      </w:r>
      <w:r w:rsidR="00BD7DDA" w:rsidRPr="00A6685D">
        <w:rPr>
          <w:rFonts w:asciiTheme="majorHAnsi" w:hAnsiTheme="majorHAnsi" w:cs="Arial"/>
          <w:bCs/>
          <w:noProof/>
          <w:szCs w:val="20"/>
        </w:rPr>
        <w:t>T</w:t>
      </w:r>
      <w:r w:rsidR="00BD7DDA" w:rsidRPr="00A6685D">
        <w:rPr>
          <w:rFonts w:asciiTheme="majorHAnsi" w:hAnsiTheme="majorHAnsi" w:cs="Arial"/>
          <w:bCs/>
          <w:noProof/>
          <w:szCs w:val="20"/>
          <w:vertAlign w:val="subscript"/>
        </w:rPr>
        <w:t>1</w:t>
      </w:r>
      <w:r w:rsidR="00BD7DDA">
        <w:rPr>
          <w:rFonts w:asciiTheme="majorHAnsi" w:hAnsiTheme="majorHAnsi" w:cs="Arial"/>
          <w:bCs/>
          <w:noProof/>
          <w:szCs w:val="20"/>
          <w:vertAlign w:val="subscript"/>
        </w:rPr>
        <w:t xml:space="preserve"> </w:t>
      </w:r>
      <w:r w:rsidR="00BD7DDA">
        <w:rPr>
          <w:rFonts w:asciiTheme="majorHAnsi" w:hAnsiTheme="majorHAnsi" w:cs="Arial"/>
          <w:bCs/>
          <w:noProof/>
          <w:szCs w:val="20"/>
        </w:rPr>
        <w:t xml:space="preserve"> values in both the </w:t>
      </w:r>
      <w:r w:rsidR="005E7EE3">
        <w:rPr>
          <w:rFonts w:asciiTheme="majorHAnsi" w:hAnsiTheme="majorHAnsi" w:cs="Arial"/>
          <w:bCs/>
          <w:noProof/>
          <w:szCs w:val="20"/>
        </w:rPr>
        <w:t xml:space="preserve">renal </w:t>
      </w:r>
      <w:r w:rsidR="00BD7DDA">
        <w:rPr>
          <w:rFonts w:asciiTheme="majorHAnsi" w:hAnsiTheme="majorHAnsi" w:cs="Arial"/>
          <w:bCs/>
          <w:noProof/>
          <w:szCs w:val="20"/>
        </w:rPr>
        <w:t>cortex and medulla</w:t>
      </w:r>
      <w:r w:rsidR="008F6E41">
        <w:rPr>
          <w:rFonts w:asciiTheme="majorHAnsi" w:hAnsiTheme="majorHAnsi" w:cs="Arial"/>
          <w:bCs/>
          <w:noProof/>
          <w:szCs w:val="20"/>
        </w:rPr>
        <w:t>;</w:t>
      </w:r>
      <w:r w:rsidR="008721CC">
        <w:rPr>
          <w:rFonts w:asciiTheme="majorHAnsi" w:hAnsiTheme="majorHAnsi" w:cs="Arial"/>
          <w:bCs/>
          <w:noProof/>
          <w:szCs w:val="20"/>
        </w:rPr>
        <w:t xml:space="preserve"> </w:t>
      </w:r>
      <w:r w:rsidR="005E7EE3">
        <w:rPr>
          <w:rFonts w:asciiTheme="majorHAnsi" w:hAnsiTheme="majorHAnsi" w:cs="Arial"/>
          <w:bCs/>
          <w:noProof/>
          <w:szCs w:val="20"/>
        </w:rPr>
        <w:t xml:space="preserve">at </w:t>
      </w:r>
      <w:r w:rsidR="00BD7DDA">
        <w:rPr>
          <w:rFonts w:asciiTheme="majorHAnsi" w:hAnsiTheme="majorHAnsi" w:cs="Arial"/>
          <w:bCs/>
          <w:noProof/>
          <w:szCs w:val="20"/>
        </w:rPr>
        <w:t xml:space="preserve">3 months </w:t>
      </w:r>
      <w:r w:rsidR="005E7EE3">
        <w:rPr>
          <w:rFonts w:asciiTheme="majorHAnsi" w:hAnsiTheme="majorHAnsi" w:cs="Arial"/>
          <w:bCs/>
          <w:noProof/>
          <w:szCs w:val="20"/>
        </w:rPr>
        <w:t xml:space="preserve">post-AKI </w:t>
      </w:r>
      <w:r w:rsidR="00BD7DDA">
        <w:rPr>
          <w:rFonts w:asciiTheme="majorHAnsi" w:hAnsiTheme="majorHAnsi" w:cs="Arial"/>
          <w:bCs/>
          <w:noProof/>
          <w:szCs w:val="20"/>
        </w:rPr>
        <w:t xml:space="preserve">both cortical and medullary </w:t>
      </w:r>
      <w:r w:rsidR="00BD7DDA" w:rsidRPr="00A6685D">
        <w:rPr>
          <w:rFonts w:asciiTheme="majorHAnsi" w:hAnsiTheme="majorHAnsi" w:cs="Arial"/>
          <w:bCs/>
          <w:noProof/>
          <w:szCs w:val="20"/>
        </w:rPr>
        <w:t>T</w:t>
      </w:r>
      <w:r w:rsidR="00BD7DDA" w:rsidRPr="00A6685D">
        <w:rPr>
          <w:rFonts w:asciiTheme="majorHAnsi" w:hAnsiTheme="majorHAnsi" w:cs="Arial"/>
          <w:bCs/>
          <w:noProof/>
          <w:szCs w:val="20"/>
          <w:vertAlign w:val="subscript"/>
        </w:rPr>
        <w:t>1</w:t>
      </w:r>
      <w:r w:rsidR="00BD7DDA">
        <w:rPr>
          <w:rFonts w:asciiTheme="majorHAnsi" w:hAnsiTheme="majorHAnsi" w:cs="Arial"/>
          <w:bCs/>
          <w:noProof/>
          <w:szCs w:val="20"/>
          <w:vertAlign w:val="subscript"/>
        </w:rPr>
        <w:t xml:space="preserve"> </w:t>
      </w:r>
      <w:r w:rsidR="00BD7DDA">
        <w:rPr>
          <w:rFonts w:asciiTheme="majorHAnsi" w:hAnsiTheme="majorHAnsi" w:cs="Arial"/>
          <w:bCs/>
          <w:noProof/>
          <w:szCs w:val="20"/>
        </w:rPr>
        <w:t xml:space="preserve">values </w:t>
      </w:r>
      <w:r w:rsidR="008721CC">
        <w:rPr>
          <w:rFonts w:asciiTheme="majorHAnsi" w:hAnsiTheme="majorHAnsi" w:cs="Arial"/>
          <w:bCs/>
          <w:noProof/>
          <w:szCs w:val="20"/>
        </w:rPr>
        <w:t xml:space="preserve">had declined but </w:t>
      </w:r>
      <w:r w:rsidR="005E7EE3">
        <w:rPr>
          <w:rFonts w:asciiTheme="majorHAnsi" w:hAnsiTheme="majorHAnsi" w:cs="Arial"/>
          <w:bCs/>
          <w:noProof/>
          <w:szCs w:val="20"/>
        </w:rPr>
        <w:t>remained elevated comapred to</w:t>
      </w:r>
      <w:r w:rsidR="008721CC">
        <w:rPr>
          <w:rFonts w:asciiTheme="majorHAnsi" w:hAnsiTheme="majorHAnsi" w:cs="Arial"/>
          <w:bCs/>
          <w:noProof/>
          <w:szCs w:val="20"/>
        </w:rPr>
        <w:t xml:space="preserve"> HV levels</w:t>
      </w:r>
      <w:r w:rsidR="008F6E41">
        <w:rPr>
          <w:rFonts w:asciiTheme="majorHAnsi" w:hAnsiTheme="majorHAnsi" w:cs="Arial"/>
          <w:bCs/>
          <w:noProof/>
          <w:szCs w:val="20"/>
        </w:rPr>
        <w:t>. I</w:t>
      </w:r>
      <w:r w:rsidR="008721CC">
        <w:rPr>
          <w:rFonts w:asciiTheme="majorHAnsi" w:hAnsiTheme="majorHAnsi" w:cs="Arial"/>
          <w:bCs/>
          <w:noProof/>
          <w:szCs w:val="20"/>
        </w:rPr>
        <w:t>nterestingly</w:t>
      </w:r>
      <w:r w:rsidR="005E7EE3">
        <w:rPr>
          <w:rFonts w:asciiTheme="majorHAnsi" w:hAnsiTheme="majorHAnsi" w:cs="Arial"/>
          <w:bCs/>
          <w:noProof/>
          <w:szCs w:val="20"/>
        </w:rPr>
        <w:t>,</w:t>
      </w:r>
      <w:r w:rsidR="008721CC">
        <w:rPr>
          <w:rFonts w:asciiTheme="majorHAnsi" w:hAnsiTheme="majorHAnsi" w:cs="Arial"/>
          <w:bCs/>
          <w:noProof/>
          <w:szCs w:val="20"/>
        </w:rPr>
        <w:t xml:space="preserve"> </w:t>
      </w:r>
      <w:r w:rsidR="008F6E41">
        <w:rPr>
          <w:rFonts w:asciiTheme="majorHAnsi" w:hAnsiTheme="majorHAnsi" w:cs="Arial"/>
          <w:bCs/>
          <w:noProof/>
          <w:szCs w:val="20"/>
        </w:rPr>
        <w:t>at 3 months post</w:t>
      </w:r>
      <w:r w:rsidR="005E7EE3">
        <w:rPr>
          <w:rFonts w:asciiTheme="majorHAnsi" w:hAnsiTheme="majorHAnsi" w:cs="Arial"/>
          <w:bCs/>
          <w:noProof/>
          <w:szCs w:val="20"/>
        </w:rPr>
        <w:t>-</w:t>
      </w:r>
      <w:r w:rsidR="008F6E41">
        <w:rPr>
          <w:rFonts w:asciiTheme="majorHAnsi" w:hAnsiTheme="majorHAnsi" w:cs="Arial"/>
          <w:bCs/>
          <w:noProof/>
          <w:szCs w:val="20"/>
        </w:rPr>
        <w:t xml:space="preserve">AKI </w:t>
      </w:r>
      <w:r w:rsidR="00AA5097">
        <w:rPr>
          <w:rFonts w:asciiTheme="majorHAnsi" w:hAnsiTheme="majorHAnsi" w:cs="Arial"/>
          <w:bCs/>
          <w:noProof/>
          <w:szCs w:val="20"/>
        </w:rPr>
        <w:t xml:space="preserve">cortical </w:t>
      </w:r>
      <w:r w:rsidR="00AA5097" w:rsidRPr="00A6685D">
        <w:rPr>
          <w:rFonts w:asciiTheme="majorHAnsi" w:hAnsiTheme="majorHAnsi" w:cs="Arial"/>
          <w:bCs/>
          <w:noProof/>
          <w:szCs w:val="20"/>
        </w:rPr>
        <w:t>T</w:t>
      </w:r>
      <w:r w:rsidR="00AA5097" w:rsidRPr="00A6685D">
        <w:rPr>
          <w:rFonts w:asciiTheme="majorHAnsi" w:hAnsiTheme="majorHAnsi" w:cs="Arial"/>
          <w:bCs/>
          <w:noProof/>
          <w:szCs w:val="20"/>
          <w:vertAlign w:val="subscript"/>
        </w:rPr>
        <w:t>1</w:t>
      </w:r>
      <w:r w:rsidR="00AA5097">
        <w:rPr>
          <w:rFonts w:asciiTheme="majorHAnsi" w:hAnsiTheme="majorHAnsi" w:cs="Arial"/>
          <w:bCs/>
          <w:noProof/>
          <w:szCs w:val="20"/>
          <w:vertAlign w:val="subscript"/>
        </w:rPr>
        <w:t xml:space="preserve"> </w:t>
      </w:r>
      <w:r w:rsidR="00A970D6">
        <w:rPr>
          <w:rFonts w:asciiTheme="majorHAnsi" w:hAnsiTheme="majorHAnsi" w:cs="Arial"/>
          <w:bCs/>
          <w:noProof/>
          <w:szCs w:val="20"/>
        </w:rPr>
        <w:t xml:space="preserve">declined </w:t>
      </w:r>
      <w:r w:rsidR="008F6E41">
        <w:rPr>
          <w:rFonts w:asciiTheme="majorHAnsi" w:hAnsiTheme="majorHAnsi" w:cs="Arial"/>
          <w:bCs/>
          <w:noProof/>
          <w:szCs w:val="20"/>
        </w:rPr>
        <w:t xml:space="preserve">to </w:t>
      </w:r>
      <w:r w:rsidR="008B6225">
        <w:rPr>
          <w:rFonts w:asciiTheme="majorHAnsi" w:hAnsiTheme="majorHAnsi" w:cs="Arial"/>
          <w:bCs/>
          <w:noProof/>
          <w:szCs w:val="20"/>
        </w:rPr>
        <w:t xml:space="preserve">a </w:t>
      </w:r>
      <w:r w:rsidR="008F6E41">
        <w:rPr>
          <w:rFonts w:asciiTheme="majorHAnsi" w:hAnsiTheme="majorHAnsi" w:cs="Arial"/>
          <w:bCs/>
          <w:noProof/>
          <w:szCs w:val="20"/>
        </w:rPr>
        <w:t xml:space="preserve">value similar to  </w:t>
      </w:r>
      <w:r w:rsidR="008B6225">
        <w:rPr>
          <w:rFonts w:asciiTheme="majorHAnsi" w:hAnsiTheme="majorHAnsi" w:cs="Arial"/>
          <w:bCs/>
          <w:noProof/>
          <w:szCs w:val="20"/>
        </w:rPr>
        <w:t xml:space="preserve">that </w:t>
      </w:r>
      <w:r w:rsidR="008F6E41">
        <w:rPr>
          <w:rFonts w:asciiTheme="majorHAnsi" w:hAnsiTheme="majorHAnsi" w:cs="Arial"/>
          <w:bCs/>
          <w:noProof/>
          <w:szCs w:val="20"/>
        </w:rPr>
        <w:t xml:space="preserve">of </w:t>
      </w:r>
      <w:r w:rsidR="003D60C9">
        <w:rPr>
          <w:rFonts w:asciiTheme="majorHAnsi" w:hAnsiTheme="majorHAnsi" w:cs="Arial"/>
          <w:bCs/>
          <w:noProof/>
          <w:szCs w:val="20"/>
        </w:rPr>
        <w:t>CKD</w:t>
      </w:r>
      <w:r w:rsidR="00A970D6">
        <w:rPr>
          <w:rFonts w:asciiTheme="majorHAnsi" w:hAnsiTheme="majorHAnsi" w:cs="Arial"/>
          <w:bCs/>
          <w:noProof/>
          <w:szCs w:val="20"/>
        </w:rPr>
        <w:t xml:space="preserve"> patients</w:t>
      </w:r>
      <w:r w:rsidR="008B6225">
        <w:rPr>
          <w:rFonts w:asciiTheme="majorHAnsi" w:hAnsiTheme="majorHAnsi" w:cs="Arial"/>
          <w:bCs/>
          <w:noProof/>
          <w:szCs w:val="20"/>
        </w:rPr>
        <w:t>,</w:t>
      </w:r>
      <w:r w:rsidR="00AA5097">
        <w:rPr>
          <w:rFonts w:asciiTheme="majorHAnsi" w:hAnsiTheme="majorHAnsi" w:cs="Arial"/>
          <w:bCs/>
          <w:noProof/>
          <w:szCs w:val="20"/>
        </w:rPr>
        <w:t xml:space="preserve"> whilst</w:t>
      </w:r>
      <w:r w:rsidR="00A970D6">
        <w:rPr>
          <w:rFonts w:asciiTheme="majorHAnsi" w:hAnsiTheme="majorHAnsi" w:cs="Arial"/>
          <w:bCs/>
          <w:noProof/>
          <w:szCs w:val="20"/>
        </w:rPr>
        <w:t xml:space="preserve"> </w:t>
      </w:r>
      <w:r w:rsidR="003D60C9">
        <w:rPr>
          <w:rFonts w:asciiTheme="majorHAnsi" w:hAnsiTheme="majorHAnsi" w:cs="Arial"/>
          <w:bCs/>
          <w:noProof/>
          <w:szCs w:val="20"/>
        </w:rPr>
        <w:t xml:space="preserve">medullary </w:t>
      </w:r>
      <w:r w:rsidR="00A970D6" w:rsidRPr="00A6685D">
        <w:rPr>
          <w:rFonts w:asciiTheme="majorHAnsi" w:hAnsiTheme="majorHAnsi" w:cs="Arial"/>
          <w:bCs/>
          <w:noProof/>
          <w:szCs w:val="20"/>
        </w:rPr>
        <w:t>T</w:t>
      </w:r>
      <w:r w:rsidR="00A970D6" w:rsidRPr="00A6685D">
        <w:rPr>
          <w:rFonts w:asciiTheme="majorHAnsi" w:hAnsiTheme="majorHAnsi" w:cs="Arial"/>
          <w:bCs/>
          <w:noProof/>
          <w:szCs w:val="20"/>
          <w:vertAlign w:val="subscript"/>
        </w:rPr>
        <w:t>1</w:t>
      </w:r>
      <w:r w:rsidR="00A970D6">
        <w:rPr>
          <w:rFonts w:asciiTheme="majorHAnsi" w:hAnsiTheme="majorHAnsi" w:cs="Arial"/>
          <w:bCs/>
          <w:noProof/>
          <w:szCs w:val="20"/>
          <w:vertAlign w:val="subscript"/>
        </w:rPr>
        <w:t xml:space="preserve"> </w:t>
      </w:r>
      <w:r w:rsidR="003D60C9">
        <w:rPr>
          <w:rFonts w:asciiTheme="majorHAnsi" w:hAnsiTheme="majorHAnsi" w:cs="Arial"/>
          <w:bCs/>
          <w:noProof/>
          <w:szCs w:val="20"/>
        </w:rPr>
        <w:t>remained significa</w:t>
      </w:r>
      <w:r w:rsidR="00613013">
        <w:rPr>
          <w:rFonts w:asciiTheme="majorHAnsi" w:hAnsiTheme="majorHAnsi" w:cs="Arial"/>
          <w:bCs/>
          <w:noProof/>
          <w:szCs w:val="20"/>
        </w:rPr>
        <w:t>n</w:t>
      </w:r>
      <w:r w:rsidR="003D60C9">
        <w:rPr>
          <w:rFonts w:asciiTheme="majorHAnsi" w:hAnsiTheme="majorHAnsi" w:cs="Arial"/>
          <w:bCs/>
          <w:noProof/>
          <w:szCs w:val="20"/>
        </w:rPr>
        <w:t>t</w:t>
      </w:r>
      <w:r w:rsidR="00613013">
        <w:rPr>
          <w:rFonts w:asciiTheme="majorHAnsi" w:hAnsiTheme="majorHAnsi" w:cs="Arial"/>
          <w:bCs/>
          <w:noProof/>
          <w:szCs w:val="20"/>
        </w:rPr>
        <w:t>l</w:t>
      </w:r>
      <w:r w:rsidR="003D60C9">
        <w:rPr>
          <w:rFonts w:asciiTheme="majorHAnsi" w:hAnsiTheme="majorHAnsi" w:cs="Arial"/>
          <w:bCs/>
          <w:noProof/>
          <w:szCs w:val="20"/>
        </w:rPr>
        <w:t xml:space="preserve">y higher </w:t>
      </w:r>
      <w:r w:rsidR="008B6225">
        <w:rPr>
          <w:rFonts w:asciiTheme="majorHAnsi" w:hAnsiTheme="majorHAnsi" w:cs="Arial"/>
          <w:bCs/>
          <w:noProof/>
          <w:szCs w:val="20"/>
        </w:rPr>
        <w:t>than in</w:t>
      </w:r>
      <w:r w:rsidR="00AA5097">
        <w:rPr>
          <w:rFonts w:asciiTheme="majorHAnsi" w:hAnsiTheme="majorHAnsi" w:cs="Arial"/>
          <w:bCs/>
          <w:noProof/>
          <w:szCs w:val="20"/>
        </w:rPr>
        <w:t xml:space="preserve"> </w:t>
      </w:r>
      <w:r w:rsidR="003D60C9">
        <w:rPr>
          <w:rFonts w:asciiTheme="majorHAnsi" w:hAnsiTheme="majorHAnsi" w:cs="Arial"/>
          <w:bCs/>
          <w:noProof/>
          <w:szCs w:val="20"/>
        </w:rPr>
        <w:t xml:space="preserve">CKD </w:t>
      </w:r>
      <w:r w:rsidR="00AA5097">
        <w:rPr>
          <w:rFonts w:asciiTheme="majorHAnsi" w:hAnsiTheme="majorHAnsi" w:cs="Arial"/>
          <w:bCs/>
          <w:noProof/>
          <w:szCs w:val="20"/>
        </w:rPr>
        <w:t xml:space="preserve">patients </w:t>
      </w:r>
      <w:r w:rsidR="003D60C9" w:rsidRPr="00A6685D">
        <w:rPr>
          <w:rFonts w:asciiTheme="majorHAnsi" w:hAnsiTheme="majorHAnsi" w:cs="Arial"/>
          <w:bCs/>
          <w:noProof/>
          <w:szCs w:val="20"/>
        </w:rPr>
        <w:t>T</w:t>
      </w:r>
      <w:r w:rsidR="003D60C9">
        <w:rPr>
          <w:rFonts w:asciiTheme="majorHAnsi" w:hAnsiTheme="majorHAnsi" w:cs="Arial"/>
          <w:bCs/>
          <w:noProof/>
          <w:szCs w:val="20"/>
          <w:vertAlign w:val="subscript"/>
        </w:rPr>
        <w:t xml:space="preserve">1  </w:t>
      </w:r>
    </w:p>
    <w:p w14:paraId="74546EB5" w14:textId="77777777" w:rsidR="003D6E92" w:rsidRDefault="003D6E92" w:rsidP="00984218">
      <w:pPr>
        <w:spacing w:line="276" w:lineRule="auto"/>
        <w:jc w:val="both"/>
        <w:rPr>
          <w:rFonts w:asciiTheme="majorHAnsi" w:hAnsiTheme="majorHAnsi" w:cs="Arial"/>
          <w:bCs/>
          <w:noProof/>
          <w:szCs w:val="20"/>
        </w:rPr>
      </w:pPr>
      <w:r>
        <w:rPr>
          <w:rFonts w:asciiTheme="majorHAnsi" w:hAnsiTheme="majorHAnsi" w:cs="Arial"/>
          <w:bCs/>
          <w:noProof/>
          <w:szCs w:val="20"/>
        </w:rPr>
        <w:t>Table 1.</w:t>
      </w:r>
    </w:p>
    <w:tbl>
      <w:tblPr>
        <w:tblW w:w="9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2480"/>
        <w:gridCol w:w="1540"/>
        <w:gridCol w:w="1600"/>
        <w:gridCol w:w="1760"/>
        <w:gridCol w:w="1760"/>
      </w:tblGrid>
      <w:tr w:rsidR="003D6E92" w:rsidRPr="004D5BED" w14:paraId="24204741" w14:textId="77777777" w:rsidTr="00A85D66">
        <w:trPr>
          <w:trHeight w:val="486"/>
        </w:trPr>
        <w:tc>
          <w:tcPr>
            <w:tcW w:w="2480" w:type="dxa"/>
            <w:shd w:val="clear" w:color="auto" w:fill="auto"/>
            <w:tcMar>
              <w:top w:w="72" w:type="dxa"/>
              <w:left w:w="144" w:type="dxa"/>
              <w:bottom w:w="72" w:type="dxa"/>
              <w:right w:w="144" w:type="dxa"/>
            </w:tcMar>
            <w:vAlign w:val="center"/>
            <w:hideMark/>
          </w:tcPr>
          <w:p w14:paraId="6627FD14" w14:textId="77777777" w:rsidR="003D6E92" w:rsidRPr="005C759A" w:rsidRDefault="003D6E92" w:rsidP="00A85D66">
            <w:pPr>
              <w:rPr>
                <w:rFonts w:asciiTheme="majorHAnsi" w:hAnsiTheme="majorHAnsi"/>
              </w:rPr>
            </w:pPr>
          </w:p>
        </w:tc>
        <w:tc>
          <w:tcPr>
            <w:tcW w:w="1540" w:type="dxa"/>
            <w:shd w:val="clear" w:color="auto" w:fill="auto"/>
            <w:tcMar>
              <w:top w:w="72" w:type="dxa"/>
              <w:left w:w="144" w:type="dxa"/>
              <w:bottom w:w="72" w:type="dxa"/>
              <w:right w:w="144" w:type="dxa"/>
            </w:tcMar>
            <w:vAlign w:val="center"/>
            <w:hideMark/>
          </w:tcPr>
          <w:p w14:paraId="2724D4B0" w14:textId="77777777" w:rsidR="003D6E92" w:rsidRPr="005C759A" w:rsidRDefault="003D6E92" w:rsidP="00A85D66">
            <w:pPr>
              <w:jc w:val="center"/>
              <w:rPr>
                <w:rFonts w:asciiTheme="majorHAnsi" w:hAnsiTheme="majorHAnsi"/>
                <w:b/>
              </w:rPr>
            </w:pPr>
            <w:r w:rsidRPr="005C759A">
              <w:rPr>
                <w:rFonts w:asciiTheme="majorHAnsi" w:hAnsiTheme="majorHAnsi"/>
                <w:b/>
                <w:bCs/>
              </w:rPr>
              <w:t>HVs</w:t>
            </w:r>
          </w:p>
        </w:tc>
        <w:tc>
          <w:tcPr>
            <w:tcW w:w="1600" w:type="dxa"/>
            <w:shd w:val="clear" w:color="auto" w:fill="auto"/>
            <w:tcMar>
              <w:top w:w="72" w:type="dxa"/>
              <w:left w:w="144" w:type="dxa"/>
              <w:bottom w:w="72" w:type="dxa"/>
              <w:right w:w="144" w:type="dxa"/>
            </w:tcMar>
            <w:vAlign w:val="center"/>
            <w:hideMark/>
          </w:tcPr>
          <w:p w14:paraId="4B003768" w14:textId="77777777" w:rsidR="003D6E92" w:rsidRPr="005C759A" w:rsidRDefault="003D6E92" w:rsidP="00A85D66">
            <w:pPr>
              <w:jc w:val="center"/>
              <w:rPr>
                <w:rFonts w:asciiTheme="majorHAnsi" w:hAnsiTheme="majorHAnsi"/>
                <w:b/>
              </w:rPr>
            </w:pPr>
            <w:r w:rsidRPr="005C759A">
              <w:rPr>
                <w:rFonts w:asciiTheme="majorHAnsi" w:hAnsiTheme="majorHAnsi"/>
                <w:b/>
              </w:rPr>
              <w:t>AKI Injury</w:t>
            </w:r>
          </w:p>
        </w:tc>
        <w:tc>
          <w:tcPr>
            <w:tcW w:w="1760" w:type="dxa"/>
            <w:shd w:val="clear" w:color="auto" w:fill="auto"/>
            <w:vAlign w:val="center"/>
          </w:tcPr>
          <w:p w14:paraId="625A77F5" w14:textId="77777777" w:rsidR="003D6E92" w:rsidRPr="005C759A" w:rsidRDefault="003D6E92" w:rsidP="00A85D66">
            <w:pPr>
              <w:jc w:val="center"/>
              <w:rPr>
                <w:rFonts w:asciiTheme="majorHAnsi" w:hAnsiTheme="majorHAnsi"/>
                <w:b/>
              </w:rPr>
            </w:pPr>
            <w:r>
              <w:rPr>
                <w:rFonts w:asciiTheme="majorHAnsi" w:hAnsiTheme="majorHAnsi"/>
                <w:b/>
                <w:bCs/>
              </w:rPr>
              <w:t>AKI 3 M</w:t>
            </w:r>
            <w:r w:rsidRPr="005C759A">
              <w:rPr>
                <w:rFonts w:asciiTheme="majorHAnsi" w:hAnsiTheme="majorHAnsi"/>
                <w:b/>
                <w:bCs/>
              </w:rPr>
              <w:t>onths</w:t>
            </w:r>
          </w:p>
        </w:tc>
        <w:tc>
          <w:tcPr>
            <w:tcW w:w="1760" w:type="dxa"/>
            <w:shd w:val="clear" w:color="auto" w:fill="auto"/>
            <w:vAlign w:val="center"/>
          </w:tcPr>
          <w:p w14:paraId="43B8D06A" w14:textId="77777777" w:rsidR="003D6E92" w:rsidRPr="005C759A" w:rsidRDefault="003D6E92" w:rsidP="00A85D66">
            <w:pPr>
              <w:jc w:val="center"/>
              <w:rPr>
                <w:rFonts w:asciiTheme="majorHAnsi" w:hAnsiTheme="majorHAnsi"/>
                <w:b/>
              </w:rPr>
            </w:pPr>
            <w:r w:rsidRPr="005C759A">
              <w:rPr>
                <w:rFonts w:asciiTheme="majorHAnsi" w:hAnsiTheme="majorHAnsi"/>
                <w:b/>
                <w:bCs/>
              </w:rPr>
              <w:t>CKD</w:t>
            </w:r>
          </w:p>
        </w:tc>
      </w:tr>
      <w:tr w:rsidR="003D6E92" w:rsidRPr="004D5BED" w14:paraId="55BFA24E" w14:textId="77777777" w:rsidTr="00A85D66">
        <w:trPr>
          <w:trHeight w:val="148"/>
        </w:trPr>
        <w:tc>
          <w:tcPr>
            <w:tcW w:w="2480" w:type="dxa"/>
            <w:shd w:val="clear" w:color="auto" w:fill="auto"/>
            <w:tcMar>
              <w:top w:w="72" w:type="dxa"/>
              <w:left w:w="144" w:type="dxa"/>
              <w:bottom w:w="72" w:type="dxa"/>
              <w:right w:w="144" w:type="dxa"/>
            </w:tcMar>
            <w:vAlign w:val="center"/>
            <w:hideMark/>
          </w:tcPr>
          <w:p w14:paraId="055A4CCD" w14:textId="77777777" w:rsidR="003D6E92" w:rsidRPr="005C759A" w:rsidRDefault="003D6E92" w:rsidP="00A85D66">
            <w:pPr>
              <w:jc w:val="center"/>
              <w:rPr>
                <w:rFonts w:asciiTheme="majorHAnsi" w:hAnsiTheme="majorHAnsi"/>
                <w:b/>
              </w:rPr>
            </w:pPr>
            <w:r w:rsidRPr="005C759A">
              <w:rPr>
                <w:rFonts w:asciiTheme="majorHAnsi" w:hAnsiTheme="majorHAnsi"/>
                <w:b/>
              </w:rPr>
              <w:t>T</w:t>
            </w:r>
            <w:r w:rsidRPr="005C759A">
              <w:rPr>
                <w:rFonts w:asciiTheme="majorHAnsi" w:hAnsiTheme="majorHAnsi"/>
                <w:b/>
                <w:vertAlign w:val="subscript"/>
              </w:rPr>
              <w:t xml:space="preserve">1 </w:t>
            </w:r>
            <w:r w:rsidRPr="005C759A">
              <w:rPr>
                <w:rFonts w:asciiTheme="majorHAnsi" w:hAnsiTheme="majorHAnsi"/>
                <w:b/>
              </w:rPr>
              <w:t>Cortex (</w:t>
            </w:r>
            <w:proofErr w:type="spellStart"/>
            <w:r w:rsidRPr="005C759A">
              <w:rPr>
                <w:rFonts w:asciiTheme="majorHAnsi" w:hAnsiTheme="majorHAnsi"/>
                <w:b/>
              </w:rPr>
              <w:t>ms</w:t>
            </w:r>
            <w:proofErr w:type="spellEnd"/>
            <w:r w:rsidRPr="005C759A">
              <w:rPr>
                <w:rFonts w:asciiTheme="majorHAnsi" w:hAnsiTheme="majorHAnsi"/>
                <w:b/>
              </w:rPr>
              <w:t>)</w:t>
            </w:r>
          </w:p>
        </w:tc>
        <w:tc>
          <w:tcPr>
            <w:tcW w:w="1540" w:type="dxa"/>
            <w:shd w:val="clear" w:color="auto" w:fill="auto"/>
            <w:tcMar>
              <w:top w:w="72" w:type="dxa"/>
              <w:left w:w="144" w:type="dxa"/>
              <w:bottom w:w="72" w:type="dxa"/>
              <w:right w:w="144" w:type="dxa"/>
            </w:tcMar>
            <w:vAlign w:val="center"/>
            <w:hideMark/>
          </w:tcPr>
          <w:p w14:paraId="7441132F" w14:textId="77777777" w:rsidR="003D6E92" w:rsidRPr="005C759A" w:rsidRDefault="003D6E92" w:rsidP="00A85D66">
            <w:pPr>
              <w:jc w:val="center"/>
              <w:rPr>
                <w:rFonts w:asciiTheme="majorHAnsi" w:hAnsiTheme="majorHAnsi"/>
              </w:rPr>
            </w:pPr>
            <w:r w:rsidRPr="005C759A">
              <w:rPr>
                <w:rFonts w:asciiTheme="majorHAnsi" w:hAnsiTheme="majorHAnsi"/>
              </w:rPr>
              <w:t>1416± 79</w:t>
            </w:r>
          </w:p>
        </w:tc>
        <w:tc>
          <w:tcPr>
            <w:tcW w:w="1600" w:type="dxa"/>
            <w:shd w:val="clear" w:color="auto" w:fill="auto"/>
            <w:tcMar>
              <w:top w:w="72" w:type="dxa"/>
              <w:left w:w="144" w:type="dxa"/>
              <w:bottom w:w="72" w:type="dxa"/>
              <w:right w:w="144" w:type="dxa"/>
            </w:tcMar>
            <w:vAlign w:val="center"/>
            <w:hideMark/>
          </w:tcPr>
          <w:p w14:paraId="7F89F38C" w14:textId="77777777" w:rsidR="003D6E92" w:rsidRPr="005C759A" w:rsidRDefault="003D6E92" w:rsidP="00A85D66">
            <w:pPr>
              <w:jc w:val="center"/>
              <w:rPr>
                <w:rFonts w:asciiTheme="majorHAnsi" w:hAnsiTheme="majorHAnsi"/>
              </w:rPr>
            </w:pPr>
            <w:r w:rsidRPr="005C759A">
              <w:rPr>
                <w:rFonts w:asciiTheme="majorHAnsi" w:hAnsiTheme="majorHAnsi"/>
                <w:bCs/>
              </w:rPr>
              <w:t>1738±23</w:t>
            </w:r>
          </w:p>
        </w:tc>
        <w:tc>
          <w:tcPr>
            <w:tcW w:w="1760" w:type="dxa"/>
            <w:shd w:val="clear" w:color="auto" w:fill="auto"/>
            <w:vAlign w:val="center"/>
          </w:tcPr>
          <w:p w14:paraId="6A513D44" w14:textId="77777777" w:rsidR="003D6E92" w:rsidRPr="005C759A" w:rsidRDefault="003D6E92" w:rsidP="00A85D66">
            <w:pPr>
              <w:jc w:val="center"/>
              <w:rPr>
                <w:rFonts w:asciiTheme="majorHAnsi" w:hAnsiTheme="majorHAnsi"/>
              </w:rPr>
            </w:pPr>
            <w:r w:rsidRPr="005C759A">
              <w:rPr>
                <w:rFonts w:asciiTheme="majorHAnsi" w:hAnsiTheme="majorHAnsi"/>
                <w:bCs/>
              </w:rPr>
              <w:t>1546±21</w:t>
            </w:r>
          </w:p>
        </w:tc>
        <w:tc>
          <w:tcPr>
            <w:tcW w:w="1760" w:type="dxa"/>
            <w:shd w:val="clear" w:color="auto" w:fill="auto"/>
            <w:vAlign w:val="center"/>
          </w:tcPr>
          <w:p w14:paraId="49A839D6" w14:textId="77777777" w:rsidR="003D6E92" w:rsidRPr="005C759A" w:rsidRDefault="003D6E92" w:rsidP="00A85D66">
            <w:pPr>
              <w:jc w:val="center"/>
              <w:rPr>
                <w:rFonts w:asciiTheme="majorHAnsi" w:hAnsiTheme="majorHAnsi"/>
              </w:rPr>
            </w:pPr>
            <w:r w:rsidRPr="005C759A">
              <w:rPr>
                <w:rFonts w:asciiTheme="majorHAnsi" w:hAnsiTheme="majorHAnsi"/>
              </w:rPr>
              <w:t>1554±96</w:t>
            </w:r>
          </w:p>
        </w:tc>
      </w:tr>
      <w:tr w:rsidR="003D6E92" w:rsidRPr="004D5BED" w14:paraId="76490A59" w14:textId="77777777" w:rsidTr="00A85D66">
        <w:trPr>
          <w:trHeight w:val="197"/>
        </w:trPr>
        <w:tc>
          <w:tcPr>
            <w:tcW w:w="2480" w:type="dxa"/>
            <w:shd w:val="clear" w:color="auto" w:fill="auto"/>
            <w:tcMar>
              <w:top w:w="72" w:type="dxa"/>
              <w:left w:w="144" w:type="dxa"/>
              <w:bottom w:w="72" w:type="dxa"/>
              <w:right w:w="144" w:type="dxa"/>
            </w:tcMar>
            <w:vAlign w:val="center"/>
            <w:hideMark/>
          </w:tcPr>
          <w:p w14:paraId="33C262D4" w14:textId="77777777" w:rsidR="003D6E92" w:rsidRPr="005C759A" w:rsidRDefault="003D6E92" w:rsidP="00A85D66">
            <w:pPr>
              <w:jc w:val="center"/>
              <w:rPr>
                <w:rFonts w:asciiTheme="majorHAnsi" w:hAnsiTheme="majorHAnsi"/>
                <w:b/>
              </w:rPr>
            </w:pPr>
            <w:r w:rsidRPr="005C759A">
              <w:rPr>
                <w:rFonts w:asciiTheme="majorHAnsi" w:hAnsiTheme="majorHAnsi"/>
                <w:b/>
              </w:rPr>
              <w:t>T</w:t>
            </w:r>
            <w:r w:rsidRPr="005C759A">
              <w:rPr>
                <w:rFonts w:asciiTheme="majorHAnsi" w:hAnsiTheme="majorHAnsi"/>
                <w:b/>
                <w:vertAlign w:val="subscript"/>
              </w:rPr>
              <w:t xml:space="preserve">1 </w:t>
            </w:r>
            <w:r w:rsidRPr="005C759A">
              <w:rPr>
                <w:rFonts w:asciiTheme="majorHAnsi" w:hAnsiTheme="majorHAnsi"/>
                <w:b/>
              </w:rPr>
              <w:t>Medulla (</w:t>
            </w:r>
            <w:proofErr w:type="spellStart"/>
            <w:r w:rsidRPr="005C759A">
              <w:rPr>
                <w:rFonts w:asciiTheme="majorHAnsi" w:hAnsiTheme="majorHAnsi"/>
                <w:b/>
              </w:rPr>
              <w:t>ms</w:t>
            </w:r>
            <w:proofErr w:type="spellEnd"/>
            <w:r w:rsidRPr="005C759A">
              <w:rPr>
                <w:rFonts w:asciiTheme="majorHAnsi" w:hAnsiTheme="majorHAnsi"/>
                <w:b/>
              </w:rPr>
              <w:t>)</w:t>
            </w:r>
          </w:p>
        </w:tc>
        <w:tc>
          <w:tcPr>
            <w:tcW w:w="1540" w:type="dxa"/>
            <w:shd w:val="clear" w:color="auto" w:fill="auto"/>
            <w:tcMar>
              <w:top w:w="72" w:type="dxa"/>
              <w:left w:w="144" w:type="dxa"/>
              <w:bottom w:w="72" w:type="dxa"/>
              <w:right w:w="144" w:type="dxa"/>
            </w:tcMar>
            <w:vAlign w:val="center"/>
            <w:hideMark/>
          </w:tcPr>
          <w:p w14:paraId="43562659" w14:textId="77777777" w:rsidR="003D6E92" w:rsidRPr="005C759A" w:rsidRDefault="003D6E92" w:rsidP="00A85D66">
            <w:pPr>
              <w:jc w:val="center"/>
              <w:rPr>
                <w:rFonts w:asciiTheme="majorHAnsi" w:hAnsiTheme="majorHAnsi"/>
              </w:rPr>
            </w:pPr>
            <w:r w:rsidRPr="005C759A">
              <w:rPr>
                <w:rFonts w:asciiTheme="majorHAnsi" w:hAnsiTheme="majorHAnsi"/>
              </w:rPr>
              <w:t>1690±86</w:t>
            </w:r>
          </w:p>
        </w:tc>
        <w:tc>
          <w:tcPr>
            <w:tcW w:w="1600" w:type="dxa"/>
            <w:shd w:val="clear" w:color="auto" w:fill="auto"/>
            <w:tcMar>
              <w:top w:w="72" w:type="dxa"/>
              <w:left w:w="144" w:type="dxa"/>
              <w:bottom w:w="72" w:type="dxa"/>
              <w:right w:w="144" w:type="dxa"/>
            </w:tcMar>
            <w:vAlign w:val="center"/>
            <w:hideMark/>
          </w:tcPr>
          <w:p w14:paraId="5B09FB2C" w14:textId="77777777" w:rsidR="003D6E92" w:rsidRPr="005C759A" w:rsidRDefault="003D6E92" w:rsidP="00A85D66">
            <w:pPr>
              <w:jc w:val="center"/>
              <w:rPr>
                <w:rFonts w:asciiTheme="majorHAnsi" w:hAnsiTheme="majorHAnsi"/>
              </w:rPr>
            </w:pPr>
            <w:r w:rsidRPr="005C759A">
              <w:rPr>
                <w:rFonts w:asciiTheme="majorHAnsi" w:hAnsiTheme="majorHAnsi"/>
              </w:rPr>
              <w:t>2043±78</w:t>
            </w:r>
          </w:p>
        </w:tc>
        <w:tc>
          <w:tcPr>
            <w:tcW w:w="1760" w:type="dxa"/>
            <w:shd w:val="clear" w:color="auto" w:fill="auto"/>
            <w:vAlign w:val="center"/>
          </w:tcPr>
          <w:p w14:paraId="28F5B4D5" w14:textId="77777777" w:rsidR="003D6E92" w:rsidRPr="005C759A" w:rsidRDefault="003D6E92" w:rsidP="00A85D66">
            <w:pPr>
              <w:jc w:val="center"/>
              <w:rPr>
                <w:rFonts w:asciiTheme="majorHAnsi" w:hAnsiTheme="majorHAnsi"/>
              </w:rPr>
            </w:pPr>
            <w:r w:rsidRPr="005C759A">
              <w:rPr>
                <w:rFonts w:asciiTheme="majorHAnsi" w:hAnsiTheme="majorHAnsi"/>
              </w:rPr>
              <w:t>1919±83</w:t>
            </w:r>
          </w:p>
        </w:tc>
        <w:tc>
          <w:tcPr>
            <w:tcW w:w="1760" w:type="dxa"/>
            <w:shd w:val="clear" w:color="auto" w:fill="auto"/>
            <w:vAlign w:val="center"/>
          </w:tcPr>
          <w:p w14:paraId="75270DCB" w14:textId="77777777" w:rsidR="003D6E92" w:rsidRPr="005C759A" w:rsidRDefault="003D6E92" w:rsidP="00A85D66">
            <w:pPr>
              <w:jc w:val="center"/>
              <w:rPr>
                <w:rFonts w:asciiTheme="majorHAnsi" w:hAnsiTheme="majorHAnsi"/>
              </w:rPr>
            </w:pPr>
            <w:r w:rsidRPr="005C759A">
              <w:rPr>
                <w:rFonts w:asciiTheme="majorHAnsi" w:hAnsiTheme="majorHAnsi"/>
              </w:rPr>
              <w:t>1738±74</w:t>
            </w:r>
          </w:p>
        </w:tc>
      </w:tr>
    </w:tbl>
    <w:p w14:paraId="3D2180EA" w14:textId="77777777" w:rsidR="00BD7DDA" w:rsidRPr="00A6685D" w:rsidRDefault="00BD7DDA" w:rsidP="00984218">
      <w:pPr>
        <w:spacing w:line="276" w:lineRule="auto"/>
        <w:jc w:val="both"/>
        <w:rPr>
          <w:rFonts w:asciiTheme="majorHAnsi" w:hAnsiTheme="majorHAnsi" w:cs="Arial"/>
          <w:bCs/>
          <w:noProof/>
          <w:szCs w:val="20"/>
        </w:rPr>
      </w:pPr>
    </w:p>
    <w:p w14:paraId="495B6214" w14:textId="4585278E" w:rsidR="0055730C" w:rsidRPr="00BA5309" w:rsidRDefault="009D0967" w:rsidP="00BA5309">
      <w:pPr>
        <w:spacing w:line="276" w:lineRule="auto"/>
        <w:jc w:val="both"/>
        <w:rPr>
          <w:rFonts w:asciiTheme="majorHAnsi" w:hAnsiTheme="majorHAnsi" w:cs="Arial"/>
          <w:bCs/>
          <w:noProof/>
          <w:szCs w:val="20"/>
        </w:rPr>
      </w:pPr>
      <w:r>
        <w:rPr>
          <w:rFonts w:asciiTheme="majorHAnsi" w:hAnsiTheme="majorHAnsi" w:cs="Arial"/>
          <w:szCs w:val="20"/>
        </w:rPr>
        <w:t>T</w:t>
      </w:r>
      <w:r w:rsidR="00EE114F">
        <w:rPr>
          <w:rFonts w:asciiTheme="majorHAnsi" w:hAnsiTheme="majorHAnsi" w:cs="Arial"/>
          <w:szCs w:val="20"/>
        </w:rPr>
        <w:t xml:space="preserve">here were differences between AKI and CKD </w:t>
      </w:r>
      <w:r w:rsidR="00347841">
        <w:rPr>
          <w:rFonts w:asciiTheme="majorHAnsi" w:hAnsiTheme="majorHAnsi" w:cs="Arial"/>
          <w:szCs w:val="20"/>
        </w:rPr>
        <w:t xml:space="preserve">patients </w:t>
      </w:r>
      <w:r w:rsidR="00EE114F">
        <w:rPr>
          <w:rFonts w:asciiTheme="majorHAnsi" w:hAnsiTheme="majorHAnsi" w:cs="Arial"/>
          <w:szCs w:val="20"/>
        </w:rPr>
        <w:t xml:space="preserve">in </w:t>
      </w:r>
      <w:r w:rsidR="00347841">
        <w:rPr>
          <w:rFonts w:asciiTheme="majorHAnsi" w:hAnsiTheme="majorHAnsi" w:cs="Arial"/>
          <w:szCs w:val="20"/>
        </w:rPr>
        <w:t>the</w:t>
      </w:r>
      <w:r w:rsidR="00EE114F">
        <w:rPr>
          <w:rFonts w:asciiTheme="majorHAnsi" w:hAnsiTheme="majorHAnsi" w:cs="Arial"/>
          <w:szCs w:val="20"/>
        </w:rPr>
        <w:t xml:space="preserve"> correlation</w:t>
      </w:r>
      <w:r w:rsidR="00347841">
        <w:rPr>
          <w:rFonts w:asciiTheme="majorHAnsi" w:hAnsiTheme="majorHAnsi" w:cs="Arial"/>
          <w:szCs w:val="20"/>
        </w:rPr>
        <w:t xml:space="preserve"> of T1 values</w:t>
      </w:r>
      <w:r w:rsidR="00EE114F">
        <w:rPr>
          <w:rFonts w:asciiTheme="majorHAnsi" w:hAnsiTheme="majorHAnsi" w:cs="Arial"/>
          <w:szCs w:val="20"/>
        </w:rPr>
        <w:t xml:space="preserve"> </w:t>
      </w:r>
      <w:r w:rsidR="00347841">
        <w:rPr>
          <w:rFonts w:asciiTheme="majorHAnsi" w:hAnsiTheme="majorHAnsi" w:cs="Arial"/>
          <w:szCs w:val="20"/>
        </w:rPr>
        <w:t xml:space="preserve">and </w:t>
      </w:r>
      <w:r w:rsidR="003D6E92">
        <w:rPr>
          <w:rFonts w:asciiTheme="majorHAnsi" w:hAnsiTheme="majorHAnsi" w:cs="Arial"/>
          <w:szCs w:val="20"/>
        </w:rPr>
        <w:t>biochemistry and histology</w:t>
      </w:r>
      <w:r w:rsidR="008F6E41">
        <w:rPr>
          <w:rFonts w:asciiTheme="majorHAnsi" w:hAnsiTheme="majorHAnsi" w:cs="Arial"/>
          <w:szCs w:val="20"/>
        </w:rPr>
        <w:t xml:space="preserve"> variables.</w:t>
      </w:r>
      <w:r w:rsidR="00BA5309">
        <w:rPr>
          <w:rFonts w:asciiTheme="majorHAnsi" w:hAnsiTheme="majorHAnsi" w:cs="Arial"/>
          <w:szCs w:val="20"/>
        </w:rPr>
        <w:t xml:space="preserve"> </w:t>
      </w:r>
      <w:r w:rsidR="00347841">
        <w:rPr>
          <w:rFonts w:asciiTheme="majorHAnsi" w:hAnsiTheme="majorHAnsi" w:cs="Arial"/>
          <w:bCs/>
          <w:noProof/>
          <w:szCs w:val="20"/>
        </w:rPr>
        <w:t>I</w:t>
      </w:r>
      <w:r w:rsidR="003D6E92">
        <w:rPr>
          <w:rFonts w:asciiTheme="majorHAnsi" w:hAnsiTheme="majorHAnsi" w:cs="Arial"/>
          <w:bCs/>
          <w:noProof/>
          <w:szCs w:val="20"/>
        </w:rPr>
        <w:t>n AKI</w:t>
      </w:r>
      <w:r w:rsidR="00347841">
        <w:rPr>
          <w:rFonts w:asciiTheme="majorHAnsi" w:hAnsiTheme="majorHAnsi" w:cs="Arial"/>
          <w:bCs/>
          <w:noProof/>
          <w:szCs w:val="20"/>
        </w:rPr>
        <w:t xml:space="preserve"> patients,</w:t>
      </w:r>
      <w:r w:rsidR="003D6E92">
        <w:rPr>
          <w:rFonts w:asciiTheme="majorHAnsi" w:hAnsiTheme="majorHAnsi" w:cs="Arial"/>
          <w:bCs/>
          <w:noProof/>
          <w:szCs w:val="20"/>
        </w:rPr>
        <w:t xml:space="preserve"> </w:t>
      </w:r>
      <w:r w:rsidR="00A970D6">
        <w:rPr>
          <w:rFonts w:asciiTheme="majorHAnsi" w:hAnsiTheme="majorHAnsi" w:cs="Arial"/>
          <w:bCs/>
          <w:noProof/>
          <w:szCs w:val="20"/>
        </w:rPr>
        <w:t xml:space="preserve">higher </w:t>
      </w:r>
      <w:r w:rsidR="003D6E92" w:rsidRPr="00A6685D">
        <w:rPr>
          <w:rFonts w:asciiTheme="majorHAnsi" w:hAnsiTheme="majorHAnsi" w:cs="Arial"/>
          <w:bCs/>
          <w:noProof/>
          <w:szCs w:val="20"/>
        </w:rPr>
        <w:t>T</w:t>
      </w:r>
      <w:r w:rsidR="003D6E92" w:rsidRPr="00A6685D">
        <w:rPr>
          <w:rFonts w:asciiTheme="majorHAnsi" w:hAnsiTheme="majorHAnsi" w:cs="Arial"/>
          <w:bCs/>
          <w:noProof/>
          <w:szCs w:val="20"/>
          <w:vertAlign w:val="subscript"/>
        </w:rPr>
        <w:t>1</w:t>
      </w:r>
      <w:r w:rsidR="003D6E92" w:rsidRPr="00A6685D">
        <w:rPr>
          <w:rFonts w:asciiTheme="majorHAnsi" w:hAnsiTheme="majorHAnsi" w:cs="Arial"/>
          <w:bCs/>
          <w:noProof/>
          <w:szCs w:val="20"/>
        </w:rPr>
        <w:t xml:space="preserve"> </w:t>
      </w:r>
      <w:r w:rsidR="003D6E92">
        <w:rPr>
          <w:rFonts w:asciiTheme="majorHAnsi" w:hAnsiTheme="majorHAnsi" w:cs="Arial"/>
          <w:bCs/>
          <w:noProof/>
          <w:szCs w:val="20"/>
        </w:rPr>
        <w:t xml:space="preserve">values </w:t>
      </w:r>
      <w:r w:rsidR="00EE114F">
        <w:rPr>
          <w:rFonts w:asciiTheme="majorHAnsi" w:hAnsiTheme="majorHAnsi" w:cs="Arial"/>
          <w:bCs/>
          <w:noProof/>
          <w:szCs w:val="20"/>
        </w:rPr>
        <w:t xml:space="preserve">in the medulla </w:t>
      </w:r>
      <w:r w:rsidR="003D6E92">
        <w:rPr>
          <w:rFonts w:asciiTheme="majorHAnsi" w:hAnsiTheme="majorHAnsi" w:cs="Arial"/>
          <w:bCs/>
          <w:noProof/>
          <w:szCs w:val="20"/>
        </w:rPr>
        <w:t>correlate</w:t>
      </w:r>
      <w:r w:rsidR="008F6E41">
        <w:rPr>
          <w:rFonts w:asciiTheme="majorHAnsi" w:hAnsiTheme="majorHAnsi" w:cs="Arial"/>
          <w:bCs/>
          <w:noProof/>
          <w:szCs w:val="20"/>
        </w:rPr>
        <w:t>d</w:t>
      </w:r>
      <w:r w:rsidR="003D6E92">
        <w:rPr>
          <w:rFonts w:asciiTheme="majorHAnsi" w:hAnsiTheme="majorHAnsi" w:cs="Arial"/>
          <w:bCs/>
          <w:noProof/>
          <w:szCs w:val="20"/>
        </w:rPr>
        <w:t xml:space="preserve"> with </w:t>
      </w:r>
      <w:r w:rsidR="00A970D6">
        <w:rPr>
          <w:rFonts w:asciiTheme="majorHAnsi" w:hAnsiTheme="majorHAnsi" w:cs="Arial"/>
          <w:bCs/>
          <w:noProof/>
          <w:szCs w:val="20"/>
        </w:rPr>
        <w:t>larger</w:t>
      </w:r>
      <w:r w:rsidR="003D6E92">
        <w:rPr>
          <w:rFonts w:asciiTheme="majorHAnsi" w:hAnsiTheme="majorHAnsi" w:cs="Arial"/>
          <w:bCs/>
          <w:noProof/>
          <w:szCs w:val="20"/>
        </w:rPr>
        <w:t xml:space="preserve"> change</w:t>
      </w:r>
      <w:r w:rsidR="00A970D6">
        <w:rPr>
          <w:rFonts w:asciiTheme="majorHAnsi" w:hAnsiTheme="majorHAnsi" w:cs="Arial"/>
          <w:bCs/>
          <w:noProof/>
          <w:szCs w:val="20"/>
        </w:rPr>
        <w:t>s</w:t>
      </w:r>
      <w:r w:rsidR="003D6E92">
        <w:rPr>
          <w:rFonts w:asciiTheme="majorHAnsi" w:hAnsiTheme="majorHAnsi" w:cs="Arial"/>
          <w:bCs/>
          <w:noProof/>
          <w:szCs w:val="20"/>
        </w:rPr>
        <w:t xml:space="preserve"> in serum creatinine between </w:t>
      </w:r>
      <w:r w:rsidR="00050D19" w:rsidRPr="00A6685D">
        <w:rPr>
          <w:rFonts w:asciiTheme="majorHAnsi" w:hAnsiTheme="majorHAnsi" w:cs="Arial"/>
          <w:bCs/>
          <w:noProof/>
          <w:szCs w:val="20"/>
        </w:rPr>
        <w:t xml:space="preserve">peak inpatient value to </w:t>
      </w:r>
      <w:r w:rsidR="00D6071E" w:rsidRPr="00A6685D">
        <w:rPr>
          <w:rFonts w:asciiTheme="majorHAnsi" w:hAnsiTheme="majorHAnsi" w:cs="Arial"/>
          <w:bCs/>
          <w:noProof/>
          <w:szCs w:val="20"/>
        </w:rPr>
        <w:t xml:space="preserve"> </w:t>
      </w:r>
      <w:r w:rsidR="00050D19" w:rsidRPr="00A6685D">
        <w:rPr>
          <w:rFonts w:asciiTheme="majorHAnsi" w:hAnsiTheme="majorHAnsi" w:cs="Arial"/>
          <w:bCs/>
          <w:noProof/>
          <w:szCs w:val="20"/>
        </w:rPr>
        <w:t xml:space="preserve">creatinine </w:t>
      </w:r>
      <w:r w:rsidR="00A970D6">
        <w:rPr>
          <w:rFonts w:asciiTheme="majorHAnsi" w:hAnsiTheme="majorHAnsi" w:cs="Arial"/>
          <w:bCs/>
          <w:noProof/>
          <w:szCs w:val="20"/>
        </w:rPr>
        <w:t>at the first AKI scan</w:t>
      </w:r>
      <w:r w:rsidR="00050D19" w:rsidRPr="00A6685D">
        <w:rPr>
          <w:rFonts w:asciiTheme="majorHAnsi" w:hAnsiTheme="majorHAnsi" w:cs="Arial"/>
          <w:bCs/>
          <w:noProof/>
          <w:szCs w:val="20"/>
        </w:rPr>
        <w:t xml:space="preserve"> (r = 0.71, p = 0.05</w:t>
      </w:r>
      <w:r w:rsidR="003D6E92">
        <w:rPr>
          <w:rFonts w:asciiTheme="majorHAnsi" w:hAnsiTheme="majorHAnsi" w:cs="Arial"/>
          <w:bCs/>
          <w:noProof/>
          <w:szCs w:val="20"/>
        </w:rPr>
        <w:t>)</w:t>
      </w:r>
      <w:r w:rsidR="00347841">
        <w:rPr>
          <w:rFonts w:asciiTheme="majorHAnsi" w:hAnsiTheme="majorHAnsi" w:cs="Arial"/>
          <w:bCs/>
          <w:noProof/>
          <w:szCs w:val="20"/>
        </w:rPr>
        <w:t xml:space="preserve">, and </w:t>
      </w:r>
      <w:r w:rsidR="00050D19" w:rsidRPr="00A6685D">
        <w:rPr>
          <w:rFonts w:asciiTheme="majorHAnsi" w:hAnsiTheme="majorHAnsi" w:cs="Arial"/>
          <w:bCs/>
          <w:noProof/>
          <w:szCs w:val="20"/>
        </w:rPr>
        <w:t>between first scan and second scan (r=0.844, p=0.02).</w:t>
      </w:r>
      <w:r w:rsidR="00A71670">
        <w:rPr>
          <w:rFonts w:asciiTheme="majorHAnsi" w:hAnsiTheme="majorHAnsi" w:cs="Arial"/>
          <w:bCs/>
          <w:noProof/>
          <w:szCs w:val="20"/>
        </w:rPr>
        <w:t xml:space="preserve"> This </w:t>
      </w:r>
      <w:r w:rsidR="008F6E41">
        <w:rPr>
          <w:rFonts w:asciiTheme="majorHAnsi" w:hAnsiTheme="majorHAnsi" w:cs="Arial"/>
          <w:bCs/>
          <w:noProof/>
          <w:szCs w:val="20"/>
        </w:rPr>
        <w:t xml:space="preserve">pattern of high </w:t>
      </w:r>
      <w:r w:rsidR="00A71670" w:rsidRPr="00A6685D">
        <w:rPr>
          <w:rFonts w:asciiTheme="majorHAnsi" w:hAnsiTheme="majorHAnsi" w:cs="Arial"/>
          <w:bCs/>
          <w:noProof/>
          <w:szCs w:val="20"/>
        </w:rPr>
        <w:t>medullary T</w:t>
      </w:r>
      <w:r w:rsidR="00A71670" w:rsidRPr="00A6685D">
        <w:rPr>
          <w:rFonts w:asciiTheme="majorHAnsi" w:hAnsiTheme="majorHAnsi" w:cs="Arial"/>
          <w:bCs/>
          <w:noProof/>
          <w:szCs w:val="20"/>
          <w:vertAlign w:val="subscript"/>
        </w:rPr>
        <w:t>1</w:t>
      </w:r>
      <w:r w:rsidR="00A71670" w:rsidRPr="00A6685D">
        <w:rPr>
          <w:rFonts w:asciiTheme="majorHAnsi" w:hAnsiTheme="majorHAnsi" w:cs="Arial"/>
          <w:bCs/>
          <w:noProof/>
          <w:szCs w:val="20"/>
        </w:rPr>
        <w:t xml:space="preserve"> </w:t>
      </w:r>
      <w:r w:rsidR="008F6E41">
        <w:rPr>
          <w:rFonts w:asciiTheme="majorHAnsi" w:hAnsiTheme="majorHAnsi" w:cs="Arial"/>
          <w:bCs/>
          <w:noProof/>
          <w:szCs w:val="20"/>
        </w:rPr>
        <w:t xml:space="preserve">values </w:t>
      </w:r>
      <w:r w:rsidR="00BA5309">
        <w:rPr>
          <w:rFonts w:asciiTheme="majorHAnsi" w:hAnsiTheme="majorHAnsi" w:cs="Arial"/>
          <w:bCs/>
          <w:noProof/>
          <w:szCs w:val="20"/>
        </w:rPr>
        <w:t>was not seen in CKD</w:t>
      </w:r>
      <w:r w:rsidR="00EE114F">
        <w:rPr>
          <w:rFonts w:asciiTheme="majorHAnsi" w:hAnsiTheme="majorHAnsi" w:cs="Arial"/>
          <w:bCs/>
          <w:noProof/>
          <w:szCs w:val="20"/>
        </w:rPr>
        <w:t xml:space="preserve">, </w:t>
      </w:r>
      <w:r w:rsidR="006C6A57">
        <w:rPr>
          <w:rFonts w:asciiTheme="majorHAnsi" w:hAnsiTheme="majorHAnsi" w:cs="Arial"/>
          <w:bCs/>
          <w:noProof/>
          <w:szCs w:val="20"/>
        </w:rPr>
        <w:t xml:space="preserve">instead </w:t>
      </w:r>
      <w:r w:rsidR="00EE114F">
        <w:rPr>
          <w:rFonts w:asciiTheme="majorHAnsi" w:hAnsiTheme="majorHAnsi" w:cs="Arial"/>
          <w:bCs/>
          <w:noProof/>
          <w:szCs w:val="20"/>
        </w:rPr>
        <w:t xml:space="preserve">correlations with clinical variables were </w:t>
      </w:r>
      <w:r w:rsidR="006C6A57">
        <w:rPr>
          <w:rFonts w:asciiTheme="majorHAnsi" w:hAnsiTheme="majorHAnsi" w:cs="Arial"/>
          <w:bCs/>
          <w:noProof/>
          <w:szCs w:val="20"/>
        </w:rPr>
        <w:t xml:space="preserve">observed </w:t>
      </w:r>
      <w:r w:rsidR="00EE114F">
        <w:rPr>
          <w:rFonts w:asciiTheme="majorHAnsi" w:hAnsiTheme="majorHAnsi" w:cs="Arial"/>
          <w:bCs/>
          <w:noProof/>
          <w:szCs w:val="20"/>
        </w:rPr>
        <w:t xml:space="preserve">with </w:t>
      </w:r>
      <w:r w:rsidR="006C6A57" w:rsidRPr="00A6685D">
        <w:rPr>
          <w:rFonts w:asciiTheme="majorHAnsi" w:hAnsiTheme="majorHAnsi" w:cs="Arial"/>
          <w:bCs/>
          <w:noProof/>
          <w:szCs w:val="20"/>
        </w:rPr>
        <w:t>T</w:t>
      </w:r>
      <w:r w:rsidR="006C6A57" w:rsidRPr="00A6685D">
        <w:rPr>
          <w:rFonts w:asciiTheme="majorHAnsi" w:hAnsiTheme="majorHAnsi" w:cs="Arial"/>
          <w:bCs/>
          <w:noProof/>
          <w:szCs w:val="20"/>
          <w:vertAlign w:val="subscript"/>
        </w:rPr>
        <w:t>1</w:t>
      </w:r>
      <w:r w:rsidR="006C6A57">
        <w:rPr>
          <w:rFonts w:asciiTheme="majorHAnsi" w:hAnsiTheme="majorHAnsi" w:cs="Arial"/>
          <w:bCs/>
          <w:noProof/>
          <w:szCs w:val="20"/>
          <w:vertAlign w:val="subscript"/>
        </w:rPr>
        <w:t xml:space="preserve"> </w:t>
      </w:r>
      <w:r w:rsidR="00EE114F">
        <w:rPr>
          <w:rFonts w:asciiTheme="majorHAnsi" w:hAnsiTheme="majorHAnsi" w:cs="Arial"/>
          <w:bCs/>
          <w:noProof/>
          <w:szCs w:val="20"/>
        </w:rPr>
        <w:t xml:space="preserve">measurements in the cortex: </w:t>
      </w:r>
      <w:r w:rsidR="00BA5309">
        <w:rPr>
          <w:rFonts w:asciiTheme="majorHAnsi" w:hAnsiTheme="majorHAnsi" w:cs="Arial"/>
          <w:bCs/>
          <w:noProof/>
          <w:szCs w:val="20"/>
        </w:rPr>
        <w:t>c</w:t>
      </w:r>
      <w:r w:rsidR="00A71670">
        <w:rPr>
          <w:rFonts w:asciiTheme="majorHAnsi" w:hAnsiTheme="majorHAnsi" w:cs="Arial"/>
          <w:bCs/>
          <w:noProof/>
          <w:szCs w:val="20"/>
        </w:rPr>
        <w:t>ortical</w:t>
      </w:r>
      <w:r w:rsidR="00A71670" w:rsidRPr="00A6685D">
        <w:rPr>
          <w:rFonts w:asciiTheme="majorHAnsi" w:hAnsiTheme="majorHAnsi" w:cs="Arial"/>
          <w:bCs/>
          <w:noProof/>
          <w:szCs w:val="20"/>
        </w:rPr>
        <w:t xml:space="preserve"> T</w:t>
      </w:r>
      <w:r w:rsidR="00A71670" w:rsidRPr="00A6685D">
        <w:rPr>
          <w:rFonts w:asciiTheme="majorHAnsi" w:hAnsiTheme="majorHAnsi" w:cs="Arial"/>
          <w:bCs/>
          <w:noProof/>
          <w:szCs w:val="20"/>
          <w:vertAlign w:val="subscript"/>
        </w:rPr>
        <w:t>1</w:t>
      </w:r>
      <w:r w:rsidR="00A71670" w:rsidRPr="00A6685D">
        <w:rPr>
          <w:rFonts w:asciiTheme="majorHAnsi" w:hAnsiTheme="majorHAnsi" w:cs="Arial"/>
          <w:bCs/>
          <w:noProof/>
          <w:szCs w:val="20"/>
        </w:rPr>
        <w:t xml:space="preserve"> </w:t>
      </w:r>
      <w:r w:rsidR="00BA5309">
        <w:rPr>
          <w:rFonts w:asciiTheme="majorHAnsi" w:eastAsia="SimSun" w:hAnsiTheme="majorHAnsi" w:cs="Arial"/>
          <w:szCs w:val="20"/>
          <w:lang w:eastAsia="zh-CN"/>
        </w:rPr>
        <w:t>correlate</w:t>
      </w:r>
      <w:r w:rsidR="00A970D6">
        <w:rPr>
          <w:rFonts w:asciiTheme="majorHAnsi" w:eastAsia="SimSun" w:hAnsiTheme="majorHAnsi" w:cs="Arial"/>
          <w:szCs w:val="20"/>
          <w:lang w:eastAsia="zh-CN"/>
        </w:rPr>
        <w:t>d</w:t>
      </w:r>
      <w:r w:rsidR="0055730C" w:rsidRPr="00A6685D">
        <w:rPr>
          <w:rFonts w:asciiTheme="majorHAnsi" w:eastAsia="SimSun" w:hAnsiTheme="majorHAnsi" w:cs="Arial"/>
          <w:szCs w:val="20"/>
          <w:lang w:eastAsia="zh-CN"/>
        </w:rPr>
        <w:t xml:space="preserve"> </w:t>
      </w:r>
      <w:r w:rsidR="008F6E41">
        <w:rPr>
          <w:rFonts w:asciiTheme="majorHAnsi" w:eastAsia="SimSun" w:hAnsiTheme="majorHAnsi" w:cs="Arial"/>
          <w:szCs w:val="20"/>
          <w:lang w:eastAsia="zh-CN"/>
        </w:rPr>
        <w:t xml:space="preserve">negatively </w:t>
      </w:r>
      <w:r w:rsidR="00BA5309">
        <w:rPr>
          <w:rFonts w:asciiTheme="majorHAnsi" w:eastAsia="SimSun" w:hAnsiTheme="majorHAnsi" w:cs="Arial"/>
          <w:szCs w:val="20"/>
          <w:lang w:eastAsia="zh-CN"/>
        </w:rPr>
        <w:t xml:space="preserve">with </w:t>
      </w:r>
      <w:proofErr w:type="spellStart"/>
      <w:r w:rsidR="0055730C" w:rsidRPr="00A6685D">
        <w:rPr>
          <w:rFonts w:asciiTheme="majorHAnsi" w:eastAsia="SimSun" w:hAnsiTheme="majorHAnsi" w:cs="Arial"/>
          <w:szCs w:val="20"/>
          <w:lang w:eastAsia="zh-CN"/>
        </w:rPr>
        <w:t>eGF</w:t>
      </w:r>
      <w:r w:rsidR="00BA5309">
        <w:rPr>
          <w:rFonts w:asciiTheme="majorHAnsi" w:eastAsia="SimSun" w:hAnsiTheme="majorHAnsi" w:cs="Arial"/>
          <w:szCs w:val="20"/>
          <w:lang w:eastAsia="zh-CN"/>
        </w:rPr>
        <w:t>R</w:t>
      </w:r>
      <w:proofErr w:type="spellEnd"/>
      <w:r w:rsidR="00BA5309">
        <w:rPr>
          <w:rFonts w:asciiTheme="majorHAnsi" w:eastAsia="SimSun" w:hAnsiTheme="majorHAnsi" w:cs="Arial"/>
          <w:szCs w:val="20"/>
          <w:lang w:eastAsia="zh-CN"/>
        </w:rPr>
        <w:t xml:space="preserve"> (r=-0.6, p=0.002) and positively with </w:t>
      </w:r>
      <w:r w:rsidR="0055730C" w:rsidRPr="00A6685D">
        <w:rPr>
          <w:rFonts w:asciiTheme="majorHAnsi" w:eastAsia="SimSun" w:hAnsiTheme="majorHAnsi" w:cs="Arial"/>
          <w:szCs w:val="20"/>
          <w:lang w:eastAsia="zh-CN"/>
        </w:rPr>
        <w:t>interstitial fibrosis score (r=-0.52, p=0.02</w:t>
      </w:r>
      <w:r w:rsidR="00A970D6">
        <w:rPr>
          <w:rFonts w:asciiTheme="majorHAnsi" w:eastAsia="SimSun" w:hAnsiTheme="majorHAnsi" w:cs="Arial"/>
          <w:szCs w:val="20"/>
          <w:lang w:eastAsia="zh-CN"/>
        </w:rPr>
        <w:t>)</w:t>
      </w:r>
      <w:r w:rsidR="00EE114F">
        <w:rPr>
          <w:rFonts w:asciiTheme="majorHAnsi" w:eastAsia="SimSun" w:hAnsiTheme="majorHAnsi" w:cs="Arial"/>
          <w:szCs w:val="20"/>
          <w:lang w:eastAsia="zh-CN"/>
        </w:rPr>
        <w:t xml:space="preserve">. </w:t>
      </w:r>
    </w:p>
    <w:p w14:paraId="51CE87A2" w14:textId="77777777" w:rsidR="00C4611A" w:rsidRDefault="00C4611A" w:rsidP="00984218">
      <w:pPr>
        <w:spacing w:line="276" w:lineRule="auto"/>
        <w:jc w:val="both"/>
        <w:rPr>
          <w:rFonts w:asciiTheme="minorHAnsi" w:hAnsiTheme="minorHAnsi" w:cs="Arial"/>
          <w:bCs/>
          <w:noProof/>
          <w:sz w:val="22"/>
        </w:rPr>
      </w:pPr>
    </w:p>
    <w:p w14:paraId="6B6A321D" w14:textId="3B3B2B40" w:rsidR="00984218" w:rsidRPr="00865E3E" w:rsidRDefault="00984218" w:rsidP="006358BD">
      <w:pPr>
        <w:spacing w:line="276" w:lineRule="auto"/>
        <w:jc w:val="both"/>
        <w:rPr>
          <w:rFonts w:asciiTheme="minorHAnsi" w:hAnsiTheme="minorHAnsi" w:cs="Arial"/>
          <w:szCs w:val="20"/>
        </w:rPr>
      </w:pPr>
      <w:r w:rsidRPr="00423F30">
        <w:rPr>
          <w:rFonts w:asciiTheme="minorHAnsi" w:hAnsiTheme="minorHAnsi" w:cs="Arial"/>
          <w:b/>
          <w:sz w:val="22"/>
          <w:u w:val="single"/>
        </w:rPr>
        <w:t>DISCUSSION</w:t>
      </w:r>
      <w:r w:rsidRPr="00423F30">
        <w:rPr>
          <w:rFonts w:asciiTheme="minorHAnsi" w:hAnsiTheme="minorHAnsi" w:cs="Arial"/>
          <w:b/>
          <w:sz w:val="22"/>
        </w:rPr>
        <w:t>:</w:t>
      </w:r>
      <w:r w:rsidRPr="00423F30">
        <w:rPr>
          <w:rFonts w:asciiTheme="minorHAnsi" w:hAnsiTheme="minorHAnsi"/>
          <w:b/>
          <w:sz w:val="22"/>
        </w:rPr>
        <w:t xml:space="preserve"> </w:t>
      </w:r>
      <w:r w:rsidRPr="00A307CC">
        <w:rPr>
          <w:rFonts w:asciiTheme="minorHAnsi" w:hAnsiTheme="minorHAnsi" w:cs="Arial"/>
          <w:szCs w:val="20"/>
        </w:rPr>
        <w:t>T</w:t>
      </w:r>
      <w:r w:rsidR="00C704FD" w:rsidRPr="00A307CC">
        <w:rPr>
          <w:rFonts w:asciiTheme="minorHAnsi" w:hAnsiTheme="minorHAnsi" w:cs="Arial"/>
          <w:szCs w:val="20"/>
        </w:rPr>
        <w:t xml:space="preserve">his comparative study demonstrates that </w:t>
      </w:r>
      <w:r w:rsidR="00586666">
        <w:rPr>
          <w:rFonts w:asciiTheme="majorHAnsi" w:hAnsiTheme="majorHAnsi"/>
          <w:szCs w:val="20"/>
        </w:rPr>
        <w:t>longitudinal relaxation time (T</w:t>
      </w:r>
      <w:r w:rsidR="00586666" w:rsidRPr="00A4712C">
        <w:rPr>
          <w:rFonts w:asciiTheme="majorHAnsi" w:hAnsiTheme="majorHAnsi"/>
          <w:szCs w:val="20"/>
          <w:vertAlign w:val="subscript"/>
        </w:rPr>
        <w:t>1</w:t>
      </w:r>
      <w:r w:rsidR="00586666">
        <w:rPr>
          <w:rFonts w:asciiTheme="majorHAnsi" w:hAnsiTheme="majorHAnsi"/>
          <w:szCs w:val="20"/>
        </w:rPr>
        <w:t xml:space="preserve">) mapping </w:t>
      </w:r>
      <w:r w:rsidR="00C704FD" w:rsidRPr="00A307CC">
        <w:rPr>
          <w:rFonts w:asciiTheme="minorHAnsi" w:hAnsiTheme="minorHAnsi" w:cs="Arial"/>
          <w:szCs w:val="20"/>
        </w:rPr>
        <w:t xml:space="preserve">is able to identify important pathophysiological processes in </w:t>
      </w:r>
      <w:r w:rsidR="002D5446" w:rsidRPr="00A307CC">
        <w:rPr>
          <w:rFonts w:asciiTheme="minorHAnsi" w:hAnsiTheme="minorHAnsi" w:cs="Arial"/>
          <w:szCs w:val="20"/>
        </w:rPr>
        <w:t>AKI and CKD</w:t>
      </w:r>
      <w:r w:rsidR="00580F13">
        <w:rPr>
          <w:rFonts w:asciiTheme="minorHAnsi" w:hAnsiTheme="minorHAnsi" w:cs="Arial"/>
          <w:szCs w:val="20"/>
        </w:rPr>
        <w:t xml:space="preserve">, </w:t>
      </w:r>
      <w:r w:rsidR="00586666">
        <w:rPr>
          <w:rFonts w:asciiTheme="minorHAnsi" w:hAnsiTheme="minorHAnsi" w:cs="Arial"/>
          <w:szCs w:val="20"/>
        </w:rPr>
        <w:t>and</w:t>
      </w:r>
      <w:r w:rsidR="00580F13">
        <w:rPr>
          <w:rFonts w:asciiTheme="minorHAnsi" w:hAnsiTheme="minorHAnsi" w:cs="Arial"/>
          <w:szCs w:val="20"/>
        </w:rPr>
        <w:t xml:space="preserve"> can demonstrate clear differences in </w:t>
      </w:r>
      <w:r w:rsidR="00586666">
        <w:rPr>
          <w:rFonts w:asciiTheme="minorHAnsi" w:hAnsiTheme="minorHAnsi" w:cs="Arial"/>
          <w:szCs w:val="20"/>
        </w:rPr>
        <w:t xml:space="preserve">the </w:t>
      </w:r>
      <w:r w:rsidR="00580F13">
        <w:rPr>
          <w:rFonts w:asciiTheme="minorHAnsi" w:hAnsiTheme="minorHAnsi" w:cs="Arial"/>
          <w:szCs w:val="20"/>
        </w:rPr>
        <w:t xml:space="preserve">pattern </w:t>
      </w:r>
      <w:r w:rsidR="00B52018">
        <w:rPr>
          <w:rFonts w:asciiTheme="minorHAnsi" w:hAnsiTheme="minorHAnsi" w:cs="Arial"/>
          <w:szCs w:val="20"/>
        </w:rPr>
        <w:t xml:space="preserve">the </w:t>
      </w:r>
      <w:r w:rsidR="00580F13">
        <w:rPr>
          <w:rFonts w:asciiTheme="minorHAnsi" w:hAnsiTheme="minorHAnsi" w:cs="Arial"/>
          <w:szCs w:val="20"/>
        </w:rPr>
        <w:t xml:space="preserve">of injury between the two. </w:t>
      </w:r>
      <w:r w:rsidR="00586666">
        <w:rPr>
          <w:rFonts w:asciiTheme="minorHAnsi" w:hAnsiTheme="minorHAnsi" w:cs="Arial"/>
          <w:szCs w:val="20"/>
        </w:rPr>
        <w:t>T</w:t>
      </w:r>
      <w:r w:rsidR="00586666" w:rsidRPr="002C2F39">
        <w:rPr>
          <w:rFonts w:asciiTheme="minorHAnsi" w:hAnsiTheme="minorHAnsi" w:cs="Arial"/>
          <w:szCs w:val="20"/>
          <w:vertAlign w:val="subscript"/>
        </w:rPr>
        <w:t>1</w:t>
      </w:r>
      <w:r w:rsidR="00586666">
        <w:rPr>
          <w:rFonts w:asciiTheme="minorHAnsi" w:hAnsiTheme="minorHAnsi" w:cs="Arial"/>
          <w:szCs w:val="20"/>
        </w:rPr>
        <w:t xml:space="preserve"> </w:t>
      </w:r>
      <w:r w:rsidR="00580F13">
        <w:rPr>
          <w:rFonts w:asciiTheme="minorHAnsi" w:hAnsiTheme="minorHAnsi" w:cs="Arial"/>
          <w:szCs w:val="20"/>
        </w:rPr>
        <w:t>c</w:t>
      </w:r>
      <w:r w:rsidR="00A307CC">
        <w:rPr>
          <w:rFonts w:asciiTheme="minorHAnsi" w:hAnsiTheme="minorHAnsi" w:cs="Arial"/>
          <w:szCs w:val="20"/>
        </w:rPr>
        <w:t xml:space="preserve">hanges were more marked in the medulla of patients with AKI, with increased </w:t>
      </w:r>
      <w:r w:rsidR="00B52018" w:rsidRPr="00A6685D">
        <w:rPr>
          <w:rFonts w:asciiTheme="majorHAnsi" w:hAnsiTheme="majorHAnsi" w:cs="Arial"/>
          <w:bCs/>
          <w:noProof/>
          <w:szCs w:val="20"/>
        </w:rPr>
        <w:t>T</w:t>
      </w:r>
      <w:r w:rsidR="00B52018" w:rsidRPr="00A6685D">
        <w:rPr>
          <w:rFonts w:asciiTheme="majorHAnsi" w:hAnsiTheme="majorHAnsi" w:cs="Arial"/>
          <w:bCs/>
          <w:noProof/>
          <w:szCs w:val="20"/>
          <w:vertAlign w:val="subscript"/>
        </w:rPr>
        <w:t>1</w:t>
      </w:r>
      <w:r w:rsidR="00A307CC">
        <w:rPr>
          <w:rFonts w:asciiTheme="minorHAnsi" w:hAnsiTheme="minorHAnsi" w:cs="Arial"/>
          <w:szCs w:val="20"/>
        </w:rPr>
        <w:t xml:space="preserve"> values suggesting oedema or inflammation at time of AKI. In contrast, cortical changes were more closely correlated with important clinical parameters</w:t>
      </w:r>
      <w:r w:rsidR="00580F13" w:rsidRPr="00580F13">
        <w:rPr>
          <w:rFonts w:asciiTheme="minorHAnsi" w:hAnsiTheme="minorHAnsi" w:cs="Arial"/>
          <w:szCs w:val="20"/>
        </w:rPr>
        <w:t xml:space="preserve"> </w:t>
      </w:r>
      <w:r w:rsidR="00580F13">
        <w:rPr>
          <w:rFonts w:asciiTheme="minorHAnsi" w:hAnsiTheme="minorHAnsi" w:cs="Arial"/>
          <w:szCs w:val="20"/>
        </w:rPr>
        <w:t>in CKD</w:t>
      </w:r>
      <w:r w:rsidR="00A307CC">
        <w:rPr>
          <w:rFonts w:asciiTheme="minorHAnsi" w:hAnsiTheme="minorHAnsi" w:cs="Arial"/>
          <w:szCs w:val="20"/>
        </w:rPr>
        <w:t xml:space="preserve">. </w:t>
      </w:r>
      <w:r w:rsidR="00580F13">
        <w:rPr>
          <w:rFonts w:asciiTheme="minorHAnsi" w:hAnsiTheme="minorHAnsi" w:cs="Arial"/>
          <w:szCs w:val="20"/>
        </w:rPr>
        <w:t xml:space="preserve">Results also suggest that MRI has the potential to inform the transition from AKI to CKD. Incomplete recovery in MRI measures was seen at 90days after AKI, at which time the pattern of abnormalities more closely resembled </w:t>
      </w:r>
      <w:r w:rsidR="00586666">
        <w:rPr>
          <w:rFonts w:asciiTheme="minorHAnsi" w:hAnsiTheme="minorHAnsi" w:cs="Arial"/>
          <w:szCs w:val="20"/>
        </w:rPr>
        <w:t xml:space="preserve">those of CKD </w:t>
      </w:r>
      <w:r w:rsidR="00580F13">
        <w:rPr>
          <w:rFonts w:asciiTheme="minorHAnsi" w:hAnsiTheme="minorHAnsi" w:cs="Arial"/>
          <w:szCs w:val="20"/>
        </w:rPr>
        <w:t xml:space="preserve">patients. </w:t>
      </w:r>
      <w:r w:rsidR="006358BD" w:rsidRPr="00A307CC">
        <w:rPr>
          <w:rFonts w:asciiTheme="minorHAnsi" w:hAnsiTheme="minorHAnsi" w:cs="Arial"/>
          <w:szCs w:val="20"/>
        </w:rPr>
        <w:t>Further long</w:t>
      </w:r>
      <w:r w:rsidR="00586666">
        <w:rPr>
          <w:rFonts w:asciiTheme="minorHAnsi" w:hAnsiTheme="minorHAnsi" w:cs="Arial"/>
          <w:szCs w:val="20"/>
        </w:rPr>
        <w:t xml:space="preserve">itudinal </w:t>
      </w:r>
      <w:r w:rsidR="006358BD" w:rsidRPr="00A307CC">
        <w:rPr>
          <w:rFonts w:asciiTheme="minorHAnsi" w:hAnsiTheme="minorHAnsi" w:cs="Arial"/>
          <w:szCs w:val="20"/>
        </w:rPr>
        <w:t>studies are underway to investigate MRI changes in AKI and CKD</w:t>
      </w:r>
      <w:r w:rsidR="00580F13">
        <w:rPr>
          <w:rFonts w:asciiTheme="minorHAnsi" w:hAnsiTheme="minorHAnsi" w:cs="Arial"/>
          <w:szCs w:val="20"/>
        </w:rPr>
        <w:t xml:space="preserve"> and their clinical utility</w:t>
      </w:r>
      <w:r w:rsidR="006358BD" w:rsidRPr="00A307CC">
        <w:rPr>
          <w:rFonts w:asciiTheme="minorHAnsi" w:hAnsiTheme="minorHAnsi" w:cs="Arial"/>
          <w:szCs w:val="20"/>
        </w:rPr>
        <w:t>.</w:t>
      </w:r>
    </w:p>
    <w:p w14:paraId="64116AC2" w14:textId="77777777" w:rsidR="00984218" w:rsidRDefault="00984218" w:rsidP="00984218">
      <w:pPr>
        <w:jc w:val="both"/>
        <w:rPr>
          <w:rFonts w:asciiTheme="minorHAnsi" w:hAnsiTheme="minorHAnsi" w:cs="Arial"/>
          <w:sz w:val="22"/>
        </w:rPr>
      </w:pPr>
    </w:p>
    <w:sectPr w:rsidR="009842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A52C3"/>
    <w:multiLevelType w:val="hybridMultilevel"/>
    <w:tmpl w:val="95905058"/>
    <w:lvl w:ilvl="0" w:tplc="8F52CBFA">
      <w:start w:val="1"/>
      <w:numFmt w:val="bullet"/>
      <w:lvlText w:val="•"/>
      <w:lvlJc w:val="left"/>
      <w:pPr>
        <w:tabs>
          <w:tab w:val="num" w:pos="720"/>
        </w:tabs>
        <w:ind w:left="720" w:hanging="360"/>
      </w:pPr>
      <w:rPr>
        <w:rFonts w:ascii="Arial" w:hAnsi="Arial" w:hint="default"/>
      </w:rPr>
    </w:lvl>
    <w:lvl w:ilvl="1" w:tplc="BDC49DF8" w:tentative="1">
      <w:start w:val="1"/>
      <w:numFmt w:val="bullet"/>
      <w:lvlText w:val="•"/>
      <w:lvlJc w:val="left"/>
      <w:pPr>
        <w:tabs>
          <w:tab w:val="num" w:pos="1440"/>
        </w:tabs>
        <w:ind w:left="1440" w:hanging="360"/>
      </w:pPr>
      <w:rPr>
        <w:rFonts w:ascii="Arial" w:hAnsi="Arial" w:hint="default"/>
      </w:rPr>
    </w:lvl>
    <w:lvl w:ilvl="2" w:tplc="E0C6D0BA" w:tentative="1">
      <w:start w:val="1"/>
      <w:numFmt w:val="bullet"/>
      <w:lvlText w:val="•"/>
      <w:lvlJc w:val="left"/>
      <w:pPr>
        <w:tabs>
          <w:tab w:val="num" w:pos="2160"/>
        </w:tabs>
        <w:ind w:left="2160" w:hanging="360"/>
      </w:pPr>
      <w:rPr>
        <w:rFonts w:ascii="Arial" w:hAnsi="Arial" w:hint="default"/>
      </w:rPr>
    </w:lvl>
    <w:lvl w:ilvl="3" w:tplc="27961F94" w:tentative="1">
      <w:start w:val="1"/>
      <w:numFmt w:val="bullet"/>
      <w:lvlText w:val="•"/>
      <w:lvlJc w:val="left"/>
      <w:pPr>
        <w:tabs>
          <w:tab w:val="num" w:pos="2880"/>
        </w:tabs>
        <w:ind w:left="2880" w:hanging="360"/>
      </w:pPr>
      <w:rPr>
        <w:rFonts w:ascii="Arial" w:hAnsi="Arial" w:hint="default"/>
      </w:rPr>
    </w:lvl>
    <w:lvl w:ilvl="4" w:tplc="CDC82E18" w:tentative="1">
      <w:start w:val="1"/>
      <w:numFmt w:val="bullet"/>
      <w:lvlText w:val="•"/>
      <w:lvlJc w:val="left"/>
      <w:pPr>
        <w:tabs>
          <w:tab w:val="num" w:pos="3600"/>
        </w:tabs>
        <w:ind w:left="3600" w:hanging="360"/>
      </w:pPr>
      <w:rPr>
        <w:rFonts w:ascii="Arial" w:hAnsi="Arial" w:hint="default"/>
      </w:rPr>
    </w:lvl>
    <w:lvl w:ilvl="5" w:tplc="DDAA6BEA" w:tentative="1">
      <w:start w:val="1"/>
      <w:numFmt w:val="bullet"/>
      <w:lvlText w:val="•"/>
      <w:lvlJc w:val="left"/>
      <w:pPr>
        <w:tabs>
          <w:tab w:val="num" w:pos="4320"/>
        </w:tabs>
        <w:ind w:left="4320" w:hanging="360"/>
      </w:pPr>
      <w:rPr>
        <w:rFonts w:ascii="Arial" w:hAnsi="Arial" w:hint="default"/>
      </w:rPr>
    </w:lvl>
    <w:lvl w:ilvl="6" w:tplc="4CEA39FC" w:tentative="1">
      <w:start w:val="1"/>
      <w:numFmt w:val="bullet"/>
      <w:lvlText w:val="•"/>
      <w:lvlJc w:val="left"/>
      <w:pPr>
        <w:tabs>
          <w:tab w:val="num" w:pos="5040"/>
        </w:tabs>
        <w:ind w:left="5040" w:hanging="360"/>
      </w:pPr>
      <w:rPr>
        <w:rFonts w:ascii="Arial" w:hAnsi="Arial" w:hint="default"/>
      </w:rPr>
    </w:lvl>
    <w:lvl w:ilvl="7" w:tplc="DFBA6A70" w:tentative="1">
      <w:start w:val="1"/>
      <w:numFmt w:val="bullet"/>
      <w:lvlText w:val="•"/>
      <w:lvlJc w:val="left"/>
      <w:pPr>
        <w:tabs>
          <w:tab w:val="num" w:pos="5760"/>
        </w:tabs>
        <w:ind w:left="5760" w:hanging="360"/>
      </w:pPr>
      <w:rPr>
        <w:rFonts w:ascii="Arial" w:hAnsi="Arial" w:hint="default"/>
      </w:rPr>
    </w:lvl>
    <w:lvl w:ilvl="8" w:tplc="BFC20FA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E6E231F"/>
    <w:multiLevelType w:val="hybridMultilevel"/>
    <w:tmpl w:val="425043CA"/>
    <w:lvl w:ilvl="0" w:tplc="0B6815AC">
      <w:start w:val="1"/>
      <w:numFmt w:val="bullet"/>
      <w:lvlText w:val="•"/>
      <w:lvlJc w:val="left"/>
      <w:pPr>
        <w:tabs>
          <w:tab w:val="num" w:pos="720"/>
        </w:tabs>
        <w:ind w:left="720" w:hanging="360"/>
      </w:pPr>
      <w:rPr>
        <w:rFonts w:ascii="Arial" w:hAnsi="Arial" w:hint="default"/>
      </w:rPr>
    </w:lvl>
    <w:lvl w:ilvl="1" w:tplc="C9F68E54" w:tentative="1">
      <w:start w:val="1"/>
      <w:numFmt w:val="bullet"/>
      <w:lvlText w:val="•"/>
      <w:lvlJc w:val="left"/>
      <w:pPr>
        <w:tabs>
          <w:tab w:val="num" w:pos="1440"/>
        </w:tabs>
        <w:ind w:left="1440" w:hanging="360"/>
      </w:pPr>
      <w:rPr>
        <w:rFonts w:ascii="Arial" w:hAnsi="Arial" w:hint="default"/>
      </w:rPr>
    </w:lvl>
    <w:lvl w:ilvl="2" w:tplc="C6F67D60" w:tentative="1">
      <w:start w:val="1"/>
      <w:numFmt w:val="bullet"/>
      <w:lvlText w:val="•"/>
      <w:lvlJc w:val="left"/>
      <w:pPr>
        <w:tabs>
          <w:tab w:val="num" w:pos="2160"/>
        </w:tabs>
        <w:ind w:left="2160" w:hanging="360"/>
      </w:pPr>
      <w:rPr>
        <w:rFonts w:ascii="Arial" w:hAnsi="Arial" w:hint="default"/>
      </w:rPr>
    </w:lvl>
    <w:lvl w:ilvl="3" w:tplc="4660603A" w:tentative="1">
      <w:start w:val="1"/>
      <w:numFmt w:val="bullet"/>
      <w:lvlText w:val="•"/>
      <w:lvlJc w:val="left"/>
      <w:pPr>
        <w:tabs>
          <w:tab w:val="num" w:pos="2880"/>
        </w:tabs>
        <w:ind w:left="2880" w:hanging="360"/>
      </w:pPr>
      <w:rPr>
        <w:rFonts w:ascii="Arial" w:hAnsi="Arial" w:hint="default"/>
      </w:rPr>
    </w:lvl>
    <w:lvl w:ilvl="4" w:tplc="1520B31E" w:tentative="1">
      <w:start w:val="1"/>
      <w:numFmt w:val="bullet"/>
      <w:lvlText w:val="•"/>
      <w:lvlJc w:val="left"/>
      <w:pPr>
        <w:tabs>
          <w:tab w:val="num" w:pos="3600"/>
        </w:tabs>
        <w:ind w:left="3600" w:hanging="360"/>
      </w:pPr>
      <w:rPr>
        <w:rFonts w:ascii="Arial" w:hAnsi="Arial" w:hint="default"/>
      </w:rPr>
    </w:lvl>
    <w:lvl w:ilvl="5" w:tplc="300EF7DE" w:tentative="1">
      <w:start w:val="1"/>
      <w:numFmt w:val="bullet"/>
      <w:lvlText w:val="•"/>
      <w:lvlJc w:val="left"/>
      <w:pPr>
        <w:tabs>
          <w:tab w:val="num" w:pos="4320"/>
        </w:tabs>
        <w:ind w:left="4320" w:hanging="360"/>
      </w:pPr>
      <w:rPr>
        <w:rFonts w:ascii="Arial" w:hAnsi="Arial" w:hint="default"/>
      </w:rPr>
    </w:lvl>
    <w:lvl w:ilvl="6" w:tplc="B66CE304" w:tentative="1">
      <w:start w:val="1"/>
      <w:numFmt w:val="bullet"/>
      <w:lvlText w:val="•"/>
      <w:lvlJc w:val="left"/>
      <w:pPr>
        <w:tabs>
          <w:tab w:val="num" w:pos="5040"/>
        </w:tabs>
        <w:ind w:left="5040" w:hanging="360"/>
      </w:pPr>
      <w:rPr>
        <w:rFonts w:ascii="Arial" w:hAnsi="Arial" w:hint="default"/>
      </w:rPr>
    </w:lvl>
    <w:lvl w:ilvl="7" w:tplc="987AF05C" w:tentative="1">
      <w:start w:val="1"/>
      <w:numFmt w:val="bullet"/>
      <w:lvlText w:val="•"/>
      <w:lvlJc w:val="left"/>
      <w:pPr>
        <w:tabs>
          <w:tab w:val="num" w:pos="5760"/>
        </w:tabs>
        <w:ind w:left="5760" w:hanging="360"/>
      </w:pPr>
      <w:rPr>
        <w:rFonts w:ascii="Arial" w:hAnsi="Arial" w:hint="default"/>
      </w:rPr>
    </w:lvl>
    <w:lvl w:ilvl="8" w:tplc="9ABCB1F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8EF03BF"/>
    <w:multiLevelType w:val="hybridMultilevel"/>
    <w:tmpl w:val="C8502BD8"/>
    <w:lvl w:ilvl="0" w:tplc="56580232">
      <w:start w:val="1"/>
      <w:numFmt w:val="bullet"/>
      <w:lvlText w:val="•"/>
      <w:lvlJc w:val="left"/>
      <w:pPr>
        <w:tabs>
          <w:tab w:val="num" w:pos="720"/>
        </w:tabs>
        <w:ind w:left="720" w:hanging="360"/>
      </w:pPr>
      <w:rPr>
        <w:rFonts w:ascii="Arial" w:hAnsi="Arial" w:hint="default"/>
      </w:rPr>
    </w:lvl>
    <w:lvl w:ilvl="1" w:tplc="91F4E838" w:tentative="1">
      <w:start w:val="1"/>
      <w:numFmt w:val="bullet"/>
      <w:lvlText w:val="•"/>
      <w:lvlJc w:val="left"/>
      <w:pPr>
        <w:tabs>
          <w:tab w:val="num" w:pos="1440"/>
        </w:tabs>
        <w:ind w:left="1440" w:hanging="360"/>
      </w:pPr>
      <w:rPr>
        <w:rFonts w:ascii="Arial" w:hAnsi="Arial" w:hint="default"/>
      </w:rPr>
    </w:lvl>
    <w:lvl w:ilvl="2" w:tplc="6A4EB42A" w:tentative="1">
      <w:start w:val="1"/>
      <w:numFmt w:val="bullet"/>
      <w:lvlText w:val="•"/>
      <w:lvlJc w:val="left"/>
      <w:pPr>
        <w:tabs>
          <w:tab w:val="num" w:pos="2160"/>
        </w:tabs>
        <w:ind w:left="2160" w:hanging="360"/>
      </w:pPr>
      <w:rPr>
        <w:rFonts w:ascii="Arial" w:hAnsi="Arial" w:hint="default"/>
      </w:rPr>
    </w:lvl>
    <w:lvl w:ilvl="3" w:tplc="602E49A0" w:tentative="1">
      <w:start w:val="1"/>
      <w:numFmt w:val="bullet"/>
      <w:lvlText w:val="•"/>
      <w:lvlJc w:val="left"/>
      <w:pPr>
        <w:tabs>
          <w:tab w:val="num" w:pos="2880"/>
        </w:tabs>
        <w:ind w:left="2880" w:hanging="360"/>
      </w:pPr>
      <w:rPr>
        <w:rFonts w:ascii="Arial" w:hAnsi="Arial" w:hint="default"/>
      </w:rPr>
    </w:lvl>
    <w:lvl w:ilvl="4" w:tplc="CF80F232" w:tentative="1">
      <w:start w:val="1"/>
      <w:numFmt w:val="bullet"/>
      <w:lvlText w:val="•"/>
      <w:lvlJc w:val="left"/>
      <w:pPr>
        <w:tabs>
          <w:tab w:val="num" w:pos="3600"/>
        </w:tabs>
        <w:ind w:left="3600" w:hanging="360"/>
      </w:pPr>
      <w:rPr>
        <w:rFonts w:ascii="Arial" w:hAnsi="Arial" w:hint="default"/>
      </w:rPr>
    </w:lvl>
    <w:lvl w:ilvl="5" w:tplc="1EF638D8" w:tentative="1">
      <w:start w:val="1"/>
      <w:numFmt w:val="bullet"/>
      <w:lvlText w:val="•"/>
      <w:lvlJc w:val="left"/>
      <w:pPr>
        <w:tabs>
          <w:tab w:val="num" w:pos="4320"/>
        </w:tabs>
        <w:ind w:left="4320" w:hanging="360"/>
      </w:pPr>
      <w:rPr>
        <w:rFonts w:ascii="Arial" w:hAnsi="Arial" w:hint="default"/>
      </w:rPr>
    </w:lvl>
    <w:lvl w:ilvl="6" w:tplc="FF14457E" w:tentative="1">
      <w:start w:val="1"/>
      <w:numFmt w:val="bullet"/>
      <w:lvlText w:val="•"/>
      <w:lvlJc w:val="left"/>
      <w:pPr>
        <w:tabs>
          <w:tab w:val="num" w:pos="5040"/>
        </w:tabs>
        <w:ind w:left="5040" w:hanging="360"/>
      </w:pPr>
      <w:rPr>
        <w:rFonts w:ascii="Arial" w:hAnsi="Arial" w:hint="default"/>
      </w:rPr>
    </w:lvl>
    <w:lvl w:ilvl="7" w:tplc="47920634" w:tentative="1">
      <w:start w:val="1"/>
      <w:numFmt w:val="bullet"/>
      <w:lvlText w:val="•"/>
      <w:lvlJc w:val="left"/>
      <w:pPr>
        <w:tabs>
          <w:tab w:val="num" w:pos="5760"/>
        </w:tabs>
        <w:ind w:left="5760" w:hanging="360"/>
      </w:pPr>
      <w:rPr>
        <w:rFonts w:ascii="Arial" w:hAnsi="Arial" w:hint="default"/>
      </w:rPr>
    </w:lvl>
    <w:lvl w:ilvl="8" w:tplc="37E4897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7D561CC3"/>
    <w:multiLevelType w:val="hybridMultilevel"/>
    <w:tmpl w:val="274E3212"/>
    <w:lvl w:ilvl="0" w:tplc="649AE3FA">
      <w:start w:val="1"/>
      <w:numFmt w:val="bullet"/>
      <w:lvlText w:val="•"/>
      <w:lvlJc w:val="left"/>
      <w:pPr>
        <w:tabs>
          <w:tab w:val="num" w:pos="720"/>
        </w:tabs>
        <w:ind w:left="720" w:hanging="360"/>
      </w:pPr>
      <w:rPr>
        <w:rFonts w:ascii="Arial" w:hAnsi="Arial" w:hint="default"/>
      </w:rPr>
    </w:lvl>
    <w:lvl w:ilvl="1" w:tplc="8D3CCB9C" w:tentative="1">
      <w:start w:val="1"/>
      <w:numFmt w:val="bullet"/>
      <w:lvlText w:val="•"/>
      <w:lvlJc w:val="left"/>
      <w:pPr>
        <w:tabs>
          <w:tab w:val="num" w:pos="1440"/>
        </w:tabs>
        <w:ind w:left="1440" w:hanging="360"/>
      </w:pPr>
      <w:rPr>
        <w:rFonts w:ascii="Arial" w:hAnsi="Arial" w:hint="default"/>
      </w:rPr>
    </w:lvl>
    <w:lvl w:ilvl="2" w:tplc="CDE0C092" w:tentative="1">
      <w:start w:val="1"/>
      <w:numFmt w:val="bullet"/>
      <w:lvlText w:val="•"/>
      <w:lvlJc w:val="left"/>
      <w:pPr>
        <w:tabs>
          <w:tab w:val="num" w:pos="2160"/>
        </w:tabs>
        <w:ind w:left="2160" w:hanging="360"/>
      </w:pPr>
      <w:rPr>
        <w:rFonts w:ascii="Arial" w:hAnsi="Arial" w:hint="default"/>
      </w:rPr>
    </w:lvl>
    <w:lvl w:ilvl="3" w:tplc="5434DBB2" w:tentative="1">
      <w:start w:val="1"/>
      <w:numFmt w:val="bullet"/>
      <w:lvlText w:val="•"/>
      <w:lvlJc w:val="left"/>
      <w:pPr>
        <w:tabs>
          <w:tab w:val="num" w:pos="2880"/>
        </w:tabs>
        <w:ind w:left="2880" w:hanging="360"/>
      </w:pPr>
      <w:rPr>
        <w:rFonts w:ascii="Arial" w:hAnsi="Arial" w:hint="default"/>
      </w:rPr>
    </w:lvl>
    <w:lvl w:ilvl="4" w:tplc="D5D296DE" w:tentative="1">
      <w:start w:val="1"/>
      <w:numFmt w:val="bullet"/>
      <w:lvlText w:val="•"/>
      <w:lvlJc w:val="left"/>
      <w:pPr>
        <w:tabs>
          <w:tab w:val="num" w:pos="3600"/>
        </w:tabs>
        <w:ind w:left="3600" w:hanging="360"/>
      </w:pPr>
      <w:rPr>
        <w:rFonts w:ascii="Arial" w:hAnsi="Arial" w:hint="default"/>
      </w:rPr>
    </w:lvl>
    <w:lvl w:ilvl="5" w:tplc="3B661E6A" w:tentative="1">
      <w:start w:val="1"/>
      <w:numFmt w:val="bullet"/>
      <w:lvlText w:val="•"/>
      <w:lvlJc w:val="left"/>
      <w:pPr>
        <w:tabs>
          <w:tab w:val="num" w:pos="4320"/>
        </w:tabs>
        <w:ind w:left="4320" w:hanging="360"/>
      </w:pPr>
      <w:rPr>
        <w:rFonts w:ascii="Arial" w:hAnsi="Arial" w:hint="default"/>
      </w:rPr>
    </w:lvl>
    <w:lvl w:ilvl="6" w:tplc="29AAAB94" w:tentative="1">
      <w:start w:val="1"/>
      <w:numFmt w:val="bullet"/>
      <w:lvlText w:val="•"/>
      <w:lvlJc w:val="left"/>
      <w:pPr>
        <w:tabs>
          <w:tab w:val="num" w:pos="5040"/>
        </w:tabs>
        <w:ind w:left="5040" w:hanging="360"/>
      </w:pPr>
      <w:rPr>
        <w:rFonts w:ascii="Arial" w:hAnsi="Arial" w:hint="default"/>
      </w:rPr>
    </w:lvl>
    <w:lvl w:ilvl="7" w:tplc="ED9C40EE" w:tentative="1">
      <w:start w:val="1"/>
      <w:numFmt w:val="bullet"/>
      <w:lvlText w:val="•"/>
      <w:lvlJc w:val="left"/>
      <w:pPr>
        <w:tabs>
          <w:tab w:val="num" w:pos="5760"/>
        </w:tabs>
        <w:ind w:left="5760" w:hanging="360"/>
      </w:pPr>
      <w:rPr>
        <w:rFonts w:ascii="Arial" w:hAnsi="Arial" w:hint="default"/>
      </w:rPr>
    </w:lvl>
    <w:lvl w:ilvl="8" w:tplc="72E8CF3E"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18"/>
    <w:rsid w:val="00007399"/>
    <w:rsid w:val="00050D19"/>
    <w:rsid w:val="0008359E"/>
    <w:rsid w:val="000D7B77"/>
    <w:rsid w:val="000E1690"/>
    <w:rsid w:val="000F3CEF"/>
    <w:rsid w:val="00190233"/>
    <w:rsid w:val="00196A69"/>
    <w:rsid w:val="001C62EA"/>
    <w:rsid w:val="001E1DB4"/>
    <w:rsid w:val="001E7B52"/>
    <w:rsid w:val="001F06E9"/>
    <w:rsid w:val="001F15F9"/>
    <w:rsid w:val="001F17EE"/>
    <w:rsid w:val="002C2F39"/>
    <w:rsid w:val="002D5446"/>
    <w:rsid w:val="003305F3"/>
    <w:rsid w:val="00334069"/>
    <w:rsid w:val="00347841"/>
    <w:rsid w:val="003A5207"/>
    <w:rsid w:val="003A57A8"/>
    <w:rsid w:val="003D143A"/>
    <w:rsid w:val="003D60C9"/>
    <w:rsid w:val="003D6E92"/>
    <w:rsid w:val="003F5430"/>
    <w:rsid w:val="004160E7"/>
    <w:rsid w:val="00452C87"/>
    <w:rsid w:val="004C6336"/>
    <w:rsid w:val="004D29A7"/>
    <w:rsid w:val="004D2F76"/>
    <w:rsid w:val="004D5BED"/>
    <w:rsid w:val="00525AC1"/>
    <w:rsid w:val="0055730C"/>
    <w:rsid w:val="00560567"/>
    <w:rsid w:val="00580F13"/>
    <w:rsid w:val="00586666"/>
    <w:rsid w:val="005B4562"/>
    <w:rsid w:val="005C27B6"/>
    <w:rsid w:val="005C759A"/>
    <w:rsid w:val="005D6972"/>
    <w:rsid w:val="005E7EE3"/>
    <w:rsid w:val="00613013"/>
    <w:rsid w:val="006358BD"/>
    <w:rsid w:val="00663506"/>
    <w:rsid w:val="006C6A57"/>
    <w:rsid w:val="00705A6A"/>
    <w:rsid w:val="0074105A"/>
    <w:rsid w:val="007C0595"/>
    <w:rsid w:val="007D3000"/>
    <w:rsid w:val="007D61D4"/>
    <w:rsid w:val="00865E3E"/>
    <w:rsid w:val="008721CC"/>
    <w:rsid w:val="008846D6"/>
    <w:rsid w:val="008B6225"/>
    <w:rsid w:val="008F6E41"/>
    <w:rsid w:val="009317AE"/>
    <w:rsid w:val="00984218"/>
    <w:rsid w:val="009D0967"/>
    <w:rsid w:val="009E26B2"/>
    <w:rsid w:val="00A170BA"/>
    <w:rsid w:val="00A21FF3"/>
    <w:rsid w:val="00A307CC"/>
    <w:rsid w:val="00A57C29"/>
    <w:rsid w:val="00A6685D"/>
    <w:rsid w:val="00A71670"/>
    <w:rsid w:val="00A970D6"/>
    <w:rsid w:val="00AA5097"/>
    <w:rsid w:val="00B0287F"/>
    <w:rsid w:val="00B52018"/>
    <w:rsid w:val="00B83D3C"/>
    <w:rsid w:val="00BA2829"/>
    <w:rsid w:val="00BA5309"/>
    <w:rsid w:val="00BD7DDA"/>
    <w:rsid w:val="00C4611A"/>
    <w:rsid w:val="00C704FD"/>
    <w:rsid w:val="00C96CEC"/>
    <w:rsid w:val="00D6071E"/>
    <w:rsid w:val="00D72269"/>
    <w:rsid w:val="00DB06DA"/>
    <w:rsid w:val="00DD2CE5"/>
    <w:rsid w:val="00E16008"/>
    <w:rsid w:val="00E4019D"/>
    <w:rsid w:val="00EE114F"/>
    <w:rsid w:val="00EF089D"/>
    <w:rsid w:val="00F067E3"/>
    <w:rsid w:val="00F4212D"/>
    <w:rsid w:val="00F562E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B3F21"/>
  <w15:chartTrackingRefBased/>
  <w15:docId w15:val="{86875D18-DA28-48C9-82F9-179D9FA39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67E3"/>
    <w:pPr>
      <w:spacing w:after="0" w:line="240" w:lineRule="auto"/>
    </w:pPr>
    <w:rPr>
      <w:rFonts w:ascii="Verdana" w:hAnsi="Verdan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84218"/>
    <w:rPr>
      <w:sz w:val="16"/>
      <w:szCs w:val="16"/>
    </w:rPr>
  </w:style>
  <w:style w:type="paragraph" w:styleId="NoSpacing">
    <w:name w:val="No Spacing"/>
    <w:uiPriority w:val="1"/>
    <w:qFormat/>
    <w:rsid w:val="003305F3"/>
    <w:pPr>
      <w:spacing w:after="0" w:line="240" w:lineRule="auto"/>
    </w:pPr>
    <w:rPr>
      <w:rFonts w:ascii="Verdana" w:hAnsi="Verdana"/>
      <w:sz w:val="20"/>
    </w:rPr>
  </w:style>
  <w:style w:type="paragraph" w:styleId="ListParagraph">
    <w:name w:val="List Paragraph"/>
    <w:basedOn w:val="Normal"/>
    <w:uiPriority w:val="34"/>
    <w:qFormat/>
    <w:rsid w:val="00B0287F"/>
    <w:pPr>
      <w:ind w:left="720"/>
      <w:contextualSpacing/>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D7226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72269"/>
    <w:rPr>
      <w:rFonts w:ascii="Times New Roman" w:hAnsi="Times New Roman" w:cs="Times New Roman"/>
      <w:sz w:val="18"/>
      <w:szCs w:val="18"/>
    </w:rPr>
  </w:style>
  <w:style w:type="paragraph" w:styleId="CommentText">
    <w:name w:val="annotation text"/>
    <w:basedOn w:val="Normal"/>
    <w:link w:val="CommentTextChar"/>
    <w:uiPriority w:val="99"/>
    <w:unhideWhenUsed/>
    <w:rsid w:val="005D6972"/>
    <w:rPr>
      <w:sz w:val="24"/>
      <w:szCs w:val="24"/>
    </w:rPr>
  </w:style>
  <w:style w:type="character" w:customStyle="1" w:styleId="CommentTextChar">
    <w:name w:val="Comment Text Char"/>
    <w:basedOn w:val="DefaultParagraphFont"/>
    <w:link w:val="CommentText"/>
    <w:uiPriority w:val="99"/>
    <w:rsid w:val="005D6972"/>
    <w:rPr>
      <w:rFonts w:ascii="Verdana" w:hAnsi="Verdana"/>
      <w:sz w:val="24"/>
      <w:szCs w:val="24"/>
    </w:rPr>
  </w:style>
  <w:style w:type="paragraph" w:styleId="CommentSubject">
    <w:name w:val="annotation subject"/>
    <w:basedOn w:val="CommentText"/>
    <w:next w:val="CommentText"/>
    <w:link w:val="CommentSubjectChar"/>
    <w:uiPriority w:val="99"/>
    <w:semiHidden/>
    <w:unhideWhenUsed/>
    <w:rsid w:val="005D6972"/>
    <w:rPr>
      <w:b/>
      <w:bCs/>
      <w:sz w:val="20"/>
      <w:szCs w:val="20"/>
    </w:rPr>
  </w:style>
  <w:style w:type="character" w:customStyle="1" w:styleId="CommentSubjectChar">
    <w:name w:val="Comment Subject Char"/>
    <w:basedOn w:val="CommentTextChar"/>
    <w:link w:val="CommentSubject"/>
    <w:uiPriority w:val="99"/>
    <w:semiHidden/>
    <w:rsid w:val="005D6972"/>
    <w:rPr>
      <w:rFonts w:ascii="Verdana" w:hAnsi="Verdan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26871">
      <w:bodyDiv w:val="1"/>
      <w:marLeft w:val="0"/>
      <w:marRight w:val="0"/>
      <w:marTop w:val="0"/>
      <w:marBottom w:val="0"/>
      <w:divBdr>
        <w:top w:val="none" w:sz="0" w:space="0" w:color="auto"/>
        <w:left w:val="none" w:sz="0" w:space="0" w:color="auto"/>
        <w:bottom w:val="none" w:sz="0" w:space="0" w:color="auto"/>
        <w:right w:val="none" w:sz="0" w:space="0" w:color="auto"/>
      </w:divBdr>
    </w:div>
    <w:div w:id="154691389">
      <w:bodyDiv w:val="1"/>
      <w:marLeft w:val="0"/>
      <w:marRight w:val="0"/>
      <w:marTop w:val="0"/>
      <w:marBottom w:val="0"/>
      <w:divBdr>
        <w:top w:val="none" w:sz="0" w:space="0" w:color="auto"/>
        <w:left w:val="none" w:sz="0" w:space="0" w:color="auto"/>
        <w:bottom w:val="none" w:sz="0" w:space="0" w:color="auto"/>
        <w:right w:val="none" w:sz="0" w:space="0" w:color="auto"/>
      </w:divBdr>
      <w:divsChild>
        <w:div w:id="1734693420">
          <w:marLeft w:val="360"/>
          <w:marRight w:val="0"/>
          <w:marTop w:val="200"/>
          <w:marBottom w:val="0"/>
          <w:divBdr>
            <w:top w:val="none" w:sz="0" w:space="0" w:color="auto"/>
            <w:left w:val="none" w:sz="0" w:space="0" w:color="auto"/>
            <w:bottom w:val="none" w:sz="0" w:space="0" w:color="auto"/>
            <w:right w:val="none" w:sz="0" w:space="0" w:color="auto"/>
          </w:divBdr>
        </w:div>
      </w:divsChild>
    </w:div>
    <w:div w:id="738553800">
      <w:bodyDiv w:val="1"/>
      <w:marLeft w:val="0"/>
      <w:marRight w:val="0"/>
      <w:marTop w:val="0"/>
      <w:marBottom w:val="0"/>
      <w:divBdr>
        <w:top w:val="none" w:sz="0" w:space="0" w:color="auto"/>
        <w:left w:val="none" w:sz="0" w:space="0" w:color="auto"/>
        <w:bottom w:val="none" w:sz="0" w:space="0" w:color="auto"/>
        <w:right w:val="none" w:sz="0" w:space="0" w:color="auto"/>
      </w:divBdr>
      <w:divsChild>
        <w:div w:id="1586766441">
          <w:marLeft w:val="360"/>
          <w:marRight w:val="0"/>
          <w:marTop w:val="200"/>
          <w:marBottom w:val="0"/>
          <w:divBdr>
            <w:top w:val="none" w:sz="0" w:space="0" w:color="auto"/>
            <w:left w:val="none" w:sz="0" w:space="0" w:color="auto"/>
            <w:bottom w:val="none" w:sz="0" w:space="0" w:color="auto"/>
            <w:right w:val="none" w:sz="0" w:space="0" w:color="auto"/>
          </w:divBdr>
        </w:div>
      </w:divsChild>
    </w:div>
    <w:div w:id="925531601">
      <w:bodyDiv w:val="1"/>
      <w:marLeft w:val="0"/>
      <w:marRight w:val="0"/>
      <w:marTop w:val="0"/>
      <w:marBottom w:val="0"/>
      <w:divBdr>
        <w:top w:val="none" w:sz="0" w:space="0" w:color="auto"/>
        <w:left w:val="none" w:sz="0" w:space="0" w:color="auto"/>
        <w:bottom w:val="none" w:sz="0" w:space="0" w:color="auto"/>
        <w:right w:val="none" w:sz="0" w:space="0" w:color="auto"/>
      </w:divBdr>
      <w:divsChild>
        <w:div w:id="1980458876">
          <w:marLeft w:val="360"/>
          <w:marRight w:val="0"/>
          <w:marTop w:val="200"/>
          <w:marBottom w:val="0"/>
          <w:divBdr>
            <w:top w:val="none" w:sz="0" w:space="0" w:color="auto"/>
            <w:left w:val="none" w:sz="0" w:space="0" w:color="auto"/>
            <w:bottom w:val="none" w:sz="0" w:space="0" w:color="auto"/>
            <w:right w:val="none" w:sz="0" w:space="0" w:color="auto"/>
          </w:divBdr>
        </w:div>
      </w:divsChild>
    </w:div>
    <w:div w:id="1113749674">
      <w:bodyDiv w:val="1"/>
      <w:marLeft w:val="0"/>
      <w:marRight w:val="0"/>
      <w:marTop w:val="0"/>
      <w:marBottom w:val="0"/>
      <w:divBdr>
        <w:top w:val="none" w:sz="0" w:space="0" w:color="auto"/>
        <w:left w:val="none" w:sz="0" w:space="0" w:color="auto"/>
        <w:bottom w:val="none" w:sz="0" w:space="0" w:color="auto"/>
        <w:right w:val="none" w:sz="0" w:space="0" w:color="auto"/>
      </w:divBdr>
      <w:divsChild>
        <w:div w:id="1054354820">
          <w:marLeft w:val="360"/>
          <w:marRight w:val="0"/>
          <w:marTop w:val="200"/>
          <w:marBottom w:val="0"/>
          <w:divBdr>
            <w:top w:val="none" w:sz="0" w:space="0" w:color="auto"/>
            <w:left w:val="none" w:sz="0" w:space="0" w:color="auto"/>
            <w:bottom w:val="none" w:sz="0" w:space="0" w:color="auto"/>
            <w:right w:val="none" w:sz="0" w:space="0" w:color="auto"/>
          </w:divBdr>
        </w:div>
      </w:divsChild>
    </w:div>
    <w:div w:id="1126661434">
      <w:bodyDiv w:val="1"/>
      <w:marLeft w:val="0"/>
      <w:marRight w:val="0"/>
      <w:marTop w:val="0"/>
      <w:marBottom w:val="0"/>
      <w:divBdr>
        <w:top w:val="none" w:sz="0" w:space="0" w:color="auto"/>
        <w:left w:val="none" w:sz="0" w:space="0" w:color="auto"/>
        <w:bottom w:val="none" w:sz="0" w:space="0" w:color="auto"/>
        <w:right w:val="none" w:sz="0" w:space="0" w:color="auto"/>
      </w:divBdr>
    </w:div>
    <w:div w:id="211720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529</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Nottingham</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Mahmoud Huda</dc:creator>
  <cp:keywords/>
  <dc:description/>
  <cp:lastModifiedBy>Alice Higgins</cp:lastModifiedBy>
  <cp:revision>2</cp:revision>
  <dcterms:created xsi:type="dcterms:W3CDTF">2018-02-14T09:59:00Z</dcterms:created>
  <dcterms:modified xsi:type="dcterms:W3CDTF">2018-02-14T09:59:00Z</dcterms:modified>
</cp:coreProperties>
</file>