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B73" w:rsidRDefault="00F25B73" w:rsidP="00A514B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Genomic Rearrangement Events in the RCA Cluster as a Cause of </w:t>
      </w:r>
      <w:proofErr w:type="spellStart"/>
      <w:r>
        <w:rPr>
          <w:rFonts w:ascii="Times New Roman" w:hAnsi="Times New Roman" w:cs="Times New Roman"/>
          <w:b/>
          <w:u w:val="single"/>
        </w:rPr>
        <w:t>aAypical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Haemolytic Uraemic Syndrome</w:t>
      </w:r>
    </w:p>
    <w:p w:rsidR="00F25B73" w:rsidRDefault="00F25B73" w:rsidP="00A514B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274B8C" w:rsidRPr="004C3A91" w:rsidRDefault="004C3A91" w:rsidP="00A514B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C3A91">
        <w:rPr>
          <w:rFonts w:ascii="Times New Roman" w:hAnsi="Times New Roman" w:cs="Times New Roman"/>
          <w:b/>
          <w:u w:val="single"/>
        </w:rPr>
        <w:t xml:space="preserve">Introduction </w:t>
      </w:r>
    </w:p>
    <w:p w:rsidR="00CF7FC4" w:rsidRPr="004C3A91" w:rsidRDefault="00BF4D80" w:rsidP="005079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3A91">
        <w:rPr>
          <w:rFonts w:ascii="Times New Roman" w:hAnsi="Times New Roman" w:cs="Times New Roman"/>
        </w:rPr>
        <w:t xml:space="preserve">Atypical Haemolytic Uraemic syndrome </w:t>
      </w:r>
      <w:r w:rsidR="004B29E6" w:rsidRPr="004C3A91">
        <w:rPr>
          <w:rFonts w:ascii="Times New Roman" w:hAnsi="Times New Roman" w:cs="Times New Roman"/>
        </w:rPr>
        <w:t>(aHUS)</w:t>
      </w:r>
      <w:r w:rsidR="00FA47A1" w:rsidRPr="004C3A91">
        <w:rPr>
          <w:rFonts w:ascii="Times New Roman" w:hAnsi="Times New Roman" w:cs="Times New Roman"/>
        </w:rPr>
        <w:t xml:space="preserve"> </w:t>
      </w:r>
      <w:r w:rsidRPr="004C3A91">
        <w:rPr>
          <w:rFonts w:ascii="Times New Roman" w:hAnsi="Times New Roman" w:cs="Times New Roman"/>
        </w:rPr>
        <w:t xml:space="preserve">is </w:t>
      </w:r>
      <w:r w:rsidR="0093491F" w:rsidRPr="004C3A91">
        <w:rPr>
          <w:rFonts w:ascii="Times New Roman" w:hAnsi="Times New Roman" w:cs="Times New Roman"/>
        </w:rPr>
        <w:t xml:space="preserve">a </w:t>
      </w:r>
      <w:r w:rsidRPr="004C3A91">
        <w:rPr>
          <w:rFonts w:ascii="Times New Roman" w:hAnsi="Times New Roman" w:cs="Times New Roman"/>
        </w:rPr>
        <w:t>triad of microangiopathic haemolytic anaemia</w:t>
      </w:r>
      <w:r w:rsidR="001502FB" w:rsidRPr="004C3A91">
        <w:rPr>
          <w:rFonts w:ascii="Times New Roman" w:hAnsi="Times New Roman" w:cs="Times New Roman"/>
        </w:rPr>
        <w:t>,</w:t>
      </w:r>
      <w:r w:rsidRPr="004C3A91">
        <w:rPr>
          <w:rFonts w:ascii="Times New Roman" w:hAnsi="Times New Roman" w:cs="Times New Roman"/>
        </w:rPr>
        <w:t xml:space="preserve"> thrombocytopenia and acute </w:t>
      </w:r>
      <w:r w:rsidR="004704B4" w:rsidRPr="004C3A91">
        <w:rPr>
          <w:rFonts w:ascii="Times New Roman" w:hAnsi="Times New Roman" w:cs="Times New Roman"/>
        </w:rPr>
        <w:t>kidney injury</w:t>
      </w:r>
      <w:r w:rsidRPr="004C3A91">
        <w:rPr>
          <w:rFonts w:ascii="Times New Roman" w:hAnsi="Times New Roman" w:cs="Times New Roman"/>
        </w:rPr>
        <w:t>.</w:t>
      </w:r>
      <w:r w:rsidR="004B29E6" w:rsidRPr="004C3A91">
        <w:rPr>
          <w:rFonts w:ascii="Times New Roman" w:hAnsi="Times New Roman" w:cs="Times New Roman"/>
        </w:rPr>
        <w:t xml:space="preserve"> </w:t>
      </w:r>
      <w:r w:rsidR="00F948D0" w:rsidRPr="004C3A91">
        <w:rPr>
          <w:rFonts w:ascii="Times New Roman" w:hAnsi="Times New Roman" w:cs="Times New Roman"/>
        </w:rPr>
        <w:t xml:space="preserve">Familial </w:t>
      </w:r>
      <w:r w:rsidR="004B29E6" w:rsidRPr="004C3A91">
        <w:rPr>
          <w:rFonts w:ascii="Times New Roman" w:hAnsi="Times New Roman" w:cs="Times New Roman"/>
        </w:rPr>
        <w:t xml:space="preserve">aHUS most commonly </w:t>
      </w:r>
      <w:proofErr w:type="gramStart"/>
      <w:r w:rsidR="004B29E6" w:rsidRPr="004C3A91">
        <w:rPr>
          <w:rFonts w:ascii="Times New Roman" w:hAnsi="Times New Roman" w:cs="Times New Roman"/>
        </w:rPr>
        <w:t>occurs</w:t>
      </w:r>
      <w:proofErr w:type="gramEnd"/>
      <w:r w:rsidR="004B29E6" w:rsidRPr="004C3A91">
        <w:rPr>
          <w:rFonts w:ascii="Times New Roman" w:hAnsi="Times New Roman" w:cs="Times New Roman"/>
        </w:rPr>
        <w:t xml:space="preserve"> </w:t>
      </w:r>
      <w:r w:rsidR="00965B42">
        <w:rPr>
          <w:rFonts w:ascii="Times New Roman" w:hAnsi="Times New Roman" w:cs="Times New Roman"/>
        </w:rPr>
        <w:t>as a result of</w:t>
      </w:r>
      <w:r w:rsidR="004B29E6" w:rsidRPr="004C3A91">
        <w:rPr>
          <w:rFonts w:ascii="Times New Roman" w:hAnsi="Times New Roman" w:cs="Times New Roman"/>
        </w:rPr>
        <w:t xml:space="preserve"> inherited mutations in </w:t>
      </w:r>
      <w:r w:rsidR="00F948D0" w:rsidRPr="004C3A91">
        <w:rPr>
          <w:rFonts w:ascii="Times New Roman" w:hAnsi="Times New Roman" w:cs="Times New Roman"/>
        </w:rPr>
        <w:t xml:space="preserve">the complement regulatory protein </w:t>
      </w:r>
      <w:r w:rsidR="00965B42">
        <w:rPr>
          <w:rFonts w:ascii="Times New Roman" w:hAnsi="Times New Roman" w:cs="Times New Roman"/>
        </w:rPr>
        <w:t>(</w:t>
      </w:r>
      <w:r w:rsidR="00F948D0" w:rsidRPr="004C3A91">
        <w:rPr>
          <w:rFonts w:ascii="Times New Roman" w:hAnsi="Times New Roman" w:cs="Times New Roman"/>
        </w:rPr>
        <w:t>CFH</w:t>
      </w:r>
      <w:r w:rsidR="00965B42">
        <w:rPr>
          <w:rFonts w:ascii="Times New Roman" w:hAnsi="Times New Roman" w:cs="Times New Roman"/>
        </w:rPr>
        <w:t>)</w:t>
      </w:r>
      <w:r w:rsidR="001502FB" w:rsidRPr="004C3A91">
        <w:rPr>
          <w:rFonts w:ascii="Times New Roman" w:hAnsi="Times New Roman" w:cs="Times New Roman"/>
        </w:rPr>
        <w:t>, resulting in uncontrolled</w:t>
      </w:r>
      <w:r w:rsidR="00F948D0" w:rsidRPr="004C3A91">
        <w:rPr>
          <w:rFonts w:ascii="Times New Roman" w:hAnsi="Times New Roman" w:cs="Times New Roman"/>
        </w:rPr>
        <w:t xml:space="preserve"> alternative </w:t>
      </w:r>
      <w:r w:rsidR="001502FB" w:rsidRPr="004C3A91">
        <w:rPr>
          <w:rFonts w:ascii="Times New Roman" w:hAnsi="Times New Roman" w:cs="Times New Roman"/>
        </w:rPr>
        <w:t>complem</w:t>
      </w:r>
      <w:r w:rsidR="00F948D0" w:rsidRPr="004C3A91">
        <w:rPr>
          <w:rFonts w:ascii="Times New Roman" w:hAnsi="Times New Roman" w:cs="Times New Roman"/>
        </w:rPr>
        <w:t xml:space="preserve">ent activation. </w:t>
      </w:r>
      <w:r w:rsidR="004B29E6" w:rsidRPr="004C3A91">
        <w:rPr>
          <w:rFonts w:ascii="Times New Roman" w:hAnsi="Times New Roman" w:cs="Times New Roman"/>
          <w:i/>
        </w:rPr>
        <w:t>CFH</w:t>
      </w:r>
      <w:r w:rsidR="004704B4" w:rsidRPr="004C3A91">
        <w:rPr>
          <w:rFonts w:ascii="Times New Roman" w:hAnsi="Times New Roman" w:cs="Times New Roman"/>
          <w:i/>
        </w:rPr>
        <w:t>,</w:t>
      </w:r>
      <w:r w:rsidR="00CF7FC4" w:rsidRPr="004C3A91">
        <w:rPr>
          <w:rFonts w:ascii="Times New Roman" w:hAnsi="Times New Roman" w:cs="Times New Roman"/>
        </w:rPr>
        <w:t xml:space="preserve"> </w:t>
      </w:r>
      <w:r w:rsidR="007A586A" w:rsidRPr="004C3A91">
        <w:rPr>
          <w:rFonts w:ascii="Times New Roman" w:hAnsi="Times New Roman" w:cs="Times New Roman"/>
        </w:rPr>
        <w:t>along with five</w:t>
      </w:r>
      <w:r w:rsidR="004704B4" w:rsidRPr="004C3A91">
        <w:rPr>
          <w:rFonts w:ascii="Times New Roman" w:hAnsi="Times New Roman" w:cs="Times New Roman"/>
        </w:rPr>
        <w:t xml:space="preserve"> highly homologous</w:t>
      </w:r>
      <w:r w:rsidR="007A586A" w:rsidRPr="004C3A91">
        <w:rPr>
          <w:rFonts w:ascii="Times New Roman" w:hAnsi="Times New Roman" w:cs="Times New Roman"/>
          <w:i/>
        </w:rPr>
        <w:t xml:space="preserve"> </w:t>
      </w:r>
      <w:r w:rsidR="007A586A" w:rsidRPr="004C3A91">
        <w:rPr>
          <w:rFonts w:ascii="Times New Roman" w:hAnsi="Times New Roman" w:cs="Times New Roman"/>
        </w:rPr>
        <w:t>genes (</w:t>
      </w:r>
      <w:r w:rsidR="007A586A" w:rsidRPr="004C3A91">
        <w:rPr>
          <w:rFonts w:ascii="Times New Roman" w:hAnsi="Times New Roman" w:cs="Times New Roman"/>
          <w:i/>
        </w:rPr>
        <w:t>CFHR1-5</w:t>
      </w:r>
      <w:r w:rsidR="007A586A" w:rsidRPr="004C3A91">
        <w:rPr>
          <w:rFonts w:ascii="Times New Roman" w:hAnsi="Times New Roman" w:cs="Times New Roman"/>
        </w:rPr>
        <w:t>)</w:t>
      </w:r>
      <w:r w:rsidR="004704B4" w:rsidRPr="004C3A91">
        <w:rPr>
          <w:rFonts w:ascii="Times New Roman" w:hAnsi="Times New Roman" w:cs="Times New Roman"/>
        </w:rPr>
        <w:t>,</w:t>
      </w:r>
      <w:r w:rsidR="007A586A" w:rsidRPr="004C3A91">
        <w:rPr>
          <w:rFonts w:ascii="Times New Roman" w:hAnsi="Times New Roman" w:cs="Times New Roman"/>
        </w:rPr>
        <w:t xml:space="preserve"> </w:t>
      </w:r>
      <w:r w:rsidR="004704B4" w:rsidRPr="004C3A91">
        <w:rPr>
          <w:rFonts w:ascii="Times New Roman" w:hAnsi="Times New Roman" w:cs="Times New Roman"/>
        </w:rPr>
        <w:t>is</w:t>
      </w:r>
      <w:r w:rsidR="00CF7FC4" w:rsidRPr="004C3A91">
        <w:rPr>
          <w:rFonts w:ascii="Times New Roman" w:hAnsi="Times New Roman" w:cs="Times New Roman"/>
        </w:rPr>
        <w:t xml:space="preserve"> located within the Regulators of Complement Activation</w:t>
      </w:r>
      <w:r w:rsidR="008E39E0" w:rsidRPr="004C3A91">
        <w:rPr>
          <w:rFonts w:ascii="Times New Roman" w:hAnsi="Times New Roman" w:cs="Times New Roman"/>
        </w:rPr>
        <w:t xml:space="preserve"> cluster</w:t>
      </w:r>
      <w:r w:rsidR="004704B4" w:rsidRPr="004C3A91">
        <w:rPr>
          <w:rFonts w:ascii="Times New Roman" w:hAnsi="Times New Roman" w:cs="Times New Roman"/>
        </w:rPr>
        <w:t>.</w:t>
      </w:r>
      <w:r w:rsidR="004B2B7D" w:rsidRPr="004C3A91">
        <w:rPr>
          <w:rFonts w:ascii="Times New Roman" w:hAnsi="Times New Roman" w:cs="Times New Roman"/>
        </w:rPr>
        <w:t xml:space="preserve"> </w:t>
      </w:r>
      <w:r w:rsidR="00965B42">
        <w:rPr>
          <w:rFonts w:ascii="Times New Roman" w:hAnsi="Times New Roman" w:cs="Times New Roman"/>
        </w:rPr>
        <w:t xml:space="preserve">Due to the high </w:t>
      </w:r>
      <w:r w:rsidR="004704B4" w:rsidRPr="004C3A91">
        <w:rPr>
          <w:rFonts w:ascii="Times New Roman" w:hAnsi="Times New Roman" w:cs="Times New Roman"/>
        </w:rPr>
        <w:t xml:space="preserve">degree of </w:t>
      </w:r>
      <w:r w:rsidR="00B660D3" w:rsidRPr="004C3A91">
        <w:rPr>
          <w:rFonts w:ascii="Times New Roman" w:hAnsi="Times New Roman" w:cs="Times New Roman"/>
        </w:rPr>
        <w:t>homology</w:t>
      </w:r>
      <w:r w:rsidR="001502FB" w:rsidRPr="004C3A91">
        <w:rPr>
          <w:rFonts w:ascii="Times New Roman" w:hAnsi="Times New Roman" w:cs="Times New Roman"/>
          <w:i/>
        </w:rPr>
        <w:t xml:space="preserve">, </w:t>
      </w:r>
      <w:r w:rsidR="00B660D3" w:rsidRPr="004C3A91">
        <w:rPr>
          <w:rFonts w:ascii="Times New Roman" w:hAnsi="Times New Roman" w:cs="Times New Roman"/>
        </w:rPr>
        <w:t>this region is prone to</w:t>
      </w:r>
      <w:r w:rsidR="00965B42">
        <w:rPr>
          <w:rFonts w:ascii="Times New Roman" w:hAnsi="Times New Roman" w:cs="Times New Roman"/>
        </w:rPr>
        <w:t xml:space="preserve"> genomic recombination events,</w:t>
      </w:r>
      <w:r w:rsidR="008003ED" w:rsidRPr="004C3A91">
        <w:rPr>
          <w:rFonts w:ascii="Times New Roman" w:hAnsi="Times New Roman" w:cs="Times New Roman"/>
        </w:rPr>
        <w:t xml:space="preserve"> </w:t>
      </w:r>
      <w:r w:rsidR="00B660D3" w:rsidRPr="004C3A91">
        <w:rPr>
          <w:rFonts w:ascii="Times New Roman" w:hAnsi="Times New Roman" w:cs="Times New Roman"/>
        </w:rPr>
        <w:t xml:space="preserve">resulting in hybrid </w:t>
      </w:r>
      <w:r w:rsidR="00BE7E99" w:rsidRPr="004C3A91">
        <w:rPr>
          <w:rFonts w:ascii="Times New Roman" w:hAnsi="Times New Roman" w:cs="Times New Roman"/>
        </w:rPr>
        <w:t>genes</w:t>
      </w:r>
      <w:r w:rsidR="00B660D3" w:rsidRPr="004C3A91">
        <w:rPr>
          <w:rFonts w:ascii="Times New Roman" w:hAnsi="Times New Roman" w:cs="Times New Roman"/>
        </w:rPr>
        <w:t xml:space="preserve"> (</w:t>
      </w:r>
      <w:proofErr w:type="gramStart"/>
      <w:r w:rsidR="00B660D3" w:rsidRPr="004C3A91">
        <w:rPr>
          <w:rFonts w:ascii="Times New Roman" w:hAnsi="Times New Roman" w:cs="Times New Roman"/>
          <w:i/>
        </w:rPr>
        <w:t>CFH::</w:t>
      </w:r>
      <w:proofErr w:type="gramEnd"/>
      <w:r w:rsidR="00B660D3" w:rsidRPr="004C3A91">
        <w:rPr>
          <w:rFonts w:ascii="Times New Roman" w:hAnsi="Times New Roman" w:cs="Times New Roman"/>
          <w:i/>
        </w:rPr>
        <w:t>CF</w:t>
      </w:r>
      <w:bookmarkStart w:id="0" w:name="_GoBack"/>
      <w:bookmarkEnd w:id="0"/>
      <w:r w:rsidR="00B660D3" w:rsidRPr="004C3A91">
        <w:rPr>
          <w:rFonts w:ascii="Times New Roman" w:hAnsi="Times New Roman" w:cs="Times New Roman"/>
          <w:i/>
        </w:rPr>
        <w:t>HR1</w:t>
      </w:r>
      <w:r w:rsidR="00B660D3" w:rsidRPr="004C3A91">
        <w:rPr>
          <w:rFonts w:ascii="Times New Roman" w:hAnsi="Times New Roman" w:cs="Times New Roman"/>
        </w:rPr>
        <w:t xml:space="preserve"> </w:t>
      </w:r>
      <w:r w:rsidR="004704B4" w:rsidRPr="004C3A91">
        <w:rPr>
          <w:rFonts w:ascii="Times New Roman" w:hAnsi="Times New Roman" w:cs="Times New Roman"/>
        </w:rPr>
        <w:t>and</w:t>
      </w:r>
      <w:r w:rsidR="00B660D3" w:rsidRPr="004C3A91">
        <w:rPr>
          <w:rFonts w:ascii="Times New Roman" w:hAnsi="Times New Roman" w:cs="Times New Roman"/>
        </w:rPr>
        <w:t xml:space="preserve"> </w:t>
      </w:r>
      <w:r w:rsidR="00B660D3" w:rsidRPr="004C3A91">
        <w:rPr>
          <w:rFonts w:ascii="Times New Roman" w:hAnsi="Times New Roman" w:cs="Times New Roman"/>
          <w:i/>
        </w:rPr>
        <w:t>CFHR1::CFH</w:t>
      </w:r>
      <w:r w:rsidR="00B660D3" w:rsidRPr="004C3A91">
        <w:rPr>
          <w:rFonts w:ascii="Times New Roman" w:hAnsi="Times New Roman" w:cs="Times New Roman"/>
        </w:rPr>
        <w:t>)</w:t>
      </w:r>
      <w:r w:rsidR="00F948D0" w:rsidRPr="004C3A91">
        <w:rPr>
          <w:rFonts w:ascii="Times New Roman" w:hAnsi="Times New Roman" w:cs="Times New Roman"/>
        </w:rPr>
        <w:t xml:space="preserve">, </w:t>
      </w:r>
      <w:r w:rsidR="001502FB" w:rsidRPr="004C3A91">
        <w:rPr>
          <w:rFonts w:ascii="Times New Roman" w:hAnsi="Times New Roman" w:cs="Times New Roman"/>
        </w:rPr>
        <w:t>which fail to regulate complement</w:t>
      </w:r>
      <w:r w:rsidR="00F948D0" w:rsidRPr="004C3A91">
        <w:rPr>
          <w:rFonts w:ascii="Times New Roman" w:hAnsi="Times New Roman" w:cs="Times New Roman"/>
        </w:rPr>
        <w:t xml:space="preserve"> activation</w:t>
      </w:r>
      <w:r w:rsidR="001502FB" w:rsidRPr="004C3A91">
        <w:rPr>
          <w:rFonts w:ascii="Times New Roman" w:hAnsi="Times New Roman" w:cs="Times New Roman"/>
        </w:rPr>
        <w:t xml:space="preserve"> </w:t>
      </w:r>
      <w:r w:rsidR="00F948D0" w:rsidRPr="004C3A91">
        <w:rPr>
          <w:rFonts w:ascii="Times New Roman" w:hAnsi="Times New Roman" w:cs="Times New Roman"/>
        </w:rPr>
        <w:t>thus</w:t>
      </w:r>
      <w:r w:rsidR="001502FB" w:rsidRPr="004C3A91">
        <w:rPr>
          <w:rFonts w:ascii="Times New Roman" w:hAnsi="Times New Roman" w:cs="Times New Roman"/>
        </w:rPr>
        <w:t xml:space="preserve"> predispose to aHUS. </w:t>
      </w:r>
    </w:p>
    <w:p w:rsidR="008003ED" w:rsidRPr="004C3A91" w:rsidRDefault="008003ED" w:rsidP="0050791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DF1" w:rsidRPr="004C3A91" w:rsidRDefault="00844DF1" w:rsidP="00507913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C3A91">
        <w:rPr>
          <w:rFonts w:ascii="Times New Roman" w:hAnsi="Times New Roman" w:cs="Times New Roman"/>
          <w:b/>
          <w:u w:val="single"/>
        </w:rPr>
        <w:t>Method</w:t>
      </w:r>
    </w:p>
    <w:p w:rsidR="008003ED" w:rsidRPr="004C3A91" w:rsidRDefault="0093491F" w:rsidP="00A514B0">
      <w:p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4C3A91">
        <w:rPr>
          <w:rFonts w:ascii="Times New Roman" w:hAnsi="Times New Roman" w:cs="Times New Roman"/>
        </w:rPr>
        <w:t>P</w:t>
      </w:r>
      <w:r w:rsidR="0010389A" w:rsidRPr="004C3A91">
        <w:rPr>
          <w:rFonts w:ascii="Times New Roman" w:hAnsi="Times New Roman" w:cs="Times New Roman"/>
        </w:rPr>
        <w:t xml:space="preserve">atients </w:t>
      </w:r>
      <w:r w:rsidR="00B660D3" w:rsidRPr="004C3A91">
        <w:rPr>
          <w:rFonts w:ascii="Times New Roman" w:hAnsi="Times New Roman" w:cs="Times New Roman"/>
        </w:rPr>
        <w:t>referred to the</w:t>
      </w:r>
      <w:r w:rsidR="00D253BD" w:rsidRPr="004C3A91">
        <w:rPr>
          <w:rFonts w:ascii="Times New Roman" w:hAnsi="Times New Roman" w:cs="Times New Roman"/>
        </w:rPr>
        <w:t xml:space="preserve"> </w:t>
      </w:r>
      <w:r w:rsidR="008003ED" w:rsidRPr="004C3A91">
        <w:rPr>
          <w:rFonts w:ascii="Times New Roman" w:hAnsi="Times New Roman" w:cs="Times New Roman"/>
        </w:rPr>
        <w:t xml:space="preserve">National </w:t>
      </w:r>
      <w:r w:rsidR="00965B42">
        <w:rPr>
          <w:rFonts w:ascii="Times New Roman" w:hAnsi="Times New Roman" w:cs="Times New Roman"/>
        </w:rPr>
        <w:t>Renal Complement Therapeutic</w:t>
      </w:r>
      <w:r w:rsidR="008003ED" w:rsidRPr="004C3A91">
        <w:rPr>
          <w:rFonts w:ascii="Times New Roman" w:hAnsi="Times New Roman" w:cs="Times New Roman"/>
        </w:rPr>
        <w:t xml:space="preserve"> C</w:t>
      </w:r>
      <w:r w:rsidR="00B660D3" w:rsidRPr="004C3A91">
        <w:rPr>
          <w:rFonts w:ascii="Times New Roman" w:hAnsi="Times New Roman" w:cs="Times New Roman"/>
        </w:rPr>
        <w:t xml:space="preserve">entre </w:t>
      </w:r>
      <w:r w:rsidR="00FA47A1" w:rsidRPr="004C3A91">
        <w:rPr>
          <w:rFonts w:ascii="Times New Roman" w:hAnsi="Times New Roman" w:cs="Times New Roman"/>
        </w:rPr>
        <w:t>with a diagnosis of aHUS</w:t>
      </w:r>
      <w:r w:rsidR="00B660D3" w:rsidRPr="004C3A91">
        <w:rPr>
          <w:rFonts w:ascii="Times New Roman" w:hAnsi="Times New Roman" w:cs="Times New Roman"/>
        </w:rPr>
        <w:t xml:space="preserve"> (</w:t>
      </w:r>
      <w:r w:rsidR="00B660D3" w:rsidRPr="004C3A91">
        <w:rPr>
          <w:rFonts w:ascii="Times New Roman" w:hAnsi="Times New Roman" w:cs="Times New Roman"/>
          <w:i/>
        </w:rPr>
        <w:t>n=</w:t>
      </w:r>
      <w:r w:rsidR="0085733A" w:rsidRPr="004C3A91">
        <w:rPr>
          <w:rFonts w:ascii="Times New Roman" w:hAnsi="Times New Roman" w:cs="Times New Roman"/>
          <w:i/>
        </w:rPr>
        <w:t>984</w:t>
      </w:r>
      <w:r w:rsidR="00B660D3" w:rsidRPr="004C3A91">
        <w:rPr>
          <w:rFonts w:ascii="Times New Roman" w:hAnsi="Times New Roman" w:cs="Times New Roman"/>
        </w:rPr>
        <w:t>)</w:t>
      </w:r>
      <w:r w:rsidR="008E39E0" w:rsidRPr="004C3A91">
        <w:rPr>
          <w:rFonts w:ascii="Times New Roman" w:hAnsi="Times New Roman" w:cs="Times New Roman"/>
        </w:rPr>
        <w:t xml:space="preserve"> underwent</w:t>
      </w:r>
      <w:r w:rsidR="00976C85" w:rsidRPr="004C3A91">
        <w:rPr>
          <w:rFonts w:ascii="Times New Roman" w:hAnsi="Times New Roman" w:cs="Times New Roman"/>
        </w:rPr>
        <w:t xml:space="preserve"> </w:t>
      </w:r>
      <w:r w:rsidR="00965B42">
        <w:rPr>
          <w:rFonts w:ascii="Times New Roman" w:hAnsi="Times New Roman" w:cs="Times New Roman"/>
        </w:rPr>
        <w:t xml:space="preserve">both direct sequencing of known </w:t>
      </w:r>
      <w:proofErr w:type="spellStart"/>
      <w:r w:rsidR="00965B42">
        <w:rPr>
          <w:rFonts w:ascii="Times New Roman" w:hAnsi="Times New Roman" w:cs="Times New Roman"/>
        </w:rPr>
        <w:t>aHUS</w:t>
      </w:r>
      <w:proofErr w:type="spellEnd"/>
      <w:r w:rsidR="00965B42">
        <w:rPr>
          <w:rFonts w:ascii="Times New Roman" w:hAnsi="Times New Roman" w:cs="Times New Roman"/>
        </w:rPr>
        <w:t xml:space="preserve"> genes,</w:t>
      </w:r>
      <w:r w:rsidR="007A586A" w:rsidRPr="004C3A91">
        <w:rPr>
          <w:rFonts w:ascii="Times New Roman" w:hAnsi="Times New Roman" w:cs="Times New Roman"/>
          <w:i/>
        </w:rPr>
        <w:t xml:space="preserve"> </w:t>
      </w:r>
      <w:r w:rsidR="007A586A" w:rsidRPr="004C3A91">
        <w:rPr>
          <w:rFonts w:ascii="Times New Roman" w:hAnsi="Times New Roman" w:cs="Times New Roman"/>
        </w:rPr>
        <w:t>to ident</w:t>
      </w:r>
      <w:r w:rsidR="00444817" w:rsidRPr="004C3A91">
        <w:rPr>
          <w:rFonts w:ascii="Times New Roman" w:hAnsi="Times New Roman" w:cs="Times New Roman"/>
        </w:rPr>
        <w:t>ify point mutations and MLPA</w:t>
      </w:r>
      <w:r w:rsidR="00965B42">
        <w:rPr>
          <w:rFonts w:ascii="Times New Roman" w:hAnsi="Times New Roman" w:cs="Times New Roman"/>
        </w:rPr>
        <w:t xml:space="preserve"> of </w:t>
      </w:r>
      <w:r w:rsidR="00965B42">
        <w:rPr>
          <w:rFonts w:ascii="Times New Roman" w:hAnsi="Times New Roman" w:cs="Times New Roman"/>
          <w:i/>
        </w:rPr>
        <w:t xml:space="preserve">CFH </w:t>
      </w:r>
      <w:r w:rsidR="00965B42">
        <w:rPr>
          <w:rFonts w:ascii="Times New Roman" w:hAnsi="Times New Roman" w:cs="Times New Roman"/>
        </w:rPr>
        <w:t xml:space="preserve">and </w:t>
      </w:r>
      <w:r w:rsidR="00965B42">
        <w:rPr>
          <w:rFonts w:ascii="Times New Roman" w:hAnsi="Times New Roman" w:cs="Times New Roman"/>
          <w:i/>
        </w:rPr>
        <w:t>CFHR</w:t>
      </w:r>
      <w:r w:rsidR="00965B42">
        <w:rPr>
          <w:rFonts w:ascii="Times New Roman" w:hAnsi="Times New Roman" w:cs="Times New Roman"/>
        </w:rPr>
        <w:t>s</w:t>
      </w:r>
      <w:r w:rsidR="00444817" w:rsidRPr="004C3A91">
        <w:rPr>
          <w:rFonts w:ascii="Times New Roman" w:hAnsi="Times New Roman" w:cs="Times New Roman"/>
        </w:rPr>
        <w:t xml:space="preserve"> to </w:t>
      </w:r>
      <w:r w:rsidR="00976C85" w:rsidRPr="004C3A91">
        <w:rPr>
          <w:rFonts w:ascii="Times New Roman" w:hAnsi="Times New Roman" w:cs="Times New Roman"/>
        </w:rPr>
        <w:t>investigate copy number</w:t>
      </w:r>
      <w:r w:rsidR="008E39E0" w:rsidRPr="004C3A91">
        <w:rPr>
          <w:rFonts w:ascii="Times New Roman" w:hAnsi="Times New Roman" w:cs="Times New Roman"/>
          <w:i/>
        </w:rPr>
        <w:t xml:space="preserve">. </w:t>
      </w:r>
      <w:r w:rsidR="00507913" w:rsidRPr="004C3A91">
        <w:rPr>
          <w:rFonts w:ascii="Times New Roman" w:hAnsi="Times New Roman" w:cs="Times New Roman"/>
        </w:rPr>
        <w:t xml:space="preserve">Genomic rearrangement events generating </w:t>
      </w:r>
      <w:proofErr w:type="gramStart"/>
      <w:r w:rsidR="00507913" w:rsidRPr="004C3A91">
        <w:rPr>
          <w:rFonts w:ascii="Times New Roman" w:hAnsi="Times New Roman" w:cs="Times New Roman"/>
        </w:rPr>
        <w:t>CFH::</w:t>
      </w:r>
      <w:proofErr w:type="gramEnd"/>
      <w:r w:rsidR="00507913" w:rsidRPr="004C3A91">
        <w:rPr>
          <w:rFonts w:ascii="Times New Roman" w:hAnsi="Times New Roman" w:cs="Times New Roman"/>
        </w:rPr>
        <w:t>CFHR1</w:t>
      </w:r>
      <w:r w:rsidR="003469A2" w:rsidRPr="004C3A91">
        <w:rPr>
          <w:rFonts w:ascii="Times New Roman" w:hAnsi="Times New Roman" w:cs="Times New Roman"/>
        </w:rPr>
        <w:t xml:space="preserve"> hybrid were identified using copy number analysis demonstrating </w:t>
      </w:r>
      <w:r w:rsidR="008E39E0" w:rsidRPr="004C3A91">
        <w:rPr>
          <w:rFonts w:ascii="Times New Roman" w:hAnsi="Times New Roman" w:cs="Times New Roman"/>
        </w:rPr>
        <w:t>loss of</w:t>
      </w:r>
      <w:r w:rsidR="00C16C11" w:rsidRPr="004C3A91">
        <w:rPr>
          <w:rFonts w:ascii="Times New Roman" w:hAnsi="Times New Roman" w:cs="Times New Roman"/>
        </w:rPr>
        <w:t xml:space="preserve"> sequence underlying the probes covering</w:t>
      </w:r>
      <w:r w:rsidR="008E39E0" w:rsidRPr="004C3A91">
        <w:rPr>
          <w:rFonts w:ascii="Times New Roman" w:hAnsi="Times New Roman" w:cs="Times New Roman"/>
        </w:rPr>
        <w:t xml:space="preserve"> </w:t>
      </w:r>
      <w:r w:rsidR="008E39E0" w:rsidRPr="004C3A91">
        <w:rPr>
          <w:rFonts w:ascii="Times New Roman" w:hAnsi="Times New Roman" w:cs="Times New Roman"/>
          <w:i/>
        </w:rPr>
        <w:t xml:space="preserve">CFH </w:t>
      </w:r>
      <w:r w:rsidR="00444817" w:rsidRPr="004C3A91">
        <w:rPr>
          <w:rFonts w:ascii="Times New Roman" w:hAnsi="Times New Roman" w:cs="Times New Roman"/>
        </w:rPr>
        <w:t>Ex.</w:t>
      </w:r>
      <w:r w:rsidR="004704B4" w:rsidRPr="004C3A91">
        <w:rPr>
          <w:rFonts w:ascii="Times New Roman" w:hAnsi="Times New Roman" w:cs="Times New Roman"/>
        </w:rPr>
        <w:t>22/</w:t>
      </w:r>
      <w:r w:rsidR="008E39E0" w:rsidRPr="004C3A91">
        <w:rPr>
          <w:rFonts w:ascii="Times New Roman" w:hAnsi="Times New Roman" w:cs="Times New Roman"/>
        </w:rPr>
        <w:t>23 and</w:t>
      </w:r>
      <w:r w:rsidR="00507913" w:rsidRPr="004C3A91">
        <w:rPr>
          <w:rFonts w:ascii="Times New Roman" w:hAnsi="Times New Roman" w:cs="Times New Roman"/>
        </w:rPr>
        <w:t xml:space="preserve"> gain of</w:t>
      </w:r>
      <w:r w:rsidR="008E39E0" w:rsidRPr="004C3A91">
        <w:rPr>
          <w:rFonts w:ascii="Times New Roman" w:hAnsi="Times New Roman" w:cs="Times New Roman"/>
        </w:rPr>
        <w:t xml:space="preserve"> the </w:t>
      </w:r>
      <w:r w:rsidR="00444817" w:rsidRPr="004C3A91">
        <w:rPr>
          <w:rFonts w:ascii="Times New Roman" w:hAnsi="Times New Roman" w:cs="Times New Roman"/>
        </w:rPr>
        <w:t>corresponding</w:t>
      </w:r>
      <w:r w:rsidR="008E39E0" w:rsidRPr="004C3A91">
        <w:rPr>
          <w:rFonts w:ascii="Times New Roman" w:hAnsi="Times New Roman" w:cs="Times New Roman"/>
        </w:rPr>
        <w:t xml:space="preserve"> </w:t>
      </w:r>
      <w:r w:rsidR="00C16C11" w:rsidRPr="004C3A91">
        <w:rPr>
          <w:rFonts w:ascii="Times New Roman" w:hAnsi="Times New Roman" w:cs="Times New Roman"/>
        </w:rPr>
        <w:t>sequence</w:t>
      </w:r>
      <w:r w:rsidR="008E39E0" w:rsidRPr="004C3A91">
        <w:rPr>
          <w:rFonts w:ascii="Times New Roman" w:hAnsi="Times New Roman" w:cs="Times New Roman"/>
        </w:rPr>
        <w:t xml:space="preserve"> of</w:t>
      </w:r>
      <w:r w:rsidR="00507913" w:rsidRPr="004C3A91">
        <w:rPr>
          <w:rFonts w:ascii="Times New Roman" w:hAnsi="Times New Roman" w:cs="Times New Roman"/>
        </w:rPr>
        <w:t xml:space="preserve"> </w:t>
      </w:r>
      <w:r w:rsidR="00EF315D" w:rsidRPr="004C3A91">
        <w:rPr>
          <w:rFonts w:ascii="Times New Roman" w:hAnsi="Times New Roman" w:cs="Times New Roman"/>
          <w:i/>
        </w:rPr>
        <w:t>CFH</w:t>
      </w:r>
      <w:r w:rsidR="00507913" w:rsidRPr="004C3A91">
        <w:rPr>
          <w:rFonts w:ascii="Times New Roman" w:hAnsi="Times New Roman" w:cs="Times New Roman"/>
          <w:i/>
        </w:rPr>
        <w:t>R1</w:t>
      </w:r>
      <w:r w:rsidR="00EF315D" w:rsidRPr="004C3A91">
        <w:rPr>
          <w:rFonts w:ascii="Times New Roman" w:hAnsi="Times New Roman" w:cs="Times New Roman"/>
          <w:i/>
        </w:rPr>
        <w:t xml:space="preserve"> </w:t>
      </w:r>
      <w:r w:rsidR="00976C85" w:rsidRPr="004C3A91">
        <w:rPr>
          <w:rFonts w:ascii="Times New Roman" w:hAnsi="Times New Roman" w:cs="Times New Roman"/>
        </w:rPr>
        <w:t>(</w:t>
      </w:r>
      <w:r w:rsidR="00EF315D" w:rsidRPr="004C3A91">
        <w:rPr>
          <w:rFonts w:ascii="Times New Roman" w:hAnsi="Times New Roman" w:cs="Times New Roman"/>
        </w:rPr>
        <w:t>Ex</w:t>
      </w:r>
      <w:r w:rsidR="008E39E0" w:rsidRPr="004C3A91">
        <w:rPr>
          <w:rFonts w:ascii="Times New Roman" w:hAnsi="Times New Roman" w:cs="Times New Roman"/>
        </w:rPr>
        <w:t>.</w:t>
      </w:r>
      <w:r w:rsidR="004704B4" w:rsidRPr="004C3A91">
        <w:rPr>
          <w:rFonts w:ascii="Times New Roman" w:hAnsi="Times New Roman" w:cs="Times New Roman"/>
        </w:rPr>
        <w:t>5/</w:t>
      </w:r>
      <w:r w:rsidR="00507913" w:rsidRPr="004C3A91">
        <w:rPr>
          <w:rFonts w:ascii="Times New Roman" w:hAnsi="Times New Roman" w:cs="Times New Roman"/>
        </w:rPr>
        <w:t>6</w:t>
      </w:r>
      <w:r w:rsidR="00976C85" w:rsidRPr="004C3A91">
        <w:rPr>
          <w:rFonts w:ascii="Times New Roman" w:hAnsi="Times New Roman" w:cs="Times New Roman"/>
        </w:rPr>
        <w:t>)</w:t>
      </w:r>
      <w:r w:rsidR="00507913" w:rsidRPr="004C3A91">
        <w:rPr>
          <w:rFonts w:ascii="Times New Roman" w:hAnsi="Times New Roman" w:cs="Times New Roman"/>
        </w:rPr>
        <w:t>. CFHR</w:t>
      </w:r>
      <w:proofErr w:type="gramStart"/>
      <w:r w:rsidR="00507913" w:rsidRPr="004C3A91">
        <w:rPr>
          <w:rFonts w:ascii="Times New Roman" w:hAnsi="Times New Roman" w:cs="Times New Roman"/>
        </w:rPr>
        <w:t>1::</w:t>
      </w:r>
      <w:proofErr w:type="gramEnd"/>
      <w:r w:rsidR="00507913" w:rsidRPr="004C3A91">
        <w:rPr>
          <w:rFonts w:ascii="Times New Roman" w:hAnsi="Times New Roman" w:cs="Times New Roman"/>
        </w:rPr>
        <w:t>CFH hybrid</w:t>
      </w:r>
      <w:r w:rsidR="00444817" w:rsidRPr="004C3A91">
        <w:rPr>
          <w:rFonts w:ascii="Times New Roman" w:hAnsi="Times New Roman" w:cs="Times New Roman"/>
        </w:rPr>
        <w:t>s</w:t>
      </w:r>
      <w:r w:rsidR="00507913" w:rsidRPr="004C3A91">
        <w:rPr>
          <w:rFonts w:ascii="Times New Roman" w:hAnsi="Times New Roman" w:cs="Times New Roman"/>
        </w:rPr>
        <w:t xml:space="preserve"> were identified due to</w:t>
      </w:r>
      <w:r w:rsidR="004704B4" w:rsidRPr="004C3A91">
        <w:rPr>
          <w:rFonts w:ascii="Times New Roman" w:hAnsi="Times New Roman" w:cs="Times New Roman"/>
        </w:rPr>
        <w:t xml:space="preserve"> loss of </w:t>
      </w:r>
      <w:r w:rsidR="004704B4" w:rsidRPr="004C3A91">
        <w:rPr>
          <w:rFonts w:ascii="Times New Roman" w:hAnsi="Times New Roman" w:cs="Times New Roman"/>
          <w:i/>
        </w:rPr>
        <w:t xml:space="preserve">CFHR1 </w:t>
      </w:r>
      <w:r w:rsidR="004704B4" w:rsidRPr="004C3A91">
        <w:rPr>
          <w:rFonts w:ascii="Times New Roman" w:hAnsi="Times New Roman" w:cs="Times New Roman"/>
        </w:rPr>
        <w:t>Ex.5/6 and</w:t>
      </w:r>
      <w:r w:rsidR="00507913" w:rsidRPr="004C3A91">
        <w:rPr>
          <w:rFonts w:ascii="Times New Roman" w:hAnsi="Times New Roman" w:cs="Times New Roman"/>
        </w:rPr>
        <w:t xml:space="preserve"> gain of </w:t>
      </w:r>
      <w:r w:rsidR="00507913" w:rsidRPr="004C3A91">
        <w:rPr>
          <w:rFonts w:ascii="Times New Roman" w:hAnsi="Times New Roman" w:cs="Times New Roman"/>
          <w:i/>
        </w:rPr>
        <w:t xml:space="preserve">CFH </w:t>
      </w:r>
      <w:r w:rsidR="00507913" w:rsidRPr="004C3A91">
        <w:rPr>
          <w:rFonts w:ascii="Times New Roman" w:hAnsi="Times New Roman" w:cs="Times New Roman"/>
        </w:rPr>
        <w:t>Ex</w:t>
      </w:r>
      <w:r w:rsidR="008E39E0" w:rsidRPr="004C3A91">
        <w:rPr>
          <w:rFonts w:ascii="Times New Roman" w:hAnsi="Times New Roman" w:cs="Times New Roman"/>
        </w:rPr>
        <w:t>.</w:t>
      </w:r>
      <w:r w:rsidR="004704B4" w:rsidRPr="004C3A91">
        <w:rPr>
          <w:rFonts w:ascii="Times New Roman" w:hAnsi="Times New Roman" w:cs="Times New Roman"/>
        </w:rPr>
        <w:t>22/</w:t>
      </w:r>
      <w:r w:rsidR="00507913" w:rsidRPr="004C3A91">
        <w:rPr>
          <w:rFonts w:ascii="Times New Roman" w:hAnsi="Times New Roman" w:cs="Times New Roman"/>
        </w:rPr>
        <w:t>23.</w:t>
      </w:r>
      <w:r w:rsidR="001502FB" w:rsidRPr="004C3A91">
        <w:rPr>
          <w:rFonts w:ascii="Times New Roman" w:hAnsi="Times New Roman" w:cs="Times New Roman"/>
        </w:rPr>
        <w:t xml:space="preserve"> </w:t>
      </w:r>
    </w:p>
    <w:p w:rsidR="00EE7E82" w:rsidRPr="004C3A91" w:rsidRDefault="00EE7E82" w:rsidP="00A514B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44DF1" w:rsidRPr="004C3A91" w:rsidRDefault="00844DF1" w:rsidP="00A514B0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C3A91">
        <w:rPr>
          <w:rFonts w:ascii="Times New Roman" w:hAnsi="Times New Roman" w:cs="Times New Roman"/>
          <w:b/>
          <w:u w:val="single"/>
        </w:rPr>
        <w:t>Results</w:t>
      </w:r>
    </w:p>
    <w:p w:rsidR="00282D32" w:rsidRPr="004C3A91" w:rsidRDefault="00976C85" w:rsidP="00A514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3A91">
        <w:rPr>
          <w:rFonts w:ascii="Times New Roman" w:hAnsi="Times New Roman" w:cs="Times New Roman"/>
        </w:rPr>
        <w:t>Direct s</w:t>
      </w:r>
      <w:r w:rsidR="00FA47A1" w:rsidRPr="004C3A91">
        <w:rPr>
          <w:rFonts w:ascii="Times New Roman" w:hAnsi="Times New Roman" w:cs="Times New Roman"/>
        </w:rPr>
        <w:t>equencing identified</w:t>
      </w:r>
      <w:r w:rsidR="00D253BD" w:rsidRPr="004C3A91">
        <w:rPr>
          <w:rFonts w:ascii="Times New Roman" w:hAnsi="Times New Roman" w:cs="Times New Roman"/>
        </w:rPr>
        <w:t xml:space="preserve"> </w:t>
      </w:r>
      <w:r w:rsidR="00282D32" w:rsidRPr="004C3A91">
        <w:rPr>
          <w:rFonts w:ascii="Times New Roman" w:hAnsi="Times New Roman" w:cs="Times New Roman"/>
        </w:rPr>
        <w:t>77</w:t>
      </w:r>
      <w:r w:rsidR="00D253BD" w:rsidRPr="004C3A91">
        <w:rPr>
          <w:rFonts w:ascii="Times New Roman" w:hAnsi="Times New Roman" w:cs="Times New Roman"/>
        </w:rPr>
        <w:t xml:space="preserve"> </w:t>
      </w:r>
      <w:r w:rsidR="00C23235" w:rsidRPr="004C3A91">
        <w:rPr>
          <w:rFonts w:ascii="Times New Roman" w:hAnsi="Times New Roman" w:cs="Times New Roman"/>
        </w:rPr>
        <w:t>cases</w:t>
      </w:r>
      <w:r w:rsidR="00D253BD" w:rsidRPr="004C3A91">
        <w:rPr>
          <w:rFonts w:ascii="Times New Roman" w:hAnsi="Times New Roman" w:cs="Times New Roman"/>
        </w:rPr>
        <w:t xml:space="preserve"> with pathogenic variants</w:t>
      </w:r>
      <w:r w:rsidR="00672447" w:rsidRPr="004C3A91">
        <w:rPr>
          <w:rFonts w:ascii="Times New Roman" w:hAnsi="Times New Roman" w:cs="Times New Roman"/>
        </w:rPr>
        <w:t xml:space="preserve"> in </w:t>
      </w:r>
      <w:r w:rsidR="00672447" w:rsidRPr="004C3A91">
        <w:rPr>
          <w:rFonts w:ascii="Times New Roman" w:hAnsi="Times New Roman" w:cs="Times New Roman"/>
          <w:i/>
        </w:rPr>
        <w:t>CFH</w:t>
      </w:r>
      <w:r w:rsidR="00D253BD" w:rsidRPr="004C3A91">
        <w:rPr>
          <w:rFonts w:ascii="Times New Roman" w:hAnsi="Times New Roman" w:cs="Times New Roman"/>
        </w:rPr>
        <w:t>.</w:t>
      </w:r>
      <w:r w:rsidR="00FA47A1" w:rsidRPr="004C3A91">
        <w:rPr>
          <w:rFonts w:ascii="Times New Roman" w:hAnsi="Times New Roman" w:cs="Times New Roman"/>
        </w:rPr>
        <w:t xml:space="preserve"> </w:t>
      </w:r>
      <w:r w:rsidR="003469A2" w:rsidRPr="004C3A91">
        <w:rPr>
          <w:rFonts w:ascii="Times New Roman" w:hAnsi="Times New Roman" w:cs="Times New Roman"/>
        </w:rPr>
        <w:t xml:space="preserve">Copy number analysis </w:t>
      </w:r>
      <w:r w:rsidR="00FA47A1" w:rsidRPr="004C3A91">
        <w:rPr>
          <w:rFonts w:ascii="Times New Roman" w:hAnsi="Times New Roman" w:cs="Times New Roman"/>
        </w:rPr>
        <w:t xml:space="preserve">revealed an additional </w:t>
      </w:r>
      <w:r w:rsidR="00282D32" w:rsidRPr="004C3A91">
        <w:rPr>
          <w:rFonts w:ascii="Times New Roman" w:hAnsi="Times New Roman" w:cs="Times New Roman"/>
        </w:rPr>
        <w:t>46</w:t>
      </w:r>
      <w:r w:rsidR="00FA47A1" w:rsidRPr="004C3A91">
        <w:rPr>
          <w:rFonts w:ascii="Times New Roman" w:hAnsi="Times New Roman" w:cs="Times New Roman"/>
        </w:rPr>
        <w:t xml:space="preserve"> patients with either </w:t>
      </w:r>
      <w:proofErr w:type="gramStart"/>
      <w:r w:rsidR="00FA47A1" w:rsidRPr="004C3A91">
        <w:rPr>
          <w:rFonts w:ascii="Times New Roman" w:hAnsi="Times New Roman" w:cs="Times New Roman"/>
          <w:i/>
        </w:rPr>
        <w:t>CFH::</w:t>
      </w:r>
      <w:proofErr w:type="gramEnd"/>
      <w:r w:rsidR="00FA47A1" w:rsidRPr="004C3A91">
        <w:rPr>
          <w:rFonts w:ascii="Times New Roman" w:hAnsi="Times New Roman" w:cs="Times New Roman"/>
          <w:i/>
        </w:rPr>
        <w:t>CFHR1</w:t>
      </w:r>
      <w:r w:rsidR="00FA47A1" w:rsidRPr="004C3A91">
        <w:rPr>
          <w:rFonts w:ascii="Times New Roman" w:hAnsi="Times New Roman" w:cs="Times New Roman"/>
        </w:rPr>
        <w:t xml:space="preserve"> or </w:t>
      </w:r>
      <w:r w:rsidR="00FA47A1" w:rsidRPr="004C3A91">
        <w:rPr>
          <w:rFonts w:ascii="Times New Roman" w:hAnsi="Times New Roman" w:cs="Times New Roman"/>
          <w:i/>
        </w:rPr>
        <w:t>CFHR1::CFH</w:t>
      </w:r>
      <w:r w:rsidR="00FA47A1" w:rsidRPr="004C3A91">
        <w:rPr>
          <w:rFonts w:ascii="Times New Roman" w:hAnsi="Times New Roman" w:cs="Times New Roman"/>
        </w:rPr>
        <w:t xml:space="preserve"> hybrid</w:t>
      </w:r>
      <w:r w:rsidR="004704B4" w:rsidRPr="004C3A91">
        <w:rPr>
          <w:rFonts w:ascii="Times New Roman" w:hAnsi="Times New Roman" w:cs="Times New Roman"/>
        </w:rPr>
        <w:t>s</w:t>
      </w:r>
      <w:r w:rsidR="003469A2" w:rsidRPr="004C3A91">
        <w:rPr>
          <w:rFonts w:ascii="Times New Roman" w:hAnsi="Times New Roman" w:cs="Times New Roman"/>
        </w:rPr>
        <w:t>, which could then be subdivided in to gene conversions, single crossovers and double crossover events</w:t>
      </w:r>
      <w:r w:rsidR="00C16C11" w:rsidRPr="004C3A91">
        <w:rPr>
          <w:rFonts w:ascii="Times New Roman" w:hAnsi="Times New Roman" w:cs="Times New Roman"/>
        </w:rPr>
        <w:t>, based on the copy number of CFHR3 and CFHR1 Ex.1-4</w:t>
      </w:r>
      <w:r w:rsidR="00965B42">
        <w:rPr>
          <w:rFonts w:ascii="Times New Roman" w:hAnsi="Times New Roman" w:cs="Times New Roman"/>
        </w:rPr>
        <w:t xml:space="preserve">. </w:t>
      </w:r>
    </w:p>
    <w:p w:rsidR="00EE7E82" w:rsidRPr="004C3A91" w:rsidRDefault="00EE7E82" w:rsidP="005759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E82" w:rsidRPr="004C3A91" w:rsidRDefault="00844DF1" w:rsidP="0057596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C3A91">
        <w:rPr>
          <w:rFonts w:ascii="Times New Roman" w:hAnsi="Times New Roman" w:cs="Times New Roman"/>
          <w:b/>
          <w:u w:val="single"/>
        </w:rPr>
        <w:t>Discussion</w:t>
      </w:r>
    </w:p>
    <w:p w:rsidR="008003ED" w:rsidRPr="004C3A91" w:rsidRDefault="00672447" w:rsidP="005759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3A91">
        <w:rPr>
          <w:rFonts w:ascii="Times New Roman" w:hAnsi="Times New Roman" w:cs="Times New Roman"/>
        </w:rPr>
        <w:t xml:space="preserve">Genomic rearrangement </w:t>
      </w:r>
      <w:r w:rsidR="00EE7E82" w:rsidRPr="004C3A91">
        <w:rPr>
          <w:rFonts w:ascii="Times New Roman" w:hAnsi="Times New Roman" w:cs="Times New Roman"/>
        </w:rPr>
        <w:t xml:space="preserve">events within </w:t>
      </w:r>
      <w:r w:rsidR="003A421C" w:rsidRPr="004C3A91">
        <w:rPr>
          <w:rFonts w:ascii="Times New Roman" w:hAnsi="Times New Roman" w:cs="Times New Roman"/>
          <w:i/>
        </w:rPr>
        <w:t xml:space="preserve">CFH </w:t>
      </w:r>
      <w:r w:rsidR="00EE7E82" w:rsidRPr="004C3A91">
        <w:rPr>
          <w:rFonts w:ascii="Times New Roman" w:hAnsi="Times New Roman" w:cs="Times New Roman"/>
        </w:rPr>
        <w:t xml:space="preserve">are </w:t>
      </w:r>
      <w:r w:rsidR="00844DF1" w:rsidRPr="004C3A91">
        <w:rPr>
          <w:rFonts w:ascii="Times New Roman" w:hAnsi="Times New Roman" w:cs="Times New Roman"/>
        </w:rPr>
        <w:t xml:space="preserve">responsible for one third of pathogenic variants in </w:t>
      </w:r>
      <w:r w:rsidR="00844DF1" w:rsidRPr="004C3A91">
        <w:rPr>
          <w:rFonts w:ascii="Times New Roman" w:hAnsi="Times New Roman" w:cs="Times New Roman"/>
          <w:i/>
        </w:rPr>
        <w:t xml:space="preserve">CFH </w:t>
      </w:r>
      <w:r w:rsidR="00844DF1" w:rsidRPr="004C3A91">
        <w:rPr>
          <w:rFonts w:ascii="Times New Roman" w:hAnsi="Times New Roman" w:cs="Times New Roman"/>
        </w:rPr>
        <w:t xml:space="preserve">in </w:t>
      </w:r>
      <w:r w:rsidRPr="004C3A91">
        <w:rPr>
          <w:rFonts w:ascii="Times New Roman" w:hAnsi="Times New Roman" w:cs="Times New Roman"/>
        </w:rPr>
        <w:t>aHUS</w:t>
      </w:r>
      <w:r w:rsidR="00BE7E99" w:rsidRPr="004C3A91">
        <w:rPr>
          <w:rFonts w:ascii="Times New Roman" w:hAnsi="Times New Roman" w:cs="Times New Roman"/>
        </w:rPr>
        <w:t>.</w:t>
      </w:r>
      <w:r w:rsidR="00FA47A1" w:rsidRPr="004C3A91">
        <w:rPr>
          <w:rFonts w:ascii="Times New Roman" w:hAnsi="Times New Roman" w:cs="Times New Roman"/>
        </w:rPr>
        <w:t xml:space="preserve"> </w:t>
      </w:r>
      <w:r w:rsidRPr="004C3A91">
        <w:rPr>
          <w:rFonts w:ascii="Times New Roman" w:hAnsi="Times New Roman" w:cs="Times New Roman"/>
        </w:rPr>
        <w:t xml:space="preserve">These </w:t>
      </w:r>
      <w:r w:rsidR="00FA47A1" w:rsidRPr="004C3A91">
        <w:rPr>
          <w:rFonts w:ascii="Times New Roman" w:hAnsi="Times New Roman" w:cs="Times New Roman"/>
        </w:rPr>
        <w:t xml:space="preserve">events </w:t>
      </w:r>
      <w:r w:rsidR="00844DF1" w:rsidRPr="004C3A91">
        <w:rPr>
          <w:rFonts w:ascii="Times New Roman" w:hAnsi="Times New Roman" w:cs="Times New Roman"/>
        </w:rPr>
        <w:t>will</w:t>
      </w:r>
      <w:r w:rsidRPr="004C3A91">
        <w:rPr>
          <w:rFonts w:ascii="Times New Roman" w:hAnsi="Times New Roman" w:cs="Times New Roman"/>
        </w:rPr>
        <w:t xml:space="preserve"> not</w:t>
      </w:r>
      <w:r w:rsidR="00BE7E99" w:rsidRPr="004C3A91">
        <w:rPr>
          <w:rFonts w:ascii="Times New Roman" w:hAnsi="Times New Roman" w:cs="Times New Roman"/>
        </w:rPr>
        <w:t xml:space="preserve"> be</w:t>
      </w:r>
      <w:r w:rsidRPr="004C3A91">
        <w:rPr>
          <w:rFonts w:ascii="Times New Roman" w:hAnsi="Times New Roman" w:cs="Times New Roman"/>
        </w:rPr>
        <w:t xml:space="preserve"> identified </w:t>
      </w:r>
      <w:r w:rsidR="00FA47A1" w:rsidRPr="004C3A91">
        <w:rPr>
          <w:rFonts w:ascii="Times New Roman" w:hAnsi="Times New Roman" w:cs="Times New Roman"/>
        </w:rPr>
        <w:t>by</w:t>
      </w:r>
      <w:r w:rsidR="00EE7E82" w:rsidRPr="004C3A91">
        <w:rPr>
          <w:rFonts w:ascii="Times New Roman" w:hAnsi="Times New Roman" w:cs="Times New Roman"/>
        </w:rPr>
        <w:t xml:space="preserve"> Sanger or whole exome sequencing </w:t>
      </w:r>
      <w:r w:rsidR="00844DF1" w:rsidRPr="004C3A91">
        <w:rPr>
          <w:rFonts w:ascii="Times New Roman" w:hAnsi="Times New Roman" w:cs="Times New Roman"/>
        </w:rPr>
        <w:t>techniques,</w:t>
      </w:r>
      <w:r w:rsidR="00C16C11" w:rsidRPr="004C3A91">
        <w:rPr>
          <w:rFonts w:ascii="Times New Roman" w:hAnsi="Times New Roman" w:cs="Times New Roman"/>
        </w:rPr>
        <w:t xml:space="preserve"> as the correct seque</w:t>
      </w:r>
      <w:r w:rsidR="00965B42">
        <w:rPr>
          <w:rFonts w:ascii="Times New Roman" w:hAnsi="Times New Roman" w:cs="Times New Roman"/>
        </w:rPr>
        <w:t>nce is present, but in the wrong genomic location</w:t>
      </w:r>
      <w:r w:rsidR="00C16C11" w:rsidRPr="004C3A91">
        <w:rPr>
          <w:rFonts w:ascii="Times New Roman" w:hAnsi="Times New Roman" w:cs="Times New Roman"/>
        </w:rPr>
        <w:t>.</w:t>
      </w:r>
      <w:r w:rsidR="00965B42">
        <w:rPr>
          <w:rFonts w:ascii="Times New Roman" w:hAnsi="Times New Roman" w:cs="Times New Roman"/>
        </w:rPr>
        <w:t xml:space="preserve"> C</w:t>
      </w:r>
      <w:r w:rsidR="00EE7E82" w:rsidRPr="004C3A91">
        <w:rPr>
          <w:rFonts w:ascii="Times New Roman" w:hAnsi="Times New Roman" w:cs="Times New Roman"/>
        </w:rPr>
        <w:t xml:space="preserve">opy number </w:t>
      </w:r>
      <w:r w:rsidR="00444817" w:rsidRPr="004C3A91">
        <w:rPr>
          <w:rFonts w:ascii="Times New Roman" w:hAnsi="Times New Roman" w:cs="Times New Roman"/>
        </w:rPr>
        <w:t xml:space="preserve">analysis </w:t>
      </w:r>
      <w:r w:rsidR="00965B42">
        <w:rPr>
          <w:rFonts w:ascii="Times New Roman" w:hAnsi="Times New Roman" w:cs="Times New Roman"/>
        </w:rPr>
        <w:t xml:space="preserve">is therefore essential </w:t>
      </w:r>
      <w:r w:rsidR="00EF315D" w:rsidRPr="004C3A91">
        <w:rPr>
          <w:rFonts w:ascii="Times New Roman" w:hAnsi="Times New Roman" w:cs="Times New Roman"/>
        </w:rPr>
        <w:t>to</w:t>
      </w:r>
      <w:r w:rsidR="00521837">
        <w:rPr>
          <w:rFonts w:ascii="Times New Roman" w:hAnsi="Times New Roman" w:cs="Times New Roman"/>
        </w:rPr>
        <w:t xml:space="preserve"> ensure patients with these variants are not missed</w:t>
      </w:r>
      <w:r w:rsidR="00844DF1" w:rsidRPr="004C3A91">
        <w:rPr>
          <w:rFonts w:ascii="Times New Roman" w:hAnsi="Times New Roman" w:cs="Times New Roman"/>
        </w:rPr>
        <w:t>.</w:t>
      </w:r>
      <w:r w:rsidR="003A421C" w:rsidRPr="004C3A91">
        <w:rPr>
          <w:rFonts w:ascii="Times New Roman" w:hAnsi="Times New Roman" w:cs="Times New Roman"/>
          <w:i/>
        </w:rPr>
        <w:t xml:space="preserve"> </w:t>
      </w:r>
    </w:p>
    <w:sectPr w:rsidR="008003ED" w:rsidRPr="004C3A91" w:rsidSect="004C3A9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0738"/>
    <w:multiLevelType w:val="multilevel"/>
    <w:tmpl w:val="513E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9"/>
    <w:rsid w:val="00010CB9"/>
    <w:rsid w:val="0002310B"/>
    <w:rsid w:val="00053D61"/>
    <w:rsid w:val="0010389A"/>
    <w:rsid w:val="001502FB"/>
    <w:rsid w:val="00274B8C"/>
    <w:rsid w:val="00282D32"/>
    <w:rsid w:val="00283E10"/>
    <w:rsid w:val="003469A2"/>
    <w:rsid w:val="003A421C"/>
    <w:rsid w:val="00427A49"/>
    <w:rsid w:val="00444817"/>
    <w:rsid w:val="004704B4"/>
    <w:rsid w:val="004B29E6"/>
    <w:rsid w:val="004B2B7D"/>
    <w:rsid w:val="004B50CD"/>
    <w:rsid w:val="004C3A91"/>
    <w:rsid w:val="00507913"/>
    <w:rsid w:val="00521837"/>
    <w:rsid w:val="00541D72"/>
    <w:rsid w:val="00575962"/>
    <w:rsid w:val="00672447"/>
    <w:rsid w:val="00713C87"/>
    <w:rsid w:val="0072399C"/>
    <w:rsid w:val="0076088B"/>
    <w:rsid w:val="00786D60"/>
    <w:rsid w:val="007A586A"/>
    <w:rsid w:val="008003ED"/>
    <w:rsid w:val="00812626"/>
    <w:rsid w:val="00844DF1"/>
    <w:rsid w:val="0085733A"/>
    <w:rsid w:val="00892ACD"/>
    <w:rsid w:val="008E39E0"/>
    <w:rsid w:val="0093491F"/>
    <w:rsid w:val="00965B42"/>
    <w:rsid w:val="00976C85"/>
    <w:rsid w:val="009D1128"/>
    <w:rsid w:val="00A514B0"/>
    <w:rsid w:val="00B660D3"/>
    <w:rsid w:val="00BE7E99"/>
    <w:rsid w:val="00BF4D80"/>
    <w:rsid w:val="00C16C11"/>
    <w:rsid w:val="00C23235"/>
    <w:rsid w:val="00C406B8"/>
    <w:rsid w:val="00C407B0"/>
    <w:rsid w:val="00CF7FC4"/>
    <w:rsid w:val="00D253BD"/>
    <w:rsid w:val="00D52D3A"/>
    <w:rsid w:val="00D654B3"/>
    <w:rsid w:val="00DF70AD"/>
    <w:rsid w:val="00E3368E"/>
    <w:rsid w:val="00E44B42"/>
    <w:rsid w:val="00EE7E82"/>
    <w:rsid w:val="00EF315D"/>
    <w:rsid w:val="00F25B73"/>
    <w:rsid w:val="00F948D0"/>
    <w:rsid w:val="00FA47A1"/>
    <w:rsid w:val="00FB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D42F"/>
  <w15:docId w15:val="{A7959A21-1345-4036-9C11-BDC9AC17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27A4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7A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7A49"/>
    <w:rPr>
      <w:rFonts w:ascii="Arial" w:hAnsi="Arial" w:cs="Arial"/>
      <w:b/>
      <w:bCs/>
      <w:color w:val="auto"/>
    </w:rPr>
  </w:style>
  <w:style w:type="character" w:styleId="Hyperlink">
    <w:name w:val="Hyperlink"/>
    <w:basedOn w:val="DefaultParagraphFont"/>
    <w:uiPriority w:val="99"/>
    <w:unhideWhenUsed/>
    <w:rsid w:val="00BF4D8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4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80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80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Walsh</dc:creator>
  <cp:lastModifiedBy>patrick Walsh</cp:lastModifiedBy>
  <cp:revision>6</cp:revision>
  <dcterms:created xsi:type="dcterms:W3CDTF">2018-01-21T05:54:00Z</dcterms:created>
  <dcterms:modified xsi:type="dcterms:W3CDTF">2018-01-30T22:13:00Z</dcterms:modified>
</cp:coreProperties>
</file>