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C057F" w14:textId="47A51DFC" w:rsidR="007C000E" w:rsidRPr="00647C2A" w:rsidRDefault="007C000E" w:rsidP="007C000E">
      <w:pPr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</w:pPr>
      <w:r w:rsidRPr="00647C2A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 xml:space="preserve">Assessing the demand for 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 xml:space="preserve">short animated information videos 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>to enhance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 xml:space="preserve"> knowledge and un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 xml:space="preserve">derstanding of renal conditions 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>for patients, carers and healthcare professionals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 xml:space="preserve">. </w:t>
      </w:r>
      <w:r w:rsidRPr="00647C2A"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  <w:t xml:space="preserve"> </w:t>
      </w:r>
    </w:p>
    <w:p w14:paraId="2525669C" w14:textId="77777777" w:rsidR="008E1220" w:rsidRDefault="008E1220" w:rsidP="009338AD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</w:p>
    <w:p w14:paraId="6CD5EBD4" w14:textId="50FF77FE" w:rsidR="00850790" w:rsidRPr="008E1220" w:rsidRDefault="00335D47" w:rsidP="009338AD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Ai</w:t>
      </w:r>
      <w:r w:rsidR="00850790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ms</w:t>
      </w:r>
      <w:r w:rsidR="008E1220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.</w:t>
      </w:r>
      <w:r w:rsidR="00850790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To assess </w:t>
      </w:r>
      <w:r w:rsidR="00905716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the demand for the development of </w:t>
      </w:r>
      <w:r w:rsidR="007C686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short animated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videos </w:t>
      </w:r>
      <w:r w:rsidR="00905716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about different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renal conditions to help </w:t>
      </w:r>
      <w:r w:rsidR="007C686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patients and carers under</w:t>
      </w:r>
      <w:r w:rsidR="00015CD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stand their underlying condition</w:t>
      </w:r>
      <w:r w:rsidR="007C000E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to help aid patient empowerment</w:t>
      </w:r>
      <w:r w:rsidR="00015CD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. </w:t>
      </w:r>
    </w:p>
    <w:p w14:paraId="49506720" w14:textId="77777777" w:rsidR="00015CD9" w:rsidRPr="008E1220" w:rsidRDefault="00015CD9" w:rsidP="009338AD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</w:p>
    <w:p w14:paraId="1904493D" w14:textId="60C5F183" w:rsidR="008B6BA3" w:rsidRPr="008E1220" w:rsidRDefault="008B6BA3" w:rsidP="00786F5C">
      <w:pPr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Background</w:t>
      </w:r>
      <w:r w:rsidR="008E1220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.</w:t>
      </w:r>
      <w:r w:rsidR="00AA3DD3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 xml:space="preserve">  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Patient empowerment is widely recognised as an essential component of </w:t>
      </w:r>
      <w:r w:rsidR="00646138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sustainable 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high-quality, patient-centred</w:t>
      </w:r>
      <w:r w:rsidR="00646138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 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healthcare systems particularly in helping to address the expanding burden of chronic diseases.  Where possible patients are expected to take more control over their ill</w:t>
      </w:r>
      <w:r w:rsidR="00905716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nesses or treatments and the multidisciplinary teams (MDTs) 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are expected to encoura</w:t>
      </w:r>
      <w:r w:rsidR="00905716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ge or ‘emp</w:t>
      </w:r>
      <w:r w:rsidR="00646138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ower’ them to do so.  </w:t>
      </w:r>
      <w:r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 key element of patient empowerment is </w:t>
      </w:r>
      <w:r w:rsidR="00646138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enabling patients/carers to </w:t>
      </w:r>
      <w:r w:rsidR="001E394A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understand their condition, </w:t>
      </w:r>
      <w:r w:rsidR="00646138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gain the knowledge and skills ne</w:t>
      </w:r>
      <w:r w:rsidR="001E394A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cessary to help manage their </w:t>
      </w:r>
      <w:r w:rsidR="0052571F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condition</w:t>
      </w:r>
      <w:r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="00646138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and actively </w:t>
      </w:r>
      <w:r w:rsidR="00273320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p</w:t>
      </w:r>
      <w:r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articipate in making decisions about their care</w:t>
      </w:r>
      <w:r w:rsidR="00646138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.</w:t>
      </w:r>
    </w:p>
    <w:p w14:paraId="4930EFC6" w14:textId="100C7812" w:rsidR="0052571F" w:rsidRPr="008E1220" w:rsidRDefault="0052571F" w:rsidP="009338AD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The use of the written word is not necessarily the best means of communication especially with patient</w:t>
      </w:r>
      <w:r w:rsidR="001E394A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s</w:t>
      </w:r>
      <w:r w:rsidR="00DD37E3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/carers</w:t>
      </w:r>
      <w:r w:rsidR="001E394A"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 who may be anxious, overwhelmed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 </w:t>
      </w:r>
      <w:r w:rsidR="00DD37E3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by their condition 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>and</w:t>
      </w:r>
      <w:r w:rsidR="00DD37E3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 may also have learning difficulties</w:t>
      </w:r>
      <w:r w:rsidRPr="008E1220">
        <w:rPr>
          <w:rFonts w:ascii="Times New Roman" w:eastAsia="Times New Roman" w:hAnsi="Times New Roman" w:cs="Times New Roman"/>
          <w:color w:val="4A4A4A"/>
          <w:sz w:val="22"/>
          <w:szCs w:val="22"/>
          <w:shd w:val="clear" w:color="auto" w:fill="FFFFFF"/>
          <w:lang w:val="en-GB"/>
        </w:rPr>
        <w:t xml:space="preserve">. </w:t>
      </w:r>
      <w:r w:rsidR="001E394A" w:rsidRPr="008E122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r w:rsidR="008B6BA3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Studies show </w:t>
      </w:r>
      <w:r w:rsidR="008B6BA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human</w:t>
      </w:r>
      <w:r w:rsidR="00573C2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s are vision oriented and</w:t>
      </w:r>
      <w:r w:rsidR="008B6BA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take up about 70% of new information visually</w:t>
      </w:r>
      <w:r w:rsidR="00573C2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. 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Learning has been shown t</w:t>
      </w:r>
      <w:r w:rsidR="001E394A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o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be </w:t>
      </w:r>
      <w:r w:rsidR="00573C2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better </w:t>
      </w:r>
      <w:r w:rsidR="008B6BA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if multiple sensory channels are used</w:t>
      </w:r>
      <w:r w:rsidR="00573C2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- hearing and seeing </w:t>
      </w:r>
      <w:r w:rsidR="008B6BA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information at the same tim</w:t>
      </w:r>
      <w:r w:rsidR="00573C29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e </w:t>
      </w:r>
      <w:r w:rsidR="008B6BA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has a reinforcing effect. </w:t>
      </w:r>
      <w:r w:rsidR="001E394A" w:rsidRPr="008E122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r w:rsidR="00786F5C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Modern commercially motivated communication often uses videos / animations and there are a plethora of devices such as smart phones, tablets and computers to access them. </w:t>
      </w:r>
      <w:r w:rsidR="001E394A" w:rsidRPr="008E1220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n-GB"/>
        </w:rPr>
        <w:t xml:space="preserve">Many younger patients are more familiar and prefer social media and visual information than traditional paper information.  </w:t>
      </w:r>
    </w:p>
    <w:p w14:paraId="32A0CA95" w14:textId="77777777" w:rsidR="0052571F" w:rsidRPr="008E1220" w:rsidRDefault="0052571F" w:rsidP="009338AD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</w:p>
    <w:p w14:paraId="5320174D" w14:textId="33323A00" w:rsidR="00850790" w:rsidRPr="008E1220" w:rsidRDefault="00850790" w:rsidP="009338AD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Methods</w:t>
      </w:r>
      <w:r w:rsidR="008E1220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.</w:t>
      </w:r>
    </w:p>
    <w:p w14:paraId="63118BEF" w14:textId="77777777" w:rsidR="008E1220" w:rsidRPr="008E1220" w:rsidRDefault="008E1220" w:rsidP="009338AD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</w:p>
    <w:p w14:paraId="4DF82850" w14:textId="420860D1" w:rsidR="00237097" w:rsidRPr="008E1220" w:rsidRDefault="001E394A" w:rsidP="0085079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</w:pP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Group 1: 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From 5.1.18 – 31.1.18 p</w:t>
      </w:r>
      <w:r w:rsidR="0052571F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atients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with non-cystinosis kidney disease, their carers and healthcare teams </w:t>
      </w:r>
      <w:r w:rsidR="00850790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were shown a short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information video about cystinosis- </w:t>
      </w:r>
      <w:r w:rsidR="00EA6790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(cystinosislife.orphan-europe.com)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describing cause and effect.  They were then asked if a video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about their renal condition</w:t>
      </w:r>
      <w:r w:rsidR="00EA6790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, in a similar format,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would be beneficial ‘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</w:rPr>
        <w:t xml:space="preserve">Would you like a video similar to this to explain your child’s/patient’s condition’.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They were also 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asked whether they would still want a video even if an information leaflet was already available on their renal condition.    </w:t>
      </w:r>
    </w:p>
    <w:p w14:paraId="001BA1A0" w14:textId="583A69CD" w:rsidR="00335D47" w:rsidRPr="008E1220" w:rsidRDefault="001E394A" w:rsidP="0085079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242729"/>
          <w:sz w:val="22"/>
          <w:szCs w:val="22"/>
          <w:shd w:val="clear" w:color="auto" w:fill="FFFFFF"/>
        </w:rPr>
      </w:pP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Group 2:  </w:t>
      </w:r>
      <w:r w:rsid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In February 2018 at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a national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nephrolog</w:t>
      </w:r>
      <w:r w:rsidR="002C10C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y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study day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for </w:t>
      </w:r>
      <w:r w:rsidR="002C10C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paediatric MDTs, adult MDTs, 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patients, carers and charity organisations</w:t>
      </w:r>
      <w:r w:rsidR="00F3507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,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the same video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with the</w:t>
      </w:r>
      <w:r w:rsidR="002C10C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patient/carer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/MDT</w:t>
      </w:r>
      <w:r w:rsidR="002C10C3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feedback,</w:t>
      </w:r>
      <w:r w:rsidR="0098303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was shown to the audience and responses polled anonymously to determine whether </w:t>
      </w:r>
      <w:r w:rsidR="00335D4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a repository </w:t>
      </w:r>
      <w:r w:rsidR="002C10C3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of</w:t>
      </w:r>
      <w:r w:rsidR="00335D4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 </w:t>
      </w:r>
      <w:r w:rsidR="0023709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 </w:t>
      </w:r>
      <w:r w:rsidR="00335D4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‘bite size’ information videos </w:t>
      </w:r>
      <w:r w:rsidR="0023709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in a similar format be developed </w:t>
      </w:r>
      <w:r w:rsidR="00335D4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for patients/carers/HCP to enhance knowledge and understanding of renal conditions</w:t>
      </w:r>
      <w:r w:rsidR="00237097"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.</w:t>
      </w:r>
    </w:p>
    <w:p w14:paraId="33E7EA3A" w14:textId="77777777" w:rsidR="008E1220" w:rsidRPr="008E1220" w:rsidRDefault="008E1220" w:rsidP="00850790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</w:p>
    <w:p w14:paraId="0487DE0D" w14:textId="5A90DB84" w:rsidR="00850790" w:rsidRPr="008E1220" w:rsidRDefault="008E1220" w:rsidP="00850790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Results</w:t>
      </w:r>
      <w:r w:rsidR="00850790"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.</w:t>
      </w:r>
    </w:p>
    <w:p w14:paraId="44F41844" w14:textId="77777777" w:rsidR="008E1220" w:rsidRPr="008E1220" w:rsidRDefault="008E1220" w:rsidP="00850790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</w:p>
    <w:p w14:paraId="1DFF76C9" w14:textId="02424F97" w:rsidR="00850790" w:rsidRPr="008E1220" w:rsidRDefault="00EA6790" w:rsidP="00850790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Group 1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(n=39). 100% of respondents in Group 1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felt that the animated cystinosis video had helped them understand this rare disease. All stated that they thought a short animated video about their condition in a similar format to the cystinosis video would help them better understand their renal condition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and enable them to share this information with family and friends more easily than a leaflet</w:t>
      </w:r>
      <w:r w:rsidR="00850790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.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 In addition all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thought a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n animated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video 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>would still be beneficial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even if an information leaflet was </w:t>
      </w:r>
      <w:r w:rsidR="00ED2281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already </w:t>
      </w:r>
      <w:r w:rsidR="00237097"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available on their condition.  </w:t>
      </w:r>
    </w:p>
    <w:p w14:paraId="0B5BCE7D" w14:textId="77777777" w:rsidR="00ED2281" w:rsidRPr="008E1220" w:rsidRDefault="00ED2281" w:rsidP="00850790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</w:p>
    <w:p w14:paraId="5C0D3BBE" w14:textId="1C654FFF" w:rsidR="00ED2281" w:rsidRPr="008E1220" w:rsidRDefault="00ED2281" w:rsidP="00850790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Group 2 (n= 79):  100%  respondents in Group 2 stated that a </w:t>
      </w:r>
      <w:r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repository of ‘bite size’ animated information videos should be developed for patients/carers/HCP to enhance knowledge and understanding of renal conditions</w:t>
      </w:r>
    </w:p>
    <w:p w14:paraId="07CDBB54" w14:textId="77777777" w:rsidR="00850790" w:rsidRPr="008E1220" w:rsidRDefault="00850790" w:rsidP="00850790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</w:p>
    <w:p w14:paraId="3C95BC88" w14:textId="77777777" w:rsidR="00850790" w:rsidRPr="008E1220" w:rsidRDefault="00850790" w:rsidP="00850790">
      <w:pPr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b/>
          <w:color w:val="242729"/>
          <w:sz w:val="22"/>
          <w:szCs w:val="22"/>
          <w:shd w:val="clear" w:color="auto" w:fill="FFFFFF"/>
          <w:lang w:val="en-GB"/>
        </w:rPr>
        <w:t>Conclusion.</w:t>
      </w:r>
    </w:p>
    <w:p w14:paraId="21D04792" w14:textId="15B95207" w:rsidR="00200F13" w:rsidRPr="008E1220" w:rsidRDefault="008E1220" w:rsidP="00200F13">
      <w:pPr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</w:pP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There is strong demand for the development of bite sized </w:t>
      </w:r>
      <w:r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animated i</w:t>
      </w:r>
      <w:r w:rsidR="00647C2A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nformation videos from patients,carers and healthcare professionals</w:t>
      </w:r>
      <w:r w:rsidRPr="008E1220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 xml:space="preserve"> to enhance knowledge and understanding of renal conditions.  Condition specific animated video</w:t>
      </w:r>
      <w:r w:rsidR="00647C2A">
        <w:rPr>
          <w:rFonts w:ascii="Times New Roman" w:eastAsia="Times New Roman" w:hAnsi="Times New Roman" w:cs="Times New Roman"/>
          <w:bCs/>
          <w:color w:val="242729"/>
          <w:sz w:val="22"/>
          <w:szCs w:val="22"/>
          <w:shd w:val="clear" w:color="auto" w:fill="FFFFFF"/>
        </w:rPr>
        <w:t>s</w:t>
      </w:r>
      <w:r w:rsidRPr="008E1220">
        <w:rPr>
          <w:rFonts w:ascii="Times New Roman" w:eastAsia="Times New Roman" w:hAnsi="Times New Roman" w:cs="Times New Roman"/>
          <w:color w:val="242729"/>
          <w:sz w:val="22"/>
          <w:szCs w:val="22"/>
          <w:shd w:val="clear" w:color="auto" w:fill="FFFFFF"/>
          <w:lang w:val="en-GB"/>
        </w:rPr>
        <w:t xml:space="preserve"> </w:t>
      </w:r>
      <w:r w:rsidR="00200F13" w:rsidRPr="008E1220">
        <w:rPr>
          <w:rFonts w:ascii="Times New Roman" w:eastAsia="Times New Roman" w:hAnsi="Times New Roman" w:cs="Times New Roman"/>
          <w:sz w:val="22"/>
          <w:szCs w:val="22"/>
          <w:lang w:val="en-GB"/>
        </w:rPr>
        <w:t>should prove to be a very powerful tool for empowering patients and so enable the delivery of a better quality and more sustainable health service.</w:t>
      </w:r>
      <w:r w:rsidR="00647C2A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More research needs to be undertaken in this area.</w:t>
      </w:r>
      <w:bookmarkStart w:id="0" w:name="_GoBack"/>
      <w:bookmarkEnd w:id="0"/>
    </w:p>
    <w:p w14:paraId="79569AC0" w14:textId="77777777" w:rsidR="00F35073" w:rsidRPr="008E1220" w:rsidRDefault="00F35073">
      <w:pPr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sectPr w:rsidR="00F35073" w:rsidRPr="008E1220" w:rsidSect="008E122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3389"/>
    <w:multiLevelType w:val="hybridMultilevel"/>
    <w:tmpl w:val="85B277F2"/>
    <w:lvl w:ilvl="0" w:tplc="E51E50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56985F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13E46F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84A640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01C8D8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FDDEE7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FD4E58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1AE62D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DABC1A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">
    <w:nsid w:val="2AAB233A"/>
    <w:multiLevelType w:val="hybridMultilevel"/>
    <w:tmpl w:val="124A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AD"/>
    <w:rsid w:val="00015CD9"/>
    <w:rsid w:val="00022D92"/>
    <w:rsid w:val="00165095"/>
    <w:rsid w:val="001E394A"/>
    <w:rsid w:val="00200F13"/>
    <w:rsid w:val="00237097"/>
    <w:rsid w:val="00273320"/>
    <w:rsid w:val="002C10C3"/>
    <w:rsid w:val="0030025F"/>
    <w:rsid w:val="0030332E"/>
    <w:rsid w:val="00335D47"/>
    <w:rsid w:val="0042062A"/>
    <w:rsid w:val="00456F5F"/>
    <w:rsid w:val="004767C8"/>
    <w:rsid w:val="0052571F"/>
    <w:rsid w:val="00555CF0"/>
    <w:rsid w:val="00573C29"/>
    <w:rsid w:val="005A5AA5"/>
    <w:rsid w:val="005F2528"/>
    <w:rsid w:val="00646138"/>
    <w:rsid w:val="00647C2A"/>
    <w:rsid w:val="00786F5C"/>
    <w:rsid w:val="007C000E"/>
    <w:rsid w:val="007C6869"/>
    <w:rsid w:val="007E4E4F"/>
    <w:rsid w:val="00850790"/>
    <w:rsid w:val="008A6194"/>
    <w:rsid w:val="008B6BA3"/>
    <w:rsid w:val="008E1220"/>
    <w:rsid w:val="00905716"/>
    <w:rsid w:val="009338AD"/>
    <w:rsid w:val="00983031"/>
    <w:rsid w:val="00AA3DD3"/>
    <w:rsid w:val="00BB47C3"/>
    <w:rsid w:val="00DD37E3"/>
    <w:rsid w:val="00EA6790"/>
    <w:rsid w:val="00ED2281"/>
    <w:rsid w:val="00F35073"/>
    <w:rsid w:val="00F976CC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29C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AD"/>
    <w:rPr>
      <w:i/>
      <w:iCs/>
    </w:rPr>
  </w:style>
  <w:style w:type="paragraph" w:styleId="ListParagraph">
    <w:name w:val="List Paragraph"/>
    <w:basedOn w:val="Normal"/>
    <w:uiPriority w:val="34"/>
    <w:qFormat/>
    <w:rsid w:val="009338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38A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15CD9"/>
    <w:rPr>
      <w:rFonts w:eastAsiaTheme="minorHAns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CD9"/>
    <w:rPr>
      <w:rFonts w:eastAsiaTheme="minorHAnsi"/>
      <w:sz w:val="20"/>
      <w:szCs w:val="20"/>
      <w:lang w:val="en-GB"/>
    </w:rPr>
  </w:style>
  <w:style w:type="character" w:customStyle="1" w:styleId="slug-doi">
    <w:name w:val="slug-doi"/>
    <w:basedOn w:val="DefaultParagraphFont"/>
    <w:rsid w:val="00015C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338AD"/>
    <w:rPr>
      <w:i/>
      <w:iCs/>
    </w:rPr>
  </w:style>
  <w:style w:type="paragraph" w:styleId="ListParagraph">
    <w:name w:val="List Paragraph"/>
    <w:basedOn w:val="Normal"/>
    <w:uiPriority w:val="34"/>
    <w:qFormat/>
    <w:rsid w:val="009338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38A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015CD9"/>
    <w:rPr>
      <w:rFonts w:eastAsiaTheme="minorHAnsi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CD9"/>
    <w:rPr>
      <w:rFonts w:eastAsiaTheme="minorHAnsi"/>
      <w:sz w:val="20"/>
      <w:szCs w:val="20"/>
      <w:lang w:val="en-GB"/>
    </w:rPr>
  </w:style>
  <w:style w:type="character" w:customStyle="1" w:styleId="slug-doi">
    <w:name w:val="slug-doi"/>
    <w:basedOn w:val="DefaultParagraphFont"/>
    <w:rsid w:val="0001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594</Words>
  <Characters>3391</Characters>
  <Application>Microsoft Macintosh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 nagra</dc:creator>
  <cp:keywords/>
  <dc:description/>
  <cp:lastModifiedBy>arv nagra</cp:lastModifiedBy>
  <cp:revision>3</cp:revision>
  <dcterms:created xsi:type="dcterms:W3CDTF">2018-02-05T23:40:00Z</dcterms:created>
  <dcterms:modified xsi:type="dcterms:W3CDTF">2018-02-05T23:42:00Z</dcterms:modified>
</cp:coreProperties>
</file>