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3062D" w14:textId="72F5EE7B" w:rsidR="00E205BA" w:rsidRPr="00655A96" w:rsidRDefault="00E42861" w:rsidP="00655A96">
      <w:pPr>
        <w:pStyle w:val="Heading1"/>
        <w:rPr>
          <w:sz w:val="30"/>
        </w:rPr>
      </w:pPr>
      <w:r>
        <w:rPr>
          <w:sz w:val="30"/>
        </w:rPr>
        <w:t>Impact of Nocturnal haemodialysis on Erythropo</w:t>
      </w:r>
      <w:r w:rsidR="003048D7">
        <w:rPr>
          <w:sz w:val="30"/>
        </w:rPr>
        <w:t>i</w:t>
      </w:r>
      <w:r>
        <w:rPr>
          <w:sz w:val="30"/>
        </w:rPr>
        <w:t>etin responsiveness</w:t>
      </w:r>
      <w:r w:rsidR="00FA00B6" w:rsidRPr="00655A96">
        <w:rPr>
          <w:sz w:val="30"/>
        </w:rPr>
        <w:t xml:space="preserve"> </w:t>
      </w:r>
    </w:p>
    <w:p w14:paraId="65666FBF" w14:textId="2032D9A3" w:rsidR="00D42FB8" w:rsidRPr="00655A96" w:rsidRDefault="008815F0" w:rsidP="00655A96">
      <w:pPr>
        <w:pStyle w:val="Heading1"/>
        <w:rPr>
          <w:sz w:val="26"/>
        </w:rPr>
      </w:pPr>
      <w:r w:rsidRPr="00655A96">
        <w:rPr>
          <w:sz w:val="26"/>
        </w:rPr>
        <w:t xml:space="preserve">Background: </w:t>
      </w:r>
    </w:p>
    <w:p w14:paraId="1CB637CE" w14:textId="21FE5A51" w:rsidR="00FA00B6" w:rsidRDefault="00FA00B6" w:rsidP="00514371">
      <w:pPr>
        <w:pStyle w:val="BodyA"/>
        <w:jc w:val="both"/>
      </w:pPr>
      <w:r>
        <w:t xml:space="preserve">Home nocturnal haemodialysis </w:t>
      </w:r>
      <w:r w:rsidR="005268EC">
        <w:t xml:space="preserve">(HNHD) </w:t>
      </w:r>
      <w:r>
        <w:t>offers some potential benefits over conventional unit dialysis</w:t>
      </w:r>
      <w:r w:rsidR="004D4B08">
        <w:t>. These include</w:t>
      </w:r>
      <w:r>
        <w:t xml:space="preserve"> better phosphate, potassium and fluid control</w:t>
      </w:r>
      <w:r w:rsidR="004D4B08">
        <w:t xml:space="preserve"> which</w:t>
      </w:r>
      <w:r>
        <w:t xml:space="preserve"> allow</w:t>
      </w:r>
      <w:r w:rsidR="004D4B08">
        <w:t>s</w:t>
      </w:r>
      <w:r>
        <w:t xml:space="preserve"> for relaxation </w:t>
      </w:r>
      <w:r w:rsidR="004D4B08">
        <w:t xml:space="preserve">on </w:t>
      </w:r>
      <w:r w:rsidR="0043076D">
        <w:t xml:space="preserve">some </w:t>
      </w:r>
      <w:r w:rsidR="004D4B08">
        <w:t>dietary</w:t>
      </w:r>
      <w:r>
        <w:t xml:space="preserve"> restriction</w:t>
      </w:r>
      <w:r w:rsidR="004D4B08">
        <w:t>s</w:t>
      </w:r>
      <w:r>
        <w:t xml:space="preserve">. </w:t>
      </w:r>
      <w:r w:rsidR="00B002DF">
        <w:t>Improvement in</w:t>
      </w:r>
      <w:r>
        <w:t xml:space="preserve"> haemoglobin</w:t>
      </w:r>
      <w:r w:rsidR="00963D37">
        <w:t xml:space="preserve"> </w:t>
      </w:r>
      <w:r w:rsidR="00B002DF">
        <w:t xml:space="preserve">levels </w:t>
      </w:r>
      <w:r w:rsidR="00963D37">
        <w:t>have previously</w:t>
      </w:r>
      <w:r w:rsidR="00B002DF">
        <w:t xml:space="preserve"> been</w:t>
      </w:r>
      <w:r w:rsidR="00963D37">
        <w:t xml:space="preserve"> described. Morriston renal unit in Swansea has been offering </w:t>
      </w:r>
      <w:r w:rsidR="005268EC">
        <w:t>a HNHD</w:t>
      </w:r>
      <w:r w:rsidR="00963D37">
        <w:t xml:space="preserve"> program since 2011.</w:t>
      </w:r>
      <w:r w:rsidR="004D4B08">
        <w:t xml:space="preserve"> </w:t>
      </w:r>
      <w:r w:rsidR="00963D37">
        <w:t>Since then we have gained over 80 patient years of experience.</w:t>
      </w:r>
      <w:r w:rsidR="00144D96">
        <w:t xml:space="preserve"> </w:t>
      </w:r>
      <w:r w:rsidR="004D4B08">
        <w:t xml:space="preserve">The target hours for our nocturnal patients is 40 hours of dialysis per week, most of these patients regularly achieve this. We have noticed that </w:t>
      </w:r>
      <w:r w:rsidR="005268EC">
        <w:t>some</w:t>
      </w:r>
      <w:r w:rsidR="004D4B08">
        <w:t xml:space="preserve"> of our </w:t>
      </w:r>
      <w:r w:rsidR="005268EC">
        <w:t>HNHD</w:t>
      </w:r>
      <w:r w:rsidR="004D4B08">
        <w:t xml:space="preserve"> patients no longer require erythropoietin stimulating agent (ESA)</w:t>
      </w:r>
      <w:r w:rsidR="00144D96">
        <w:t xml:space="preserve">. </w:t>
      </w:r>
    </w:p>
    <w:p w14:paraId="33E36C0C" w14:textId="77777777" w:rsidR="00D42FB8" w:rsidRPr="00655A96" w:rsidRDefault="008815F0" w:rsidP="00655A96">
      <w:pPr>
        <w:pStyle w:val="Heading1"/>
        <w:rPr>
          <w:sz w:val="26"/>
        </w:rPr>
      </w:pPr>
      <w:r w:rsidRPr="00655A96">
        <w:rPr>
          <w:sz w:val="26"/>
        </w:rPr>
        <w:t xml:space="preserve">Objectives: </w:t>
      </w:r>
    </w:p>
    <w:p w14:paraId="36B4DD8E" w14:textId="151E3C94" w:rsidR="009A391A" w:rsidRDefault="004F34E0">
      <w:pPr>
        <w:pStyle w:val="BodyA"/>
      </w:pPr>
      <w:r>
        <w:t xml:space="preserve">To assess the changes in biochemical and haematological </w:t>
      </w:r>
      <w:r w:rsidR="00FA00B6">
        <w:t>parameters</w:t>
      </w:r>
      <w:r>
        <w:t xml:space="preserve"> as well as </w:t>
      </w:r>
      <w:r w:rsidR="004D4B08">
        <w:t>ESA</w:t>
      </w:r>
      <w:r>
        <w:t xml:space="preserve"> use after initiating nocturnal dialysis</w:t>
      </w:r>
      <w:r w:rsidR="008B4E44">
        <w:t>.</w:t>
      </w:r>
    </w:p>
    <w:p w14:paraId="53A45837" w14:textId="06F77E80" w:rsidR="0098059C" w:rsidRPr="00655A96" w:rsidRDefault="008815F0">
      <w:pPr>
        <w:pStyle w:val="BodyA"/>
        <w:rPr>
          <w:sz w:val="26"/>
          <w:szCs w:val="26"/>
        </w:rPr>
      </w:pPr>
      <w:r w:rsidRPr="00655A96">
        <w:rPr>
          <w:rStyle w:val="Heading1Char"/>
          <w:sz w:val="26"/>
          <w:szCs w:val="26"/>
        </w:rPr>
        <w:t>Methodology:</w:t>
      </w:r>
    </w:p>
    <w:p w14:paraId="2DE9092D" w14:textId="5EF1B66B" w:rsidR="00C349EB" w:rsidRDefault="00963D37">
      <w:pPr>
        <w:pStyle w:val="BodyA"/>
      </w:pPr>
      <w:r>
        <w:t xml:space="preserve">We collected haematological and biochemical results on all our </w:t>
      </w:r>
      <w:r w:rsidR="005268EC">
        <w:t xml:space="preserve">HNHD patients a year before and </w:t>
      </w:r>
      <w:r>
        <w:t xml:space="preserve">after </w:t>
      </w:r>
      <w:r w:rsidR="005268EC">
        <w:t xml:space="preserve">change to </w:t>
      </w:r>
      <w:r>
        <w:t>nocturnal haemodialysis.</w:t>
      </w:r>
      <w:r w:rsidR="00512C03">
        <w:t xml:space="preserve"> We used the </w:t>
      </w:r>
      <w:r w:rsidR="00C87FED">
        <w:t>earliest</w:t>
      </w:r>
      <w:r w:rsidR="00512C03">
        <w:t xml:space="preserve"> blood test of </w:t>
      </w:r>
      <w:r w:rsidR="00C87FED">
        <w:t xml:space="preserve">the </w:t>
      </w:r>
      <w:r w:rsidR="00512C03">
        <w:t>month</w:t>
      </w:r>
      <w:r w:rsidR="00C87FED">
        <w:t xml:space="preserve"> for the parameters studied (they were not necessarily on the same day). </w:t>
      </w:r>
      <w:r w:rsidR="00BB1C6D">
        <w:t>ESA</w:t>
      </w:r>
      <w:r w:rsidR="00C87FED">
        <w:t xml:space="preserve"> use</w:t>
      </w:r>
      <w:r w:rsidR="00BB1C6D">
        <w:t xml:space="preserve"> was defined as the</w:t>
      </w:r>
      <w:r w:rsidR="00C87FED">
        <w:t xml:space="preserve"> the</w:t>
      </w:r>
      <w:r w:rsidR="00EB3359">
        <w:t xml:space="preserve"> total weekly dosage prescribed at the time of the </w:t>
      </w:r>
      <w:r w:rsidR="004D4B08">
        <w:t xml:space="preserve">first </w:t>
      </w:r>
      <w:r w:rsidR="00EB3359">
        <w:t>monthly blood tests. Intravenous iron dosage was the sum total of iron given that month.</w:t>
      </w:r>
      <w:r w:rsidR="00776D28">
        <w:t xml:space="preserve"> We excluded </w:t>
      </w:r>
      <w:r w:rsidR="004D4B08">
        <w:t xml:space="preserve">the </w:t>
      </w:r>
      <w:r w:rsidR="00776D28">
        <w:t>results</w:t>
      </w:r>
      <w:r w:rsidR="004D4B08">
        <w:t xml:space="preserve"> </w:t>
      </w:r>
      <w:r w:rsidR="00BB1C6D">
        <w:t>from</w:t>
      </w:r>
      <w:r w:rsidR="004D4B08">
        <w:t xml:space="preserve"> a month</w:t>
      </w:r>
      <w:r w:rsidR="00776D28">
        <w:t xml:space="preserve"> if there was evidence of significant </w:t>
      </w:r>
      <w:r w:rsidR="00BB1C6D">
        <w:t>inflammation or infection</w:t>
      </w:r>
      <w:r w:rsidR="00776D28">
        <w:t xml:space="preserve"> shown </w:t>
      </w:r>
      <w:r w:rsidR="00BB1C6D">
        <w:t>by</w:t>
      </w:r>
      <w:r w:rsidR="00776D28">
        <w:t xml:space="preserve"> a C-Reactive protein over 50mg/L.</w:t>
      </w:r>
      <w:r w:rsidR="004D4B08">
        <w:t xml:space="preserve"> </w:t>
      </w:r>
      <w:r w:rsidR="00BB1C6D">
        <w:t xml:space="preserve">All patients started on </w:t>
      </w:r>
      <w:r w:rsidR="005268EC">
        <w:t xml:space="preserve">HNHD </w:t>
      </w:r>
      <w:r w:rsidR="00BB1C6D">
        <w:t xml:space="preserve">were on haemodialysis for 3 months prior to starting nocturnal dialysis. </w:t>
      </w:r>
      <w:r w:rsidR="004D4B08">
        <w:t>Nocturnal blood tests are performed at least 12 hours post dialysis or following a night off dialysis.</w:t>
      </w:r>
      <w:r w:rsidR="007F041B">
        <w:t xml:space="preserve"> </w:t>
      </w:r>
      <w:r w:rsidR="00BB1C6D">
        <w:t>In t</w:t>
      </w:r>
      <w:r w:rsidR="004D4B08">
        <w:t xml:space="preserve">he </w:t>
      </w:r>
      <w:r w:rsidR="00BB1C6D">
        <w:t xml:space="preserve">before group, the blood tests are either </w:t>
      </w:r>
      <w:r w:rsidR="004D4B08">
        <w:t>pre-dialysis samples</w:t>
      </w:r>
      <w:r w:rsidR="00BB1C6D">
        <w:t xml:space="preserve"> or clinic samples</w:t>
      </w:r>
      <w:r w:rsidR="004D4B08">
        <w:t xml:space="preserve">. </w:t>
      </w:r>
      <w:r w:rsidR="00BB1C6D">
        <w:t xml:space="preserve">The start date of </w:t>
      </w:r>
      <w:r w:rsidR="005268EC">
        <w:t>HNHD</w:t>
      </w:r>
      <w:r w:rsidR="00BB1C6D">
        <w:t xml:space="preserve"> was the day the patients were discharged to dialyse at home.</w:t>
      </w:r>
    </w:p>
    <w:p w14:paraId="3FFB1206" w14:textId="21B5B9B5" w:rsidR="009C25D2" w:rsidRPr="00655A96" w:rsidRDefault="00BD4C82" w:rsidP="00655A96">
      <w:pPr>
        <w:pStyle w:val="Heading1"/>
        <w:rPr>
          <w:sz w:val="26"/>
        </w:rPr>
      </w:pPr>
      <w:r w:rsidRPr="00655A96">
        <w:rPr>
          <w:sz w:val="26"/>
        </w:rPr>
        <w:t>Results:</w:t>
      </w:r>
    </w:p>
    <w:p w14:paraId="54507F4F" w14:textId="666276C6" w:rsidR="00174279" w:rsidRDefault="00776D28">
      <w:pPr>
        <w:pStyle w:val="BodyA"/>
      </w:pPr>
      <w:r>
        <w:t xml:space="preserve">42 patients spent 3 or more months on </w:t>
      </w:r>
      <w:r w:rsidR="005268EC">
        <w:t>HNHD</w:t>
      </w:r>
      <w:r>
        <w:t>. 4 patients were excluded from the analysis due to blood loss or major infections not directly related to dialysis treatment.</w:t>
      </w:r>
      <w:r w:rsidR="00B002DF">
        <w:t xml:space="preserve"> 18 and 24 </w:t>
      </w:r>
      <w:r w:rsidR="00BB1C6D">
        <w:t xml:space="preserve">rows </w:t>
      </w:r>
      <w:r w:rsidR="00B002DF">
        <w:t xml:space="preserve">of data </w:t>
      </w:r>
      <w:r w:rsidR="00BB1C6D">
        <w:t>were</w:t>
      </w:r>
      <w:r w:rsidR="00B002DF">
        <w:t xml:space="preserve"> removed due to high CRP in the pre and post group respectively.</w:t>
      </w:r>
      <w:r>
        <w:t xml:space="preserve"> </w:t>
      </w:r>
      <w:r w:rsidR="00F71A63">
        <w:t>The average age of the cohort was 53.7 at initiation of nocturnal dialysis</w:t>
      </w:r>
      <w:r w:rsidR="00430BD9">
        <w:t xml:space="preserve"> </w:t>
      </w:r>
      <w:r w:rsidR="00B002DF">
        <w:t>and</w:t>
      </w:r>
      <w:r w:rsidR="00430BD9">
        <w:t xml:space="preserve"> 63% of the patients were male</w:t>
      </w:r>
      <w:r w:rsidR="00F71A63">
        <w:t xml:space="preserve">. </w:t>
      </w:r>
      <w:r w:rsidR="00C96A62">
        <w:t xml:space="preserve">There were 379 sets of results and drug dose before initiation of </w:t>
      </w:r>
      <w:r w:rsidR="005268EC">
        <w:t xml:space="preserve">HNHD </w:t>
      </w:r>
      <w:r w:rsidR="00C96A62">
        <w:t>and 3</w:t>
      </w:r>
      <w:r w:rsidR="0049405B">
        <w:t>78</w:t>
      </w:r>
      <w:r w:rsidR="00C96A62">
        <w:t xml:space="preserve"> after.</w:t>
      </w:r>
      <w:r w:rsidR="00D043FD">
        <w:t xml:space="preserve"> </w:t>
      </w:r>
      <w:r w:rsidR="00B06779">
        <w:t>We observed a</w:t>
      </w:r>
      <w:r w:rsidR="00D043FD">
        <w:t xml:space="preserve"> 35% reduction in average</w:t>
      </w:r>
      <w:r w:rsidR="00C96A62">
        <w:t xml:space="preserve"> ESA dose </w:t>
      </w:r>
      <w:r w:rsidR="00D043FD">
        <w:t xml:space="preserve">after starting </w:t>
      </w:r>
      <w:r w:rsidR="005268EC">
        <w:t xml:space="preserve">HNHD </w:t>
      </w:r>
      <w:r w:rsidR="00D043FD">
        <w:t>(</w:t>
      </w:r>
      <w:r w:rsidR="00C96A62">
        <w:t>7493 international units</w:t>
      </w:r>
      <w:r w:rsidR="00D043FD">
        <w:t xml:space="preserve"> (iu)</w:t>
      </w:r>
      <w:r w:rsidR="00C96A62">
        <w:t xml:space="preserve"> before compared to 484</w:t>
      </w:r>
      <w:r w:rsidR="00824A7D">
        <w:t>5</w:t>
      </w:r>
      <w:r w:rsidR="00C96A62">
        <w:t>iu</w:t>
      </w:r>
      <w:r w:rsidR="00D043FD">
        <w:t xml:space="preserve"> after). </w:t>
      </w:r>
      <w:r w:rsidR="00C96A62">
        <w:t xml:space="preserve"> </w:t>
      </w:r>
      <w:r w:rsidR="00D043FD">
        <w:t xml:space="preserve">The </w:t>
      </w:r>
      <w:r w:rsidR="00174279">
        <w:t xml:space="preserve">average haemoglobin </w:t>
      </w:r>
      <w:r w:rsidR="00D043FD">
        <w:t>was</w:t>
      </w:r>
      <w:r w:rsidR="00174279">
        <w:t xml:space="preserve"> 110g/</w:t>
      </w:r>
      <w:r w:rsidR="00B06779">
        <w:t>L before</w:t>
      </w:r>
      <w:r w:rsidR="00D043FD">
        <w:t xml:space="preserve"> </w:t>
      </w:r>
      <w:r w:rsidR="00174279">
        <w:t>and 1</w:t>
      </w:r>
      <w:r w:rsidR="00824A7D">
        <w:t>1</w:t>
      </w:r>
      <w:r w:rsidR="00174279">
        <w:t xml:space="preserve">2.7g/L </w:t>
      </w:r>
      <w:r w:rsidR="00D043FD">
        <w:t>after starting nocturnal treatment</w:t>
      </w:r>
      <w:r w:rsidR="00174279">
        <w:t>.</w:t>
      </w:r>
      <w:r w:rsidR="004D4B08">
        <w:t xml:space="preserve"> Haemaglobin was maintained above 100g/L in 81.3% of the </w:t>
      </w:r>
      <w:r w:rsidR="00B06779">
        <w:t>tests before</w:t>
      </w:r>
      <w:r w:rsidR="004D4B08">
        <w:t xml:space="preserve"> and 83.3% of the </w:t>
      </w:r>
      <w:r w:rsidR="00B06779">
        <w:t>tests after changing to nocturnal, this</w:t>
      </w:r>
      <w:r w:rsidR="004D4B08">
        <w:t xml:space="preserve"> was not </w:t>
      </w:r>
      <w:r w:rsidR="00B06779">
        <w:t xml:space="preserve">found to be </w:t>
      </w:r>
      <w:r w:rsidR="004D4B08">
        <w:t>statistically significant (p value 0.46). We saw a decline in phosphate</w:t>
      </w:r>
      <w:r w:rsidR="007F041B">
        <w:t xml:space="preserve"> and urea</w:t>
      </w:r>
      <w:r w:rsidR="004D4B08">
        <w:t xml:space="preserve"> from an average of 1.7mmol/L </w:t>
      </w:r>
      <w:r w:rsidR="007F041B">
        <w:t>and</w:t>
      </w:r>
      <w:r w:rsidR="004D4B08">
        <w:t xml:space="preserve"> </w:t>
      </w:r>
      <w:r w:rsidR="007F041B">
        <w:t xml:space="preserve">19.8mmol/L before to </w:t>
      </w:r>
      <w:r w:rsidR="004D4B08">
        <w:t xml:space="preserve">1.2mmol/L </w:t>
      </w:r>
      <w:r w:rsidR="007F041B">
        <w:t>and 9.3mm</w:t>
      </w:r>
      <w:bookmarkStart w:id="0" w:name="_GoBack"/>
      <w:bookmarkEnd w:id="0"/>
      <w:r w:rsidR="007F041B">
        <w:t xml:space="preserve">ol/L </w:t>
      </w:r>
      <w:r w:rsidR="004D4B08">
        <w:t xml:space="preserve">post initiation of nocturnal dialysis. </w:t>
      </w:r>
      <w:r w:rsidR="00FA5920">
        <w:t xml:space="preserve">The effect of HNHD on iron indices </w:t>
      </w:r>
      <w:r w:rsidR="00EC198C">
        <w:t>and intravenous</w:t>
      </w:r>
      <w:r w:rsidR="00C87CA6">
        <w:t xml:space="preserve"> i</w:t>
      </w:r>
      <w:r w:rsidR="00E403E0">
        <w:t xml:space="preserve">ron requirements </w:t>
      </w:r>
      <w:r w:rsidR="00FA5920">
        <w:t>are</w:t>
      </w:r>
      <w:r w:rsidR="007F041B">
        <w:t xml:space="preserve"> not currently available and </w:t>
      </w:r>
      <w:r w:rsidR="00E403E0">
        <w:t xml:space="preserve">will be presented in the </w:t>
      </w:r>
      <w:r w:rsidR="00D043FD">
        <w:t>poster.</w:t>
      </w:r>
    </w:p>
    <w:p w14:paraId="01D49E06" w14:textId="7CA5ACB0" w:rsidR="00E205BA" w:rsidRPr="00655A96" w:rsidRDefault="008815F0" w:rsidP="00655A96">
      <w:pPr>
        <w:pStyle w:val="Heading1"/>
        <w:rPr>
          <w:sz w:val="26"/>
        </w:rPr>
      </w:pPr>
      <w:r w:rsidRPr="00655A96">
        <w:rPr>
          <w:sz w:val="26"/>
        </w:rPr>
        <w:t>Conclusions</w:t>
      </w:r>
      <w:r w:rsidR="004D4B08" w:rsidRPr="00655A96">
        <w:rPr>
          <w:sz w:val="26"/>
        </w:rPr>
        <w:t>:</w:t>
      </w:r>
    </w:p>
    <w:p w14:paraId="54BF05A6" w14:textId="682EC995" w:rsidR="009D5B20" w:rsidRPr="00EC198C" w:rsidRDefault="004D4B08">
      <w:pPr>
        <w:pStyle w:val="BodyA"/>
      </w:pPr>
      <w:r>
        <w:t xml:space="preserve">We observed a </w:t>
      </w:r>
      <w:r w:rsidR="00E42861">
        <w:t xml:space="preserve">significant </w:t>
      </w:r>
      <w:r>
        <w:t xml:space="preserve">reduction in the total weekly dosage of ESA </w:t>
      </w:r>
      <w:r w:rsidR="00D043FD">
        <w:t xml:space="preserve">with no change in haemoglobin levels </w:t>
      </w:r>
      <w:r>
        <w:t xml:space="preserve">following the initiation of </w:t>
      </w:r>
      <w:r w:rsidR="0025287F">
        <w:t>HNHD</w:t>
      </w:r>
      <w:r>
        <w:t>.</w:t>
      </w:r>
      <w:r w:rsidR="00C87CA6">
        <w:t xml:space="preserve"> Reduction</w:t>
      </w:r>
      <w:r w:rsidR="00AE4025">
        <w:t>s</w:t>
      </w:r>
      <w:r w:rsidR="00C87CA6">
        <w:t xml:space="preserve"> in phosphate and urea levels were</w:t>
      </w:r>
      <w:r w:rsidR="00AE4025">
        <w:t xml:space="preserve"> also</w:t>
      </w:r>
      <w:r w:rsidR="00C87CA6">
        <w:t xml:space="preserve"> observed</w:t>
      </w:r>
      <w:r w:rsidR="00AE4025">
        <w:t>, in keeping with previous observations in studies of nocturnal patients.</w:t>
      </w:r>
    </w:p>
    <w:sectPr w:rsidR="009D5B20" w:rsidRPr="00EC198C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8FED4" w14:textId="77777777" w:rsidR="009D4EE8" w:rsidRDefault="009D4EE8">
      <w:r>
        <w:separator/>
      </w:r>
    </w:p>
  </w:endnote>
  <w:endnote w:type="continuationSeparator" w:id="0">
    <w:p w14:paraId="14D00965" w14:textId="77777777" w:rsidR="009D4EE8" w:rsidRDefault="009D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D1AAF" w14:textId="77777777" w:rsidR="009D4EE8" w:rsidRDefault="009D4EE8">
      <w:r>
        <w:separator/>
      </w:r>
    </w:p>
  </w:footnote>
  <w:footnote w:type="continuationSeparator" w:id="0">
    <w:p w14:paraId="76B19355" w14:textId="77777777" w:rsidR="009D4EE8" w:rsidRDefault="009D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E1DED"/>
    <w:multiLevelType w:val="hybridMultilevel"/>
    <w:tmpl w:val="CE5AE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rssd00rnwst5wesftmvszdkf2as0s5wzrvz&quot;&gt;My EndNote Library Copy Copy&lt;record-ids&gt;&lt;item&gt;553&lt;/item&gt;&lt;item&gt;554&lt;/item&gt;&lt;item&gt;555&lt;/item&gt;&lt;/record-ids&gt;&lt;/item&gt;&lt;/Libraries&gt;"/>
  </w:docVars>
  <w:rsids>
    <w:rsidRoot w:val="00E205BA"/>
    <w:rsid w:val="000077DC"/>
    <w:rsid w:val="00070431"/>
    <w:rsid w:val="00071EFA"/>
    <w:rsid w:val="001053E3"/>
    <w:rsid w:val="00123426"/>
    <w:rsid w:val="00144D96"/>
    <w:rsid w:val="00167FE5"/>
    <w:rsid w:val="00174279"/>
    <w:rsid w:val="001762BF"/>
    <w:rsid w:val="001876D6"/>
    <w:rsid w:val="001B3062"/>
    <w:rsid w:val="001B53B6"/>
    <w:rsid w:val="001B6B61"/>
    <w:rsid w:val="001D4D80"/>
    <w:rsid w:val="001E261C"/>
    <w:rsid w:val="001F722C"/>
    <w:rsid w:val="002203B6"/>
    <w:rsid w:val="0023765E"/>
    <w:rsid w:val="0025287F"/>
    <w:rsid w:val="0025679A"/>
    <w:rsid w:val="00286D7B"/>
    <w:rsid w:val="002A1243"/>
    <w:rsid w:val="002F67F6"/>
    <w:rsid w:val="003048D7"/>
    <w:rsid w:val="003A7801"/>
    <w:rsid w:val="003B544E"/>
    <w:rsid w:val="00415D0A"/>
    <w:rsid w:val="004235A9"/>
    <w:rsid w:val="0043076D"/>
    <w:rsid w:val="00430BD9"/>
    <w:rsid w:val="004543E5"/>
    <w:rsid w:val="0049405B"/>
    <w:rsid w:val="004B4725"/>
    <w:rsid w:val="004D4B08"/>
    <w:rsid w:val="004F34E0"/>
    <w:rsid w:val="00512C03"/>
    <w:rsid w:val="00514371"/>
    <w:rsid w:val="005268EC"/>
    <w:rsid w:val="0053086F"/>
    <w:rsid w:val="00553334"/>
    <w:rsid w:val="0059495E"/>
    <w:rsid w:val="005A0EBF"/>
    <w:rsid w:val="00621630"/>
    <w:rsid w:val="00635D41"/>
    <w:rsid w:val="00655A96"/>
    <w:rsid w:val="00667B95"/>
    <w:rsid w:val="006734DB"/>
    <w:rsid w:val="006A64B0"/>
    <w:rsid w:val="006B1937"/>
    <w:rsid w:val="006D57C9"/>
    <w:rsid w:val="00721BF6"/>
    <w:rsid w:val="00723248"/>
    <w:rsid w:val="00776D28"/>
    <w:rsid w:val="007F041B"/>
    <w:rsid w:val="007F5A2E"/>
    <w:rsid w:val="00824A7D"/>
    <w:rsid w:val="008815F0"/>
    <w:rsid w:val="00887D03"/>
    <w:rsid w:val="008B1145"/>
    <w:rsid w:val="008B4E44"/>
    <w:rsid w:val="009419FD"/>
    <w:rsid w:val="00963285"/>
    <w:rsid w:val="00963D37"/>
    <w:rsid w:val="00973D45"/>
    <w:rsid w:val="0097515B"/>
    <w:rsid w:val="0098059C"/>
    <w:rsid w:val="009A391A"/>
    <w:rsid w:val="009B35FF"/>
    <w:rsid w:val="009C25D2"/>
    <w:rsid w:val="009C57AC"/>
    <w:rsid w:val="009D0FFD"/>
    <w:rsid w:val="009D4EE8"/>
    <w:rsid w:val="009D5B20"/>
    <w:rsid w:val="00A35364"/>
    <w:rsid w:val="00A751C9"/>
    <w:rsid w:val="00A80F26"/>
    <w:rsid w:val="00AC085A"/>
    <w:rsid w:val="00AD3814"/>
    <w:rsid w:val="00AE3564"/>
    <w:rsid w:val="00AE4025"/>
    <w:rsid w:val="00B002DF"/>
    <w:rsid w:val="00B05F86"/>
    <w:rsid w:val="00B06779"/>
    <w:rsid w:val="00B4713B"/>
    <w:rsid w:val="00B602C5"/>
    <w:rsid w:val="00B63942"/>
    <w:rsid w:val="00B81E12"/>
    <w:rsid w:val="00BA7252"/>
    <w:rsid w:val="00BB00DB"/>
    <w:rsid w:val="00BB1C6D"/>
    <w:rsid w:val="00BD4C82"/>
    <w:rsid w:val="00BF25A0"/>
    <w:rsid w:val="00BF43A2"/>
    <w:rsid w:val="00C349EB"/>
    <w:rsid w:val="00C7000E"/>
    <w:rsid w:val="00C82382"/>
    <w:rsid w:val="00C87CA6"/>
    <w:rsid w:val="00C87FED"/>
    <w:rsid w:val="00C96A62"/>
    <w:rsid w:val="00CB1231"/>
    <w:rsid w:val="00CB5F1E"/>
    <w:rsid w:val="00D00F94"/>
    <w:rsid w:val="00D03A7A"/>
    <w:rsid w:val="00D043FD"/>
    <w:rsid w:val="00D42FB8"/>
    <w:rsid w:val="00D52313"/>
    <w:rsid w:val="00DD5CFB"/>
    <w:rsid w:val="00DD7E71"/>
    <w:rsid w:val="00E175D0"/>
    <w:rsid w:val="00E205BA"/>
    <w:rsid w:val="00E213D1"/>
    <w:rsid w:val="00E403E0"/>
    <w:rsid w:val="00E42861"/>
    <w:rsid w:val="00E673F8"/>
    <w:rsid w:val="00EB3359"/>
    <w:rsid w:val="00EC198C"/>
    <w:rsid w:val="00EC208F"/>
    <w:rsid w:val="00EC3632"/>
    <w:rsid w:val="00F31DF3"/>
    <w:rsid w:val="00F71A63"/>
    <w:rsid w:val="00F75167"/>
    <w:rsid w:val="00FA00B6"/>
    <w:rsid w:val="00F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44D4"/>
  <w15:docId w15:val="{548ABE26-BCCC-45C5-B5D9-FA8FA6A7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link w:val="BodyAChar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1B6B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character" w:customStyle="1" w:styleId="apple-converted-space">
    <w:name w:val="apple-converted-space"/>
    <w:basedOn w:val="DefaultParagraphFont"/>
    <w:rsid w:val="00B63942"/>
  </w:style>
  <w:style w:type="paragraph" w:customStyle="1" w:styleId="s2">
    <w:name w:val="s2"/>
    <w:basedOn w:val="Normal"/>
    <w:rsid w:val="00B639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table" w:styleId="TableGrid">
    <w:name w:val="Table Grid"/>
    <w:basedOn w:val="TableNormal"/>
    <w:uiPriority w:val="39"/>
    <w:rsid w:val="0017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43076D"/>
    <w:pPr>
      <w:jc w:val="center"/>
    </w:pPr>
    <w:rPr>
      <w:rFonts w:ascii="Calibri" w:hAnsi="Calibri" w:cs="Calibri"/>
      <w:noProof/>
      <w:sz w:val="22"/>
    </w:rPr>
  </w:style>
  <w:style w:type="character" w:customStyle="1" w:styleId="BodyAChar">
    <w:name w:val="Body A Char"/>
    <w:basedOn w:val="DefaultParagraphFont"/>
    <w:link w:val="BodyA"/>
    <w:rsid w:val="0043076D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EndNoteBibliographyTitleChar">
    <w:name w:val="EndNote Bibliography Title Char"/>
    <w:basedOn w:val="BodyAChar"/>
    <w:link w:val="EndNoteBibliographyTitle"/>
    <w:rsid w:val="0043076D"/>
    <w:rPr>
      <w:rFonts w:ascii="Calibri" w:eastAsia="Calibri" w:hAnsi="Calibri" w:cs="Calibri"/>
      <w:noProof/>
      <w:color w:val="000000"/>
      <w:sz w:val="22"/>
      <w:szCs w:val="24"/>
      <w:u w:color="000000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43076D"/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BodyAChar"/>
    <w:link w:val="EndNoteBibliography"/>
    <w:rsid w:val="0043076D"/>
    <w:rPr>
      <w:rFonts w:ascii="Calibri" w:eastAsia="Calibri" w:hAnsi="Calibri" w:cs="Calibri"/>
      <w:noProof/>
      <w:color w:val="000000"/>
      <w:sz w:val="22"/>
      <w:szCs w:val="24"/>
      <w:u w:color="00000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55A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2133-74E0-4443-8722-5ACC9792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485</Words>
  <Characters>2804</Characters>
  <Application>Microsoft Office Word</Application>
  <DocSecurity>0</DocSecurity>
  <Lines>96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Scale</dc:creator>
  <cp:keywords/>
  <dc:description/>
  <cp:lastModifiedBy>Timothy Marcus Scale (ABM - Renal Medicine)</cp:lastModifiedBy>
  <cp:revision>3</cp:revision>
  <dcterms:created xsi:type="dcterms:W3CDTF">2018-01-30T16:48:00Z</dcterms:created>
  <dcterms:modified xsi:type="dcterms:W3CDTF">2018-01-30T17:25:00Z</dcterms:modified>
</cp:coreProperties>
</file>