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42" w:rsidRDefault="002919F6">
      <w:pPr>
        <w:jc w:val="center"/>
      </w:pPr>
      <w:r>
        <w:rPr>
          <w:b/>
        </w:rPr>
        <w:t>Long term management of a family with Calcium –sensing receptor mutation</w:t>
      </w:r>
    </w:p>
    <w:p w:rsidR="007B7042" w:rsidRDefault="007B7042"/>
    <w:p w:rsidR="007B7042" w:rsidRDefault="002919F6">
      <w:pPr>
        <w:rPr>
          <w:b/>
        </w:rPr>
      </w:pPr>
      <w:r>
        <w:rPr>
          <w:b/>
        </w:rPr>
        <w:t>Background</w:t>
      </w:r>
    </w:p>
    <w:p w:rsidR="007B7042" w:rsidRDefault="002919F6">
      <w:pPr>
        <w:jc w:val="both"/>
      </w:pPr>
      <w:r>
        <w:t>Release of parathyroid hormone is regulated mainly by extra-cellular calcium ion concentration which is sensed by calcium-sensing receptors (</w:t>
      </w:r>
      <w:proofErr w:type="spellStart"/>
      <w:r>
        <w:t>CaSR</w:t>
      </w:r>
      <w:proofErr w:type="spellEnd"/>
      <w:r>
        <w:t xml:space="preserve">) on surface of parathyroid cells. Activating or inactivating mutations in the </w:t>
      </w:r>
      <w:proofErr w:type="spellStart"/>
      <w:r>
        <w:t>CaSR</w:t>
      </w:r>
      <w:proofErr w:type="spellEnd"/>
      <w:r>
        <w:t xml:space="preserve"> produce altered extracellular calcium sensing and, therefore, inappropriate PTH release with respect to the prevailing serum calcium concentration.  Both genetic and acquired disorders of calcium sensing receptors are known.</w:t>
      </w:r>
    </w:p>
    <w:p w:rsidR="00E83107" w:rsidRDefault="002919F6">
      <w:pPr>
        <w:jc w:val="both"/>
      </w:pPr>
      <w:r>
        <w:t xml:space="preserve">Activating mutations in the calcium-sensing receptor gene </w:t>
      </w:r>
      <w:r>
        <w:rPr>
          <w:i/>
        </w:rPr>
        <w:t xml:space="preserve">CASR </w:t>
      </w:r>
      <w:r>
        <w:t xml:space="preserve">cause autosomal dominant hypocalcaemia. Here the set point for extra-cellular sensing of calcium is lowered, leading to a suppressed PTH and </w:t>
      </w:r>
      <w:proofErr w:type="spellStart"/>
      <w:r>
        <w:t>hypercalciuria</w:t>
      </w:r>
      <w:proofErr w:type="spellEnd"/>
      <w:r>
        <w:t xml:space="preserve"> even in the context of low serum calcium levels. Hypomagnesaemia may also occur.  </w:t>
      </w:r>
    </w:p>
    <w:p w:rsidR="007B7042" w:rsidRDefault="002919F6">
      <w:pPr>
        <w:jc w:val="both"/>
      </w:pPr>
      <w:r>
        <w:t xml:space="preserve">The syndrome needs to be recognised and distinguished from hypoparathyroidism as overzealous calcium and vitamin D replacement leads to clinically significant </w:t>
      </w:r>
      <w:proofErr w:type="spellStart"/>
      <w:r>
        <w:t>hypercalciuria</w:t>
      </w:r>
      <w:proofErr w:type="spellEnd"/>
      <w:r>
        <w:t xml:space="preserve">, </w:t>
      </w:r>
      <w:proofErr w:type="spellStart"/>
      <w:r>
        <w:t>nephrocalcinosis</w:t>
      </w:r>
      <w:proofErr w:type="spellEnd"/>
      <w:r>
        <w:t xml:space="preserve"> and renal impairment. Therefore, finding of </w:t>
      </w:r>
      <w:proofErr w:type="spellStart"/>
      <w:r>
        <w:t>hypocalcemia</w:t>
      </w:r>
      <w:proofErr w:type="spellEnd"/>
      <w:r>
        <w:t xml:space="preserve"> that is not associated with an un-detectable or very low serum parathyroid hormone concentration and markedly reduced urinary calcium excretion should suggest a diagnosis of </w:t>
      </w:r>
      <w:proofErr w:type="spellStart"/>
      <w:r>
        <w:t>hypocalcemic</w:t>
      </w:r>
      <w:proofErr w:type="spellEnd"/>
      <w:r>
        <w:t xml:space="preserve"> </w:t>
      </w:r>
      <w:proofErr w:type="spellStart"/>
      <w:r>
        <w:t>hypercalciuria</w:t>
      </w:r>
      <w:proofErr w:type="spellEnd"/>
      <w:r>
        <w:t xml:space="preserve">, which can be confirmed by analysis of mutations in the calcium-sensing–receptor gene. </w:t>
      </w:r>
    </w:p>
    <w:p w:rsidR="007B7042" w:rsidRDefault="002919F6">
      <w:pPr>
        <w:rPr>
          <w:b/>
        </w:rPr>
      </w:pPr>
      <w:r>
        <w:rPr>
          <w:b/>
        </w:rPr>
        <w:t>Case report</w:t>
      </w:r>
    </w:p>
    <w:p w:rsidR="007B7042" w:rsidRDefault="002919F6">
      <w:pPr>
        <w:jc w:val="both"/>
      </w:pPr>
      <w:r>
        <w:t xml:space="preserve">We are aware of a four generation family with an activating mutation in </w:t>
      </w:r>
      <w:r>
        <w:rPr>
          <w:i/>
        </w:rPr>
        <w:t>CASR</w:t>
      </w:r>
      <w:r>
        <w:t xml:space="preserve"> (c.354C&gt;A; p.Asn118Lys) leading to an autosomal dominant hypocalcaemia phenotype. Here we compare and contrast clinical features of 3 family members (mother (A) and two daughters (B and C)) who have been managed with this condition.</w:t>
      </w:r>
    </w:p>
    <w:p w:rsidR="007B7042" w:rsidRDefault="002919F6">
      <w:pPr>
        <w:jc w:val="both"/>
      </w:pPr>
      <w:r>
        <w:t xml:space="preserve">Family member A is 52 years of age and biochemically has hypocalcaemia, </w:t>
      </w:r>
      <w:proofErr w:type="spellStart"/>
      <w:r>
        <w:t>hypercalciuria</w:t>
      </w:r>
      <w:proofErr w:type="spellEnd"/>
      <w:r>
        <w:t xml:space="preserve"> and hypomagnesaemia, with a suppressed PTH. She has a documented decline in </w:t>
      </w:r>
      <w:proofErr w:type="spellStart"/>
      <w:r>
        <w:t>eGFR</w:t>
      </w:r>
      <w:proofErr w:type="spellEnd"/>
      <w:r>
        <w:t xml:space="preserve"> from 45 to 23 </w:t>
      </w:r>
      <w:proofErr w:type="spellStart"/>
      <w:r>
        <w:t>mls</w:t>
      </w:r>
      <w:proofErr w:type="spellEnd"/>
      <w:r>
        <w:t>/min/1.73m</w:t>
      </w:r>
      <w:r>
        <w:rPr>
          <w:vertAlign w:val="superscript"/>
        </w:rPr>
        <w:t>2</w:t>
      </w:r>
      <w:r>
        <w:t xml:space="preserve"> in the last 8 years with ultrasound evidence of bilateral medullary </w:t>
      </w:r>
      <w:proofErr w:type="spellStart"/>
      <w:r>
        <w:t>nephrocalcinosis</w:t>
      </w:r>
      <w:proofErr w:type="spellEnd"/>
      <w:r>
        <w:t xml:space="preserve">. Treatment for symptomatic hypocalcaemia has included 1-alpha-calcidol. Family member B, aged 29 years, has a similar biochemical picture, again with </w:t>
      </w:r>
      <w:proofErr w:type="spellStart"/>
      <w:r>
        <w:t>nephrocalcinosis</w:t>
      </w:r>
      <w:proofErr w:type="spellEnd"/>
      <w:r>
        <w:t xml:space="preserve"> and renal impairment, with an </w:t>
      </w:r>
      <w:proofErr w:type="spellStart"/>
      <w:r>
        <w:t>eGFR</w:t>
      </w:r>
      <w:proofErr w:type="spellEnd"/>
      <w:r>
        <w:t xml:space="preserve"> of 31 </w:t>
      </w:r>
      <w:proofErr w:type="spellStart"/>
      <w:r>
        <w:t>mls</w:t>
      </w:r>
      <w:proofErr w:type="spellEnd"/>
      <w:r>
        <w:t>/min/1.73m</w:t>
      </w:r>
      <w:r>
        <w:rPr>
          <w:vertAlign w:val="superscript"/>
        </w:rPr>
        <w:t>2</w:t>
      </w:r>
      <w:r>
        <w:t xml:space="preserve">, deceased from 60 over the last 7 year. She has previously been treated with both calcium supplementation and vitamin D but this has now been discontinued. Family member C (daughter of A, sibling of B), aged 27 has a similar biochemical picture but preserved renal function and has been maintained, to date, off all calcium and vitamin D supplements. Despite this, however, she does have significant bilateral medullary </w:t>
      </w:r>
      <w:proofErr w:type="spellStart"/>
      <w:r>
        <w:t>nephrocalcinosis</w:t>
      </w:r>
      <w:proofErr w:type="spellEnd"/>
      <w:r>
        <w:t xml:space="preserve">. </w:t>
      </w:r>
    </w:p>
    <w:p w:rsidR="007B7042" w:rsidRDefault="002919F6">
      <w:pPr>
        <w:rPr>
          <w:b/>
        </w:rPr>
      </w:pPr>
      <w:r>
        <w:rPr>
          <w:b/>
        </w:rPr>
        <w:t>Conclusions</w:t>
      </w:r>
    </w:p>
    <w:p w:rsidR="007B7042" w:rsidRDefault="002919F6">
      <w:pPr>
        <w:jc w:val="both"/>
      </w:pPr>
      <w:r>
        <w:t xml:space="preserve">Despite all affected members of this family having a confirmed genetic diagnosis of </w:t>
      </w:r>
      <w:r>
        <w:rPr>
          <w:i/>
        </w:rPr>
        <w:t>CASR</w:t>
      </w:r>
      <w:r>
        <w:t xml:space="preserve"> activating mutation, the clinical phenotypes and progression of renal impairment seems to have been influenced by use of both calcium and vitamin D supplementation. Caution must be used in the use </w:t>
      </w:r>
      <w:r>
        <w:lastRenderedPageBreak/>
        <w:t xml:space="preserve">of agents to correct serum calcium in patients with this condition as these may result in progressive renal impairment secondary to </w:t>
      </w:r>
      <w:proofErr w:type="spellStart"/>
      <w:r>
        <w:t>nephrocalcinosis</w:t>
      </w:r>
      <w:proofErr w:type="spellEnd"/>
      <w:r>
        <w:t>.</w:t>
      </w:r>
    </w:p>
    <w:p w:rsidR="007B7042" w:rsidRDefault="007B7042">
      <w:pPr>
        <w:jc w:val="both"/>
      </w:pPr>
      <w:bookmarkStart w:id="0" w:name="_GoBack"/>
      <w:bookmarkEnd w:id="0"/>
    </w:p>
    <w:sectPr w:rsidR="007B7042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42"/>
    <w:rsid w:val="002919F6"/>
    <w:rsid w:val="007B7042"/>
    <w:rsid w:val="00E8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64F27"/>
    <w:pPr>
      <w:ind w:left="720"/>
      <w:contextualSpacing/>
    </w:pPr>
  </w:style>
  <w:style w:type="table" w:styleId="TableGrid">
    <w:name w:val="Table Grid"/>
    <w:basedOn w:val="TableNormal"/>
    <w:uiPriority w:val="59"/>
    <w:rsid w:val="00EB2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64F27"/>
    <w:pPr>
      <w:ind w:left="720"/>
      <w:contextualSpacing/>
    </w:pPr>
  </w:style>
  <w:style w:type="table" w:styleId="TableGrid">
    <w:name w:val="Table Grid"/>
    <w:basedOn w:val="TableNormal"/>
    <w:uiPriority w:val="59"/>
    <w:rsid w:val="00EB2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461</Words>
  <Characters>2634</Characters>
  <Application>Microsoft Office Word</Application>
  <DocSecurity>0</DocSecurity>
  <Lines>21</Lines>
  <Paragraphs>6</Paragraphs>
  <ScaleCrop>false</ScaleCrop>
  <Company>Newcastle upon Tyne Hospitals NHS Foundation Trust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Shahid, Abdullah</dc:creator>
  <dc:description/>
  <cp:lastModifiedBy>Shahid, Abdullah</cp:lastModifiedBy>
  <cp:revision>9</cp:revision>
  <cp:lastPrinted>2018-01-26T16:17:00Z</cp:lastPrinted>
  <dcterms:created xsi:type="dcterms:W3CDTF">2018-01-27T13:13:00Z</dcterms:created>
  <dcterms:modified xsi:type="dcterms:W3CDTF">2018-01-31T12:44:00Z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Newcastle upon Tyne Hospitals NHS Foundation Trust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