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FFE2F5" w14:textId="77777777" w:rsidR="00CB4215" w:rsidRPr="00EA1EB1" w:rsidRDefault="0091664D" w:rsidP="0091664D">
      <w:pPr>
        <w:jc w:val="both"/>
        <w:outlineLvl w:val="0"/>
        <w:rPr>
          <w:rFonts w:ascii="Times New Roman" w:hAnsi="Times New Roman" w:cs="Times New Roman"/>
          <w:b/>
          <w:iCs/>
          <w:sz w:val="22"/>
          <w:szCs w:val="22"/>
        </w:rPr>
      </w:pPr>
      <w:r w:rsidRPr="00EA1EB1">
        <w:rPr>
          <w:rFonts w:ascii="Times New Roman" w:hAnsi="Times New Roman" w:cs="Times New Roman"/>
          <w:b/>
          <w:iCs/>
          <w:sz w:val="22"/>
          <w:szCs w:val="22"/>
        </w:rPr>
        <w:t>Introduction</w:t>
      </w:r>
    </w:p>
    <w:p w14:paraId="69431551" w14:textId="46343C1A" w:rsidR="0091664D" w:rsidRDefault="00CB4215" w:rsidP="00CB4215">
      <w:pPr>
        <w:jc w:val="both"/>
        <w:outlineLvl w:val="0"/>
        <w:rPr>
          <w:rFonts w:ascii="Times New Roman" w:hAnsi="Times New Roman" w:cs="Times New Roman"/>
          <w:bCs/>
          <w:iCs/>
          <w:sz w:val="22"/>
          <w:szCs w:val="22"/>
        </w:rPr>
      </w:pPr>
      <w:r w:rsidRPr="00EA1EB1">
        <w:rPr>
          <w:rFonts w:ascii="Times New Roman" w:hAnsi="Times New Roman" w:cs="Times New Roman"/>
          <w:bCs/>
          <w:iCs/>
          <w:sz w:val="22"/>
          <w:szCs w:val="22"/>
        </w:rPr>
        <w:t xml:space="preserve">Our unit’s policy is to enable patients to have at least </w:t>
      </w:r>
      <w:r w:rsidR="00EA1EB1">
        <w:rPr>
          <w:rFonts w:ascii="Times New Roman" w:hAnsi="Times New Roman" w:cs="Times New Roman"/>
          <w:bCs/>
          <w:iCs/>
          <w:sz w:val="22"/>
          <w:szCs w:val="22"/>
        </w:rPr>
        <w:t>1-2</w:t>
      </w:r>
      <w:r w:rsidRPr="00EA1EB1">
        <w:rPr>
          <w:rFonts w:ascii="Times New Roman" w:hAnsi="Times New Roman" w:cs="Times New Roman"/>
          <w:bCs/>
          <w:iCs/>
          <w:sz w:val="22"/>
          <w:szCs w:val="22"/>
        </w:rPr>
        <w:t xml:space="preserve"> days off per week from peritoneal dialysis</w:t>
      </w:r>
      <w:r w:rsidR="00EA1EB1">
        <w:rPr>
          <w:rFonts w:ascii="Times New Roman" w:hAnsi="Times New Roman" w:cs="Times New Roman"/>
          <w:bCs/>
          <w:iCs/>
          <w:sz w:val="22"/>
          <w:szCs w:val="22"/>
        </w:rPr>
        <w:t xml:space="preserve"> (PD)</w:t>
      </w:r>
      <w:r w:rsidRPr="00EA1EB1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EA1EB1">
        <w:rPr>
          <w:rFonts w:ascii="Times New Roman" w:hAnsi="Times New Roman" w:cs="Times New Roman"/>
          <w:bCs/>
          <w:iCs/>
          <w:sz w:val="22"/>
          <w:szCs w:val="22"/>
        </w:rPr>
        <w:t>(depending</w:t>
      </w:r>
      <w:r w:rsidR="00D323FB" w:rsidRPr="00EA1EB1">
        <w:rPr>
          <w:rFonts w:ascii="Times New Roman" w:hAnsi="Times New Roman" w:cs="Times New Roman"/>
          <w:bCs/>
          <w:iCs/>
          <w:sz w:val="22"/>
          <w:szCs w:val="22"/>
        </w:rPr>
        <w:t xml:space="preserve"> on residual renal function)</w:t>
      </w:r>
      <w:r w:rsidRPr="00EA1EB1">
        <w:rPr>
          <w:rFonts w:ascii="Times New Roman" w:hAnsi="Times New Roman" w:cs="Times New Roman"/>
          <w:bCs/>
          <w:iCs/>
          <w:sz w:val="22"/>
          <w:szCs w:val="22"/>
        </w:rPr>
        <w:t xml:space="preserve"> to enhance quality of life.</w:t>
      </w:r>
      <w:r w:rsidR="00D323FB" w:rsidRPr="00EA1EB1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AE121E" w:rsidRPr="00EA1EB1">
        <w:rPr>
          <w:rFonts w:ascii="Times New Roman" w:hAnsi="Times New Roman" w:cs="Times New Roman"/>
          <w:bCs/>
          <w:iCs/>
          <w:sz w:val="22"/>
          <w:szCs w:val="22"/>
        </w:rPr>
        <w:t>W</w:t>
      </w:r>
      <w:r w:rsidR="00D323FB" w:rsidRPr="00EA1EB1">
        <w:rPr>
          <w:rFonts w:ascii="Times New Roman" w:hAnsi="Times New Roman" w:cs="Times New Roman"/>
          <w:bCs/>
          <w:iCs/>
          <w:sz w:val="22"/>
          <w:szCs w:val="22"/>
        </w:rPr>
        <w:t xml:space="preserve">e also adopt the use of twice-daily icodextrin to counter loss of ultrafiltration. </w:t>
      </w:r>
      <w:r w:rsidRPr="00EA1EB1">
        <w:rPr>
          <w:rFonts w:ascii="Times New Roman" w:hAnsi="Times New Roman" w:cs="Times New Roman"/>
          <w:bCs/>
          <w:iCs/>
          <w:sz w:val="22"/>
          <w:szCs w:val="22"/>
        </w:rPr>
        <w:t>Last ye</w:t>
      </w:r>
      <w:r w:rsidR="0091664D" w:rsidRPr="00EA1EB1">
        <w:rPr>
          <w:rFonts w:ascii="Times New Roman" w:hAnsi="Times New Roman" w:cs="Times New Roman"/>
          <w:bCs/>
          <w:iCs/>
          <w:sz w:val="22"/>
          <w:szCs w:val="22"/>
        </w:rPr>
        <w:t xml:space="preserve">ar, we demonstrated that we </w:t>
      </w:r>
      <w:r w:rsidRPr="00EA1EB1">
        <w:rPr>
          <w:rFonts w:ascii="Times New Roman" w:hAnsi="Times New Roman" w:cs="Times New Roman"/>
          <w:bCs/>
          <w:iCs/>
          <w:sz w:val="22"/>
          <w:szCs w:val="22"/>
        </w:rPr>
        <w:t xml:space="preserve">meet the </w:t>
      </w:r>
      <w:r w:rsidR="00EA1EB1">
        <w:rPr>
          <w:rFonts w:ascii="Times New Roman" w:hAnsi="Times New Roman" w:cs="Times New Roman"/>
          <w:bCs/>
          <w:iCs/>
          <w:sz w:val="22"/>
          <w:szCs w:val="22"/>
        </w:rPr>
        <w:t xml:space="preserve">Renal Association </w:t>
      </w:r>
      <w:r w:rsidRPr="00EA1EB1">
        <w:rPr>
          <w:rFonts w:ascii="Times New Roman" w:hAnsi="Times New Roman" w:cs="Times New Roman"/>
          <w:bCs/>
          <w:iCs/>
          <w:sz w:val="22"/>
          <w:szCs w:val="22"/>
        </w:rPr>
        <w:t xml:space="preserve">adequacy targets </w:t>
      </w:r>
      <w:r w:rsidR="0091664D" w:rsidRPr="00EA1EB1">
        <w:rPr>
          <w:rFonts w:ascii="Times New Roman" w:hAnsi="Times New Roman" w:cs="Times New Roman"/>
          <w:bCs/>
          <w:iCs/>
          <w:sz w:val="22"/>
          <w:szCs w:val="22"/>
        </w:rPr>
        <w:t xml:space="preserve">with this personalised prescriptive strategy, but our data was </w:t>
      </w:r>
      <w:r w:rsidRPr="00EA1EB1">
        <w:rPr>
          <w:rFonts w:ascii="Times New Roman" w:hAnsi="Times New Roman" w:cs="Times New Roman"/>
          <w:bCs/>
          <w:iCs/>
          <w:sz w:val="22"/>
          <w:szCs w:val="22"/>
        </w:rPr>
        <w:t>limited by focussing on</w:t>
      </w:r>
      <w:r w:rsidR="0091664D" w:rsidRPr="00EA1EB1">
        <w:rPr>
          <w:rFonts w:ascii="Times New Roman" w:hAnsi="Times New Roman" w:cs="Times New Roman"/>
          <w:bCs/>
          <w:iCs/>
          <w:sz w:val="22"/>
          <w:szCs w:val="22"/>
        </w:rPr>
        <w:t>ly on</w:t>
      </w:r>
      <w:r w:rsidRPr="00EA1EB1">
        <w:rPr>
          <w:rFonts w:ascii="Times New Roman" w:hAnsi="Times New Roman" w:cs="Times New Roman"/>
          <w:bCs/>
          <w:iCs/>
          <w:sz w:val="22"/>
          <w:szCs w:val="22"/>
        </w:rPr>
        <w:t xml:space="preserve"> current PD </w:t>
      </w:r>
      <w:r w:rsidR="0091664D" w:rsidRPr="00EA1EB1">
        <w:rPr>
          <w:rFonts w:ascii="Times New Roman" w:hAnsi="Times New Roman" w:cs="Times New Roman"/>
          <w:bCs/>
          <w:iCs/>
          <w:sz w:val="22"/>
          <w:szCs w:val="22"/>
        </w:rPr>
        <w:t xml:space="preserve">patients </w:t>
      </w:r>
      <w:r w:rsidRPr="00EA1EB1">
        <w:rPr>
          <w:rFonts w:ascii="Times New Roman" w:hAnsi="Times New Roman" w:cs="Times New Roman"/>
          <w:bCs/>
          <w:iCs/>
          <w:sz w:val="22"/>
          <w:szCs w:val="22"/>
        </w:rPr>
        <w:t xml:space="preserve">(n=95), introducing possible survival bias. </w:t>
      </w:r>
      <w:r w:rsidR="0091664D" w:rsidRPr="00EA1EB1">
        <w:rPr>
          <w:rFonts w:ascii="Times New Roman" w:hAnsi="Times New Roman" w:cs="Times New Roman"/>
          <w:bCs/>
          <w:iCs/>
          <w:sz w:val="22"/>
          <w:szCs w:val="22"/>
        </w:rPr>
        <w:t xml:space="preserve">Here, we present findings of our </w:t>
      </w:r>
      <w:r w:rsidRPr="00EA1EB1">
        <w:rPr>
          <w:rFonts w:ascii="Times New Roman" w:hAnsi="Times New Roman" w:cs="Times New Roman"/>
          <w:bCs/>
          <w:iCs/>
          <w:sz w:val="22"/>
          <w:szCs w:val="22"/>
        </w:rPr>
        <w:t>expand</w:t>
      </w:r>
      <w:r w:rsidR="0091664D" w:rsidRPr="00EA1EB1">
        <w:rPr>
          <w:rFonts w:ascii="Times New Roman" w:hAnsi="Times New Roman" w:cs="Times New Roman"/>
          <w:bCs/>
          <w:iCs/>
          <w:sz w:val="22"/>
          <w:szCs w:val="22"/>
        </w:rPr>
        <w:t>ed analysis</w:t>
      </w:r>
      <w:r w:rsidRPr="00EA1EB1">
        <w:rPr>
          <w:rFonts w:ascii="Times New Roman" w:hAnsi="Times New Roman" w:cs="Times New Roman"/>
          <w:bCs/>
          <w:iCs/>
          <w:sz w:val="22"/>
          <w:szCs w:val="22"/>
        </w:rPr>
        <w:t xml:space="preserve"> including </w:t>
      </w:r>
      <w:r w:rsidR="00EA1EB1">
        <w:rPr>
          <w:rFonts w:ascii="Times New Roman" w:hAnsi="Times New Roman" w:cs="Times New Roman"/>
          <w:bCs/>
          <w:iCs/>
          <w:sz w:val="22"/>
          <w:szCs w:val="22"/>
        </w:rPr>
        <w:t>transfers</w:t>
      </w:r>
      <w:r w:rsidRPr="00EA1EB1">
        <w:rPr>
          <w:rFonts w:ascii="Times New Roman" w:hAnsi="Times New Roman" w:cs="Times New Roman"/>
          <w:bCs/>
          <w:iCs/>
          <w:sz w:val="22"/>
          <w:szCs w:val="22"/>
        </w:rPr>
        <w:t xml:space="preserve"> to HD, transpl</w:t>
      </w:r>
      <w:r w:rsidR="0091664D" w:rsidRPr="00EA1EB1">
        <w:rPr>
          <w:rFonts w:ascii="Times New Roman" w:hAnsi="Times New Roman" w:cs="Times New Roman"/>
          <w:bCs/>
          <w:iCs/>
          <w:sz w:val="22"/>
          <w:szCs w:val="22"/>
        </w:rPr>
        <w:t>antation and deaths.</w:t>
      </w:r>
      <w:r w:rsidRPr="00EA1EB1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</w:p>
    <w:p w14:paraId="29B82F34" w14:textId="77777777" w:rsidR="00A82066" w:rsidRPr="00EA1EB1" w:rsidRDefault="00A82066" w:rsidP="00CB4215">
      <w:pPr>
        <w:jc w:val="both"/>
        <w:outlineLvl w:val="0"/>
        <w:rPr>
          <w:rFonts w:ascii="Times New Roman" w:hAnsi="Times New Roman" w:cs="Times New Roman"/>
          <w:bCs/>
          <w:iCs/>
          <w:sz w:val="22"/>
          <w:szCs w:val="22"/>
        </w:rPr>
      </w:pPr>
    </w:p>
    <w:p w14:paraId="4D95A635" w14:textId="77777777" w:rsidR="00CB4215" w:rsidRPr="00EA1EB1" w:rsidRDefault="00CB4215" w:rsidP="0091664D">
      <w:pPr>
        <w:jc w:val="both"/>
        <w:outlineLvl w:val="0"/>
        <w:rPr>
          <w:rFonts w:ascii="Times New Roman" w:hAnsi="Times New Roman" w:cs="Times New Roman"/>
          <w:b/>
          <w:iCs/>
          <w:sz w:val="22"/>
          <w:szCs w:val="22"/>
        </w:rPr>
      </w:pPr>
      <w:r w:rsidRPr="00EA1EB1">
        <w:rPr>
          <w:rFonts w:ascii="Times New Roman" w:hAnsi="Times New Roman" w:cs="Times New Roman"/>
          <w:b/>
          <w:iCs/>
          <w:sz w:val="22"/>
          <w:szCs w:val="22"/>
        </w:rPr>
        <w:t xml:space="preserve">Methods: </w:t>
      </w:r>
    </w:p>
    <w:p w14:paraId="4809DCAD" w14:textId="635681E0" w:rsidR="00CB4215" w:rsidRDefault="00EA1EB1" w:rsidP="00EA1EB1">
      <w:pPr>
        <w:jc w:val="both"/>
        <w:outlineLvl w:val="0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>All</w:t>
      </w:r>
      <w:r w:rsidR="00CB4215" w:rsidRPr="00EA1EB1">
        <w:rPr>
          <w:rFonts w:ascii="Times New Roman" w:hAnsi="Times New Roman" w:cs="Times New Roman"/>
          <w:bCs/>
          <w:iCs/>
          <w:sz w:val="22"/>
          <w:szCs w:val="22"/>
        </w:rPr>
        <w:t xml:space="preserve"> patients who started PD from January 1</w:t>
      </w:r>
      <w:r w:rsidR="00CB4215" w:rsidRPr="00EA1EB1">
        <w:rPr>
          <w:rFonts w:ascii="Times New Roman" w:hAnsi="Times New Roman" w:cs="Times New Roman"/>
          <w:bCs/>
          <w:iCs/>
          <w:sz w:val="22"/>
          <w:szCs w:val="22"/>
          <w:vertAlign w:val="superscript"/>
        </w:rPr>
        <w:t>st</w:t>
      </w:r>
      <w:r w:rsidR="00CB4215" w:rsidRPr="00EA1EB1">
        <w:rPr>
          <w:rFonts w:ascii="Times New Roman" w:hAnsi="Times New Roman" w:cs="Times New Roman"/>
          <w:bCs/>
          <w:iCs/>
          <w:sz w:val="22"/>
          <w:szCs w:val="22"/>
        </w:rPr>
        <w:t xml:space="preserve"> 2012 to December 31</w:t>
      </w:r>
      <w:r w:rsidR="00CB4215" w:rsidRPr="00EA1EB1">
        <w:rPr>
          <w:rFonts w:ascii="Times New Roman" w:hAnsi="Times New Roman" w:cs="Times New Roman"/>
          <w:bCs/>
          <w:iCs/>
          <w:sz w:val="22"/>
          <w:szCs w:val="22"/>
          <w:vertAlign w:val="superscript"/>
        </w:rPr>
        <w:t>st</w:t>
      </w:r>
      <w:r w:rsidR="00CB4215" w:rsidRPr="00EA1EB1">
        <w:rPr>
          <w:rFonts w:ascii="Times New Roman" w:hAnsi="Times New Roman" w:cs="Times New Roman"/>
          <w:bCs/>
          <w:iCs/>
          <w:sz w:val="22"/>
          <w:szCs w:val="22"/>
        </w:rPr>
        <w:t xml:space="preserve"> 2016 in our centre</w:t>
      </w:r>
      <w:r>
        <w:rPr>
          <w:rFonts w:ascii="Times New Roman" w:hAnsi="Times New Roman" w:cs="Times New Roman"/>
          <w:bCs/>
          <w:iCs/>
          <w:sz w:val="22"/>
          <w:szCs w:val="22"/>
        </w:rPr>
        <w:t xml:space="preserve"> were included</w:t>
      </w:r>
      <w:r w:rsidR="00CB4215" w:rsidRPr="00EA1EB1">
        <w:rPr>
          <w:rFonts w:ascii="Times New Roman" w:hAnsi="Times New Roman" w:cs="Times New Roman"/>
          <w:bCs/>
          <w:iCs/>
          <w:sz w:val="22"/>
          <w:szCs w:val="22"/>
        </w:rPr>
        <w:t>. Data on dialysis prescription and adequacy</w:t>
      </w:r>
      <w:r>
        <w:rPr>
          <w:rFonts w:ascii="Times New Roman" w:hAnsi="Times New Roman" w:cs="Times New Roman"/>
          <w:bCs/>
          <w:iCs/>
          <w:sz w:val="22"/>
          <w:szCs w:val="22"/>
        </w:rPr>
        <w:t xml:space="preserve"> (using PD Adequest)</w:t>
      </w:r>
      <w:r w:rsidR="00CB4215" w:rsidRPr="00EA1EB1">
        <w:rPr>
          <w:rFonts w:ascii="Times New Roman" w:hAnsi="Times New Roman" w:cs="Times New Roman"/>
          <w:bCs/>
          <w:iCs/>
          <w:sz w:val="22"/>
          <w:szCs w:val="22"/>
        </w:rPr>
        <w:t xml:space="preserve"> were collected </w:t>
      </w:r>
      <w:r>
        <w:rPr>
          <w:rFonts w:ascii="Times New Roman" w:hAnsi="Times New Roman" w:cs="Times New Roman"/>
          <w:bCs/>
          <w:iCs/>
          <w:sz w:val="22"/>
          <w:szCs w:val="22"/>
        </w:rPr>
        <w:t>6 monthly for each patient.</w:t>
      </w:r>
    </w:p>
    <w:p w14:paraId="19F7AF91" w14:textId="77777777" w:rsidR="00A82066" w:rsidRPr="00EA1EB1" w:rsidRDefault="00A82066" w:rsidP="00EA1EB1">
      <w:pPr>
        <w:jc w:val="both"/>
        <w:outlineLvl w:val="0"/>
        <w:rPr>
          <w:rFonts w:ascii="Times New Roman" w:hAnsi="Times New Roman" w:cs="Times New Roman"/>
          <w:bCs/>
          <w:iCs/>
          <w:sz w:val="22"/>
          <w:szCs w:val="22"/>
        </w:rPr>
      </w:pPr>
    </w:p>
    <w:p w14:paraId="3D63A86C" w14:textId="77777777" w:rsidR="00CB4215" w:rsidRPr="00EA1EB1" w:rsidRDefault="00CB4215" w:rsidP="00CB4215">
      <w:pPr>
        <w:outlineLvl w:val="0"/>
        <w:rPr>
          <w:rFonts w:ascii="Times New Roman" w:hAnsi="Times New Roman" w:cs="Times New Roman"/>
          <w:b/>
          <w:iCs/>
          <w:sz w:val="22"/>
          <w:szCs w:val="22"/>
        </w:rPr>
      </w:pPr>
      <w:r w:rsidRPr="00EA1EB1">
        <w:rPr>
          <w:rFonts w:ascii="Times New Roman" w:hAnsi="Times New Roman" w:cs="Times New Roman"/>
          <w:b/>
          <w:iCs/>
          <w:sz w:val="22"/>
          <w:szCs w:val="22"/>
        </w:rPr>
        <w:t>Results:</w:t>
      </w:r>
    </w:p>
    <w:p w14:paraId="46F3B67D" w14:textId="20BA50E9" w:rsidR="0084662F" w:rsidRPr="00EA1EB1" w:rsidRDefault="00CB4215" w:rsidP="0084662F">
      <w:pPr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EA1EB1">
        <w:rPr>
          <w:rFonts w:ascii="Times New Roman" w:hAnsi="Times New Roman" w:cs="Times New Roman"/>
          <w:bCs/>
          <w:iCs/>
          <w:sz w:val="22"/>
          <w:szCs w:val="22"/>
        </w:rPr>
        <w:t xml:space="preserve">186 patients were included in the study. </w:t>
      </w:r>
      <w:r w:rsidR="00EA1EB1">
        <w:rPr>
          <w:rFonts w:ascii="Times New Roman" w:hAnsi="Times New Roman" w:cs="Times New Roman"/>
          <w:bCs/>
          <w:iCs/>
          <w:sz w:val="22"/>
          <w:szCs w:val="22"/>
        </w:rPr>
        <w:t xml:space="preserve">Median age at start of dialysis was 61 years; </w:t>
      </w:r>
      <w:r w:rsidRPr="00EA1EB1">
        <w:rPr>
          <w:rFonts w:ascii="Times New Roman" w:hAnsi="Times New Roman" w:cs="Times New Roman"/>
          <w:bCs/>
          <w:iCs/>
          <w:sz w:val="22"/>
          <w:szCs w:val="22"/>
        </w:rPr>
        <w:t xml:space="preserve">54% patients were male. </w:t>
      </w:r>
      <w:r w:rsidR="0084662F" w:rsidRPr="00EA1EB1">
        <w:rPr>
          <w:rFonts w:ascii="Times New Roman" w:hAnsi="Times New Roman" w:cs="Times New Roman"/>
          <w:bCs/>
          <w:iCs/>
          <w:sz w:val="22"/>
          <w:szCs w:val="22"/>
        </w:rPr>
        <w:t>Only 49% patients started on PD 7 days a week and this dropped to 27% at 3 months following the first clearance test. Over 90% of patients achieved creatinine clearance (CrCl) &gt;50L/week/1.</w:t>
      </w:r>
      <w:r w:rsidR="002560AD">
        <w:rPr>
          <w:rFonts w:ascii="Times New Roman" w:hAnsi="Times New Roman" w:cs="Times New Roman"/>
          <w:bCs/>
          <w:iCs/>
          <w:sz w:val="22"/>
          <w:szCs w:val="22"/>
        </w:rPr>
        <w:t>73</w:t>
      </w:r>
      <w:r w:rsidR="0084662F" w:rsidRPr="00EA1EB1">
        <w:rPr>
          <w:rFonts w:ascii="Times New Roman" w:hAnsi="Times New Roman" w:cs="Times New Roman"/>
          <w:bCs/>
          <w:iCs/>
          <w:sz w:val="22"/>
          <w:szCs w:val="22"/>
        </w:rPr>
        <w:t>m</w:t>
      </w:r>
      <w:r w:rsidR="0084662F" w:rsidRPr="002560AD">
        <w:rPr>
          <w:rFonts w:ascii="Times New Roman" w:hAnsi="Times New Roman" w:cs="Times New Roman"/>
          <w:bCs/>
          <w:iCs/>
          <w:sz w:val="22"/>
          <w:szCs w:val="22"/>
          <w:vertAlign w:val="superscript"/>
        </w:rPr>
        <w:t>2</w:t>
      </w:r>
      <w:r w:rsidR="0084662F" w:rsidRPr="00EA1EB1">
        <w:rPr>
          <w:rFonts w:ascii="Times New Roman" w:hAnsi="Times New Roman" w:cs="Times New Roman"/>
          <w:bCs/>
          <w:iCs/>
          <w:sz w:val="22"/>
          <w:szCs w:val="22"/>
        </w:rPr>
        <w:t xml:space="preserve"> up to 2 years of follow-up, with 87% achieving this standard at 3 years. </w:t>
      </w:r>
    </w:p>
    <w:p w14:paraId="44E88B37" w14:textId="0ED13D8A" w:rsidR="00AE121E" w:rsidRDefault="006E6852" w:rsidP="006E6852">
      <w:pPr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EA1EB1">
        <w:rPr>
          <w:rFonts w:ascii="Times New Roman" w:hAnsi="Times New Roman" w:cs="Times New Roman"/>
          <w:sz w:val="22"/>
          <w:szCs w:val="22"/>
        </w:rPr>
        <w:t xml:space="preserve">94 (50.5%) patients remain on </w:t>
      </w:r>
      <w:r w:rsidR="0084662F">
        <w:rPr>
          <w:rFonts w:ascii="Times New Roman" w:hAnsi="Times New Roman" w:cs="Times New Roman"/>
          <w:sz w:val="22"/>
          <w:szCs w:val="22"/>
        </w:rPr>
        <w:t>PD</w:t>
      </w:r>
      <w:r w:rsidRPr="00EA1EB1">
        <w:rPr>
          <w:rFonts w:ascii="Times New Roman" w:hAnsi="Times New Roman" w:cs="Times New Roman"/>
          <w:sz w:val="22"/>
          <w:szCs w:val="22"/>
        </w:rPr>
        <w:t xml:space="preserve">. </w:t>
      </w:r>
      <w:r w:rsidR="00063B71">
        <w:rPr>
          <w:rFonts w:ascii="Times New Roman" w:hAnsi="Times New Roman" w:cs="Times New Roman"/>
          <w:sz w:val="22"/>
          <w:szCs w:val="22"/>
        </w:rPr>
        <w:t>2</w:t>
      </w:r>
      <w:r w:rsidRPr="00EA1EB1">
        <w:rPr>
          <w:rFonts w:ascii="Times New Roman" w:hAnsi="Times New Roman" w:cs="Times New Roman"/>
          <w:sz w:val="22"/>
          <w:szCs w:val="22"/>
        </w:rPr>
        <w:t>9 (</w:t>
      </w:r>
      <w:r w:rsidR="00063B71">
        <w:rPr>
          <w:rFonts w:ascii="Times New Roman" w:hAnsi="Times New Roman" w:cs="Times New Roman"/>
          <w:sz w:val="22"/>
          <w:szCs w:val="22"/>
        </w:rPr>
        <w:t>15.6</w:t>
      </w:r>
      <w:r w:rsidR="0084662F">
        <w:rPr>
          <w:rFonts w:ascii="Times New Roman" w:hAnsi="Times New Roman" w:cs="Times New Roman"/>
          <w:sz w:val="22"/>
          <w:szCs w:val="22"/>
        </w:rPr>
        <w:t xml:space="preserve">%) patients died, </w:t>
      </w:r>
      <w:r w:rsidR="005D0536">
        <w:rPr>
          <w:rFonts w:ascii="Times New Roman" w:hAnsi="Times New Roman" w:cs="Times New Roman"/>
          <w:sz w:val="22"/>
          <w:szCs w:val="22"/>
        </w:rPr>
        <w:t>2</w:t>
      </w:r>
      <w:r w:rsidRPr="00EA1EB1">
        <w:rPr>
          <w:rFonts w:ascii="Times New Roman" w:hAnsi="Times New Roman" w:cs="Times New Roman"/>
          <w:sz w:val="22"/>
          <w:szCs w:val="22"/>
        </w:rPr>
        <w:t>9 patients (</w:t>
      </w:r>
      <w:r w:rsidR="005D0536">
        <w:rPr>
          <w:rFonts w:ascii="Times New Roman" w:hAnsi="Times New Roman" w:cs="Times New Roman"/>
          <w:sz w:val="22"/>
          <w:szCs w:val="22"/>
        </w:rPr>
        <w:t>15.6</w:t>
      </w:r>
      <w:r w:rsidRPr="00EA1EB1">
        <w:rPr>
          <w:rFonts w:ascii="Times New Roman" w:hAnsi="Times New Roman" w:cs="Times New Roman"/>
          <w:sz w:val="22"/>
          <w:szCs w:val="22"/>
        </w:rPr>
        <w:t xml:space="preserve">%) </w:t>
      </w:r>
      <w:r w:rsidR="0084662F">
        <w:rPr>
          <w:rFonts w:ascii="Times New Roman" w:hAnsi="Times New Roman" w:cs="Times New Roman"/>
          <w:sz w:val="22"/>
          <w:szCs w:val="22"/>
        </w:rPr>
        <w:t>transferred</w:t>
      </w:r>
      <w:r w:rsidRPr="00EA1EB1">
        <w:rPr>
          <w:rFonts w:ascii="Times New Roman" w:hAnsi="Times New Roman" w:cs="Times New Roman"/>
          <w:sz w:val="22"/>
          <w:szCs w:val="22"/>
        </w:rPr>
        <w:t xml:space="preserve"> to </w:t>
      </w:r>
      <w:r w:rsidR="0084662F">
        <w:rPr>
          <w:rFonts w:ascii="Times New Roman" w:hAnsi="Times New Roman" w:cs="Times New Roman"/>
          <w:sz w:val="22"/>
          <w:szCs w:val="22"/>
        </w:rPr>
        <w:t>HD, 26 (13.9%) were transplanted.</w:t>
      </w:r>
      <w:r w:rsidR="004D4775">
        <w:rPr>
          <w:rFonts w:ascii="Times New Roman" w:hAnsi="Times New Roman" w:cs="Times New Roman"/>
          <w:sz w:val="22"/>
          <w:szCs w:val="22"/>
        </w:rPr>
        <w:t xml:space="preserve"> </w:t>
      </w:r>
      <w:r w:rsidR="00CB4215" w:rsidRPr="00EA1EB1">
        <w:rPr>
          <w:rFonts w:ascii="Times New Roman" w:hAnsi="Times New Roman" w:cs="Times New Roman"/>
          <w:bCs/>
          <w:iCs/>
          <w:sz w:val="22"/>
          <w:szCs w:val="22"/>
        </w:rPr>
        <w:t xml:space="preserve">Overall patient and technique survival at 1, 2 and 3 years were 91, 81, and 72% and 89, 87 and 78% respectively. </w:t>
      </w:r>
      <w:r w:rsidR="009027CF">
        <w:rPr>
          <w:rFonts w:ascii="Times New Roman" w:hAnsi="Times New Roman" w:cs="Times New Roman"/>
          <w:bCs/>
          <w:iCs/>
          <w:sz w:val="22"/>
          <w:szCs w:val="22"/>
        </w:rPr>
        <w:t xml:space="preserve">This compares to a median technique </w:t>
      </w:r>
      <w:r w:rsidR="001758A6">
        <w:rPr>
          <w:rFonts w:ascii="Times New Roman" w:hAnsi="Times New Roman" w:cs="Times New Roman"/>
          <w:bCs/>
          <w:iCs/>
          <w:sz w:val="22"/>
          <w:szCs w:val="22"/>
        </w:rPr>
        <w:t>survival</w:t>
      </w:r>
      <w:r w:rsidR="00D471D6">
        <w:rPr>
          <w:rFonts w:ascii="Times New Roman" w:hAnsi="Times New Roman" w:cs="Times New Roman"/>
          <w:bCs/>
          <w:iCs/>
          <w:sz w:val="22"/>
          <w:szCs w:val="22"/>
        </w:rPr>
        <w:t xml:space="preserve"> of 84% and 48% at 1 and 3 years in</w:t>
      </w:r>
      <w:r w:rsidR="00A71A53">
        <w:rPr>
          <w:rFonts w:ascii="Times New Roman" w:hAnsi="Times New Roman" w:cs="Times New Roman"/>
          <w:bCs/>
          <w:iCs/>
          <w:sz w:val="22"/>
          <w:szCs w:val="22"/>
        </w:rPr>
        <w:t xml:space="preserve"> the</w:t>
      </w:r>
      <w:bookmarkStart w:id="0" w:name="_GoBack"/>
      <w:bookmarkEnd w:id="0"/>
      <w:r w:rsidR="00D471D6">
        <w:rPr>
          <w:rFonts w:ascii="Times New Roman" w:hAnsi="Times New Roman" w:cs="Times New Roman"/>
          <w:bCs/>
          <w:iCs/>
          <w:sz w:val="22"/>
          <w:szCs w:val="22"/>
        </w:rPr>
        <w:t xml:space="preserve"> ANZDATA registry for 2013-2015. </w:t>
      </w:r>
      <w:r w:rsidR="00CB4215" w:rsidRPr="00EA1EB1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84662F">
        <w:rPr>
          <w:rFonts w:ascii="Times New Roman" w:hAnsi="Times New Roman" w:cs="Times New Roman"/>
          <w:sz w:val="22"/>
          <w:szCs w:val="22"/>
        </w:rPr>
        <w:t xml:space="preserve"> </w:t>
      </w:r>
      <w:r w:rsidR="00D471D6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CB4215" w:rsidRPr="00EA1EB1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</w:p>
    <w:p w14:paraId="12B31467" w14:textId="7420C2D5" w:rsidR="00D471D6" w:rsidRPr="0084662F" w:rsidRDefault="00D471D6" w:rsidP="006E6852">
      <w:pPr>
        <w:jc w:val="both"/>
        <w:rPr>
          <w:rFonts w:ascii="Times New Roman" w:hAnsi="Times New Roman" w:cs="Times New Roman"/>
          <w:sz w:val="22"/>
          <w:szCs w:val="22"/>
        </w:rPr>
      </w:pPr>
      <w:r w:rsidRPr="00D471D6">
        <w:rPr>
          <w:rFonts w:ascii="Times New Roman" w:hAnsi="Times New Roman" w:cs="Times New Roman"/>
          <w:sz w:val="22"/>
          <w:szCs w:val="22"/>
        </w:rPr>
        <w:t xml:space="preserve">The principal reasons for </w:t>
      </w:r>
      <w:r>
        <w:rPr>
          <w:rFonts w:ascii="Times New Roman" w:hAnsi="Times New Roman" w:cs="Times New Roman"/>
          <w:sz w:val="22"/>
          <w:szCs w:val="22"/>
        </w:rPr>
        <w:t>transferring</w:t>
      </w:r>
      <w:r w:rsidRPr="00D471D6">
        <w:rPr>
          <w:rFonts w:ascii="Times New Roman" w:hAnsi="Times New Roman" w:cs="Times New Roman"/>
          <w:sz w:val="22"/>
          <w:szCs w:val="22"/>
        </w:rPr>
        <w:t xml:space="preserve"> to HD relate to PD-associated infection (48%), catheter malfunction (34%), decline in dialysis clearance and ultrafiltration (10%) and in some cases, acquired patient-specific factors (14%)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D471D6">
        <w:rPr>
          <w:rFonts w:ascii="Times New Roman" w:hAnsi="Times New Roman" w:cs="Times New Roman"/>
          <w:sz w:val="22"/>
          <w:szCs w:val="22"/>
        </w:rPr>
        <w:t>Using Cox regression, on univariate analysis, factors negatively affecting technique survival included having an exit-site infection (HR 2.18, p=0.05), 2 or more episodes of PD-associated peritonitis (HR 4.52, p=0.00) and being hospitalised for PD peritonitis (HR 2.21, p=0.04).  Increasing age was associated with superior technique survival (HR 0.98, p=0.04). There was a tendency to superior technique survival with less than daily peritoneal dialysis (HR 0.479, p=0.09) and tendency to inferior technique survival with accelerated loss of residual GFR at one year (HR 1.18, p=0.06), though not quite reaching statistical significance.</w:t>
      </w:r>
    </w:p>
    <w:p w14:paraId="5EF984B8" w14:textId="77777777" w:rsidR="00351B9F" w:rsidRPr="00EA1EB1" w:rsidRDefault="00351B9F" w:rsidP="00351B9F">
      <w:pPr>
        <w:outlineLvl w:val="0"/>
        <w:rPr>
          <w:rFonts w:ascii="Times New Roman" w:hAnsi="Times New Roman" w:cs="Times New Roman"/>
          <w:b/>
          <w:iCs/>
          <w:sz w:val="22"/>
          <w:szCs w:val="22"/>
        </w:rPr>
      </w:pPr>
    </w:p>
    <w:p w14:paraId="2484A205" w14:textId="716B5834" w:rsidR="00351B9F" w:rsidRPr="00EA1EB1" w:rsidRDefault="00351B9F" w:rsidP="006C6EB2">
      <w:pPr>
        <w:outlineLvl w:val="0"/>
        <w:rPr>
          <w:rFonts w:ascii="Times New Roman" w:hAnsi="Times New Roman" w:cs="Times New Roman"/>
          <w:bCs/>
          <w:iCs/>
          <w:sz w:val="22"/>
          <w:szCs w:val="22"/>
        </w:rPr>
      </w:pPr>
      <w:r w:rsidRPr="00EA1EB1">
        <w:rPr>
          <w:rFonts w:ascii="Times New Roman" w:hAnsi="Times New Roman" w:cs="Times New Roman"/>
          <w:b/>
          <w:iCs/>
          <w:sz w:val="22"/>
          <w:szCs w:val="22"/>
        </w:rPr>
        <w:t>Conclusion</w:t>
      </w:r>
      <w:r w:rsidRPr="00EA1EB1">
        <w:rPr>
          <w:rFonts w:ascii="Times New Roman" w:hAnsi="Times New Roman" w:cs="Times New Roman"/>
          <w:bCs/>
          <w:iCs/>
          <w:sz w:val="22"/>
          <w:szCs w:val="22"/>
        </w:rPr>
        <w:t xml:space="preserve">: </w:t>
      </w:r>
    </w:p>
    <w:p w14:paraId="05010558" w14:textId="08E1D826" w:rsidR="00257703" w:rsidRPr="00EA1EB1" w:rsidRDefault="00351B9F" w:rsidP="006C6EB2">
      <w:pPr>
        <w:outlineLvl w:val="0"/>
        <w:rPr>
          <w:rFonts w:ascii="Times New Roman" w:hAnsi="Times New Roman" w:cs="Times New Roman"/>
          <w:bCs/>
          <w:iCs/>
          <w:sz w:val="22"/>
          <w:szCs w:val="22"/>
        </w:rPr>
      </w:pPr>
      <w:r w:rsidRPr="00EA1EB1">
        <w:rPr>
          <w:rFonts w:ascii="Times New Roman" w:hAnsi="Times New Roman" w:cs="Times New Roman"/>
          <w:bCs/>
          <w:iCs/>
          <w:sz w:val="22"/>
          <w:szCs w:val="22"/>
        </w:rPr>
        <w:t xml:space="preserve">We demonstrate that patients can safely have 1-2 days off dialysis, and still meet the adequacy targets set by the Renal Association. </w:t>
      </w:r>
      <w:r w:rsidR="00A82066">
        <w:rPr>
          <w:rFonts w:ascii="Times New Roman" w:hAnsi="Times New Roman" w:cs="Times New Roman"/>
          <w:bCs/>
          <w:iCs/>
          <w:sz w:val="22"/>
          <w:szCs w:val="22"/>
        </w:rPr>
        <w:t xml:space="preserve"> Larger and longer studies are needed to determine impact of this approach to PD prescription on technique survival.</w:t>
      </w:r>
    </w:p>
    <w:sectPr w:rsidR="00257703" w:rsidRPr="00EA1EB1" w:rsidSect="00650369">
      <w:pgSz w:w="11900" w:h="16840"/>
      <w:pgMar w:top="1701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215"/>
    <w:rsid w:val="00041F81"/>
    <w:rsid w:val="00063B71"/>
    <w:rsid w:val="000A0FF8"/>
    <w:rsid w:val="001758A6"/>
    <w:rsid w:val="001B5AEA"/>
    <w:rsid w:val="002560AD"/>
    <w:rsid w:val="00351B9F"/>
    <w:rsid w:val="003F3387"/>
    <w:rsid w:val="004D4775"/>
    <w:rsid w:val="004F11E0"/>
    <w:rsid w:val="005D0536"/>
    <w:rsid w:val="005D326B"/>
    <w:rsid w:val="00616143"/>
    <w:rsid w:val="00650369"/>
    <w:rsid w:val="006C6EB2"/>
    <w:rsid w:val="006E6852"/>
    <w:rsid w:val="00784905"/>
    <w:rsid w:val="007A62A1"/>
    <w:rsid w:val="0084662F"/>
    <w:rsid w:val="009027CF"/>
    <w:rsid w:val="0091664D"/>
    <w:rsid w:val="00A71A53"/>
    <w:rsid w:val="00A82066"/>
    <w:rsid w:val="00AE121E"/>
    <w:rsid w:val="00CB4215"/>
    <w:rsid w:val="00D323FB"/>
    <w:rsid w:val="00D471D6"/>
    <w:rsid w:val="00D5368D"/>
    <w:rsid w:val="00DA06B0"/>
    <w:rsid w:val="00E01046"/>
    <w:rsid w:val="00EA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9075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21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21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/>
      <vt:lpstr>Peritoneal Dialysis can be safely prescribed with days off: analysis of techniqu</vt:lpstr>
      <vt:lpstr>A Navaratnarajah, EA Brown</vt:lpstr>
      <vt:lpstr/>
      <vt:lpstr>Introduction</vt:lpstr>
      <vt:lpstr>Our unit’s policy is to enable patients to have at least 1-2 days off per week f</vt:lpstr>
      <vt:lpstr>Methods: </vt:lpstr>
      <vt:lpstr>All patients who started PD from January 1st 2012 to December 31st 2016 in our c</vt:lpstr>
      <vt:lpstr>Results:</vt:lpstr>
      <vt:lpstr/>
      <vt:lpstr>Conclusion: </vt:lpstr>
      <vt:lpstr>We demonstrate that patients can safely have 1-2 days off dialysis, and still me</vt:lpstr>
    </vt:vector>
  </TitlesOfParts>
  <Company>Imperial College Healthcare NHS Trust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Navaratnarajah, Arunraj</dc:creator>
  <cp:lastModifiedBy>Navaratnarajah, Arunraj</cp:lastModifiedBy>
  <cp:revision>3</cp:revision>
  <dcterms:created xsi:type="dcterms:W3CDTF">2018-01-30T12:48:00Z</dcterms:created>
  <dcterms:modified xsi:type="dcterms:W3CDTF">2018-01-30T12:53:00Z</dcterms:modified>
</cp:coreProperties>
</file>