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DE" w:rsidRPr="00164F65" w:rsidRDefault="003C2DDC" w:rsidP="009E038F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  <w:r w:rsidRPr="009E038F">
        <w:rPr>
          <w:rFonts w:ascii="Times New Roman" w:hAnsi="Times New Roman" w:cs="Times New Roman"/>
          <w:b/>
        </w:rPr>
        <w:t>Introduction</w:t>
      </w:r>
      <w:r w:rsidR="00164F65">
        <w:rPr>
          <w:rFonts w:ascii="Times New Roman" w:hAnsi="Times New Roman" w:cs="Times New Roman"/>
          <w:b/>
        </w:rPr>
        <w:t xml:space="preserve">   </w:t>
      </w:r>
      <w:r w:rsidR="009E038F">
        <w:rPr>
          <w:rFonts w:ascii="Times New Roman" w:hAnsi="Times New Roman" w:cs="Times New Roman"/>
        </w:rPr>
        <w:t xml:space="preserve">AKI is </w:t>
      </w:r>
      <w:r w:rsidR="00EF3FDE" w:rsidRPr="009E038F">
        <w:rPr>
          <w:rFonts w:ascii="Times New Roman" w:hAnsi="Times New Roman" w:cs="Times New Roman"/>
        </w:rPr>
        <w:t>common</w:t>
      </w:r>
      <w:r w:rsidR="00A11A13">
        <w:rPr>
          <w:rFonts w:ascii="Times New Roman" w:hAnsi="Times New Roman" w:cs="Times New Roman"/>
        </w:rPr>
        <w:t>ly defined using KDIGO criteria, including</w:t>
      </w:r>
      <w:r w:rsidR="00EF3FDE" w:rsidRPr="009E038F">
        <w:rPr>
          <w:rFonts w:ascii="Times New Roman" w:hAnsi="Times New Roman" w:cs="Times New Roman"/>
        </w:rPr>
        <w:t xml:space="preserve"> Seru</w:t>
      </w:r>
      <w:r w:rsidR="00A11A13">
        <w:rPr>
          <w:rFonts w:ascii="Times New Roman" w:hAnsi="Times New Roman" w:cs="Times New Roman"/>
        </w:rPr>
        <w:t>m creatinine (SCr) and</w:t>
      </w:r>
      <w:r w:rsidR="00D12467">
        <w:rPr>
          <w:rFonts w:ascii="Times New Roman" w:hAnsi="Times New Roman" w:cs="Times New Roman"/>
        </w:rPr>
        <w:t xml:space="preserve"> urine output</w:t>
      </w:r>
      <w:r w:rsidR="00165508">
        <w:rPr>
          <w:rFonts w:ascii="Times New Roman" w:hAnsi="Times New Roman" w:cs="Times New Roman"/>
        </w:rPr>
        <w:t>. U</w:t>
      </w:r>
      <w:r w:rsidR="00EF3FDE" w:rsidRPr="009E038F">
        <w:rPr>
          <w:rFonts w:ascii="Times New Roman" w:hAnsi="Times New Roman" w:cs="Times New Roman"/>
        </w:rPr>
        <w:t xml:space="preserve">rine output has been suggested </w:t>
      </w:r>
      <w:r w:rsidR="00A11A13">
        <w:rPr>
          <w:rFonts w:ascii="Times New Roman" w:hAnsi="Times New Roman" w:cs="Times New Roman"/>
        </w:rPr>
        <w:t xml:space="preserve">as a sensitive marker of AKI: use of </w:t>
      </w:r>
      <w:r w:rsidR="00165508" w:rsidRPr="009E038F">
        <w:rPr>
          <w:rFonts w:ascii="Times New Roman" w:hAnsi="Times New Roman" w:cs="Times New Roman"/>
        </w:rPr>
        <w:t>urine output</w:t>
      </w:r>
      <w:r w:rsidR="00165508">
        <w:rPr>
          <w:rFonts w:ascii="Times New Roman" w:hAnsi="Times New Roman" w:cs="Times New Roman"/>
        </w:rPr>
        <w:t xml:space="preserve"> as well as SCr</w:t>
      </w:r>
      <w:r w:rsidR="00165508" w:rsidRPr="009E038F">
        <w:rPr>
          <w:rFonts w:ascii="Times New Roman" w:hAnsi="Times New Roman" w:cs="Times New Roman"/>
        </w:rPr>
        <w:t xml:space="preserve"> may increase incidence of AKI by up to 50% (Koeze et al, BMC nephrology, 2017). </w:t>
      </w:r>
      <w:r w:rsidR="000472CD">
        <w:rPr>
          <w:rFonts w:ascii="Times New Roman" w:hAnsi="Times New Roman" w:cs="Times New Roman"/>
        </w:rPr>
        <w:t>There is no consensus on</w:t>
      </w:r>
      <w:r w:rsidR="00A11A13">
        <w:rPr>
          <w:rFonts w:ascii="Times New Roman" w:hAnsi="Times New Roman" w:cs="Times New Roman"/>
        </w:rPr>
        <w:t xml:space="preserve"> whether urine output should be measured using consecutive hour</w:t>
      </w:r>
      <w:r w:rsidR="00D40A84">
        <w:rPr>
          <w:rFonts w:ascii="Times New Roman" w:hAnsi="Times New Roman" w:cs="Times New Roman"/>
        </w:rPr>
        <w:t xml:space="preserve">ly readings or mean output over fixed </w:t>
      </w:r>
      <w:r w:rsidR="00A11A13">
        <w:rPr>
          <w:rFonts w:ascii="Times New Roman" w:hAnsi="Times New Roman" w:cs="Times New Roman"/>
        </w:rPr>
        <w:t>time</w:t>
      </w:r>
      <w:r w:rsidR="00D40A84">
        <w:rPr>
          <w:rFonts w:ascii="Times New Roman" w:hAnsi="Times New Roman" w:cs="Times New Roman"/>
        </w:rPr>
        <w:t xml:space="preserve"> periods</w:t>
      </w:r>
      <w:r w:rsidR="004B618C">
        <w:rPr>
          <w:rFonts w:ascii="Times New Roman" w:hAnsi="Times New Roman" w:cs="Times New Roman"/>
        </w:rPr>
        <w:t>. T</w:t>
      </w:r>
      <w:r w:rsidR="00165508">
        <w:rPr>
          <w:rFonts w:ascii="Times New Roman" w:hAnsi="Times New Roman" w:cs="Times New Roman"/>
        </w:rPr>
        <w:t xml:space="preserve">he method </w:t>
      </w:r>
      <w:r w:rsidR="00D55DA0">
        <w:rPr>
          <w:rFonts w:ascii="Times New Roman" w:hAnsi="Times New Roman" w:cs="Times New Roman"/>
        </w:rPr>
        <w:t xml:space="preserve">used </w:t>
      </w:r>
      <w:r w:rsidR="00165508">
        <w:rPr>
          <w:rFonts w:ascii="Times New Roman" w:hAnsi="Times New Roman" w:cs="Times New Roman"/>
        </w:rPr>
        <w:t>m</w:t>
      </w:r>
      <w:r w:rsidR="00D55DA0">
        <w:rPr>
          <w:rFonts w:ascii="Times New Roman" w:hAnsi="Times New Roman" w:cs="Times New Roman"/>
        </w:rPr>
        <w:t xml:space="preserve">ay affect </w:t>
      </w:r>
      <w:r w:rsidR="00165508">
        <w:rPr>
          <w:rFonts w:ascii="Times New Roman" w:hAnsi="Times New Roman" w:cs="Times New Roman"/>
        </w:rPr>
        <w:t>incidence of AKI and</w:t>
      </w:r>
      <w:r w:rsidR="001D3755" w:rsidRPr="009E038F">
        <w:rPr>
          <w:rFonts w:ascii="Times New Roman" w:hAnsi="Times New Roman" w:cs="Times New Roman"/>
        </w:rPr>
        <w:t xml:space="preserve"> sensitivity/specif</w:t>
      </w:r>
      <w:r w:rsidR="00D55DA0">
        <w:rPr>
          <w:rFonts w:ascii="Times New Roman" w:hAnsi="Times New Roman" w:cs="Times New Roman"/>
        </w:rPr>
        <w:t>icity</w:t>
      </w:r>
      <w:r w:rsidR="001D7C37">
        <w:rPr>
          <w:rFonts w:ascii="Times New Roman" w:hAnsi="Times New Roman" w:cs="Times New Roman"/>
        </w:rPr>
        <w:t xml:space="preserve"> of urine output</w:t>
      </w:r>
      <w:r w:rsidR="00165508">
        <w:rPr>
          <w:rFonts w:ascii="Times New Roman" w:hAnsi="Times New Roman" w:cs="Times New Roman"/>
        </w:rPr>
        <w:t xml:space="preserve"> as </w:t>
      </w:r>
      <w:r w:rsidR="009306BE">
        <w:rPr>
          <w:rFonts w:ascii="Times New Roman" w:hAnsi="Times New Roman" w:cs="Times New Roman"/>
        </w:rPr>
        <w:t xml:space="preserve">a </w:t>
      </w:r>
      <w:r w:rsidR="00165508">
        <w:rPr>
          <w:rFonts w:ascii="Times New Roman" w:hAnsi="Times New Roman" w:cs="Times New Roman"/>
        </w:rPr>
        <w:t>diagnostic test</w:t>
      </w:r>
      <w:r w:rsidR="001D3755" w:rsidRPr="009E038F">
        <w:rPr>
          <w:rFonts w:ascii="Times New Roman" w:hAnsi="Times New Roman" w:cs="Times New Roman"/>
        </w:rPr>
        <w:t xml:space="preserve">. </w:t>
      </w:r>
      <w:r w:rsidR="00573215" w:rsidRPr="009E038F">
        <w:rPr>
          <w:rFonts w:ascii="Times New Roman" w:hAnsi="Times New Roman" w:cs="Times New Roman"/>
        </w:rPr>
        <w:t xml:space="preserve"> </w:t>
      </w:r>
      <w:r w:rsidR="000472CD">
        <w:rPr>
          <w:rFonts w:ascii="Times New Roman" w:hAnsi="Times New Roman" w:cs="Times New Roman"/>
        </w:rPr>
        <w:t>Previous s</w:t>
      </w:r>
      <w:r w:rsidR="001D7C37">
        <w:rPr>
          <w:rFonts w:ascii="Times New Roman" w:hAnsi="Times New Roman" w:cs="Times New Roman"/>
        </w:rPr>
        <w:t>tudies of urine outp</w:t>
      </w:r>
      <w:r w:rsidR="002C1546">
        <w:rPr>
          <w:rFonts w:ascii="Times New Roman" w:hAnsi="Times New Roman" w:cs="Times New Roman"/>
        </w:rPr>
        <w:t xml:space="preserve">ut as a marker of AKI have </w:t>
      </w:r>
      <w:r w:rsidR="001D7C37">
        <w:rPr>
          <w:rFonts w:ascii="Times New Roman" w:hAnsi="Times New Roman" w:cs="Times New Roman"/>
        </w:rPr>
        <w:t xml:space="preserve">focused </w:t>
      </w:r>
      <w:r w:rsidR="002C1546">
        <w:rPr>
          <w:rFonts w:ascii="Times New Roman" w:hAnsi="Times New Roman" w:cs="Times New Roman"/>
        </w:rPr>
        <w:t>on critical care rather than</w:t>
      </w:r>
      <w:r w:rsidR="001D7C37">
        <w:rPr>
          <w:rFonts w:ascii="Times New Roman" w:hAnsi="Times New Roman" w:cs="Times New Roman"/>
        </w:rPr>
        <w:t xml:space="preserve"> groups w</w:t>
      </w:r>
      <w:r w:rsidR="002C1546">
        <w:rPr>
          <w:rFonts w:ascii="Times New Roman" w:hAnsi="Times New Roman" w:cs="Times New Roman"/>
        </w:rPr>
        <w:t>ith a timed causative event</w:t>
      </w:r>
      <w:r w:rsidR="001D7C37">
        <w:rPr>
          <w:rFonts w:ascii="Times New Roman" w:hAnsi="Times New Roman" w:cs="Times New Roman"/>
        </w:rPr>
        <w:t xml:space="preserve"> </w:t>
      </w:r>
      <w:r w:rsidR="002C1546">
        <w:rPr>
          <w:rFonts w:ascii="Times New Roman" w:hAnsi="Times New Roman" w:cs="Times New Roman"/>
        </w:rPr>
        <w:t xml:space="preserve">such as </w:t>
      </w:r>
      <w:r w:rsidR="001D7C37">
        <w:rPr>
          <w:rFonts w:ascii="Times New Roman" w:hAnsi="Times New Roman" w:cs="Times New Roman"/>
        </w:rPr>
        <w:t xml:space="preserve">cardiac surgery. </w:t>
      </w:r>
    </w:p>
    <w:p w:rsidR="001301A9" w:rsidRPr="00164F65" w:rsidRDefault="001301A9" w:rsidP="009E038F">
      <w:pPr>
        <w:spacing w:after="0"/>
        <w:rPr>
          <w:rFonts w:ascii="Times New Roman" w:hAnsi="Times New Roman" w:cs="Times New Roman"/>
          <w:b/>
        </w:rPr>
      </w:pPr>
      <w:r w:rsidRPr="009E038F">
        <w:rPr>
          <w:rFonts w:ascii="Times New Roman" w:hAnsi="Times New Roman" w:cs="Times New Roman"/>
          <w:b/>
        </w:rPr>
        <w:t>Aims</w:t>
      </w:r>
      <w:r w:rsidR="00164F65">
        <w:rPr>
          <w:rFonts w:ascii="Times New Roman" w:hAnsi="Times New Roman" w:cs="Times New Roman"/>
          <w:b/>
        </w:rPr>
        <w:t xml:space="preserve">   </w:t>
      </w:r>
      <w:r w:rsidR="00483CE9">
        <w:rPr>
          <w:rFonts w:ascii="Times New Roman" w:hAnsi="Times New Roman" w:cs="Times New Roman"/>
        </w:rPr>
        <w:t>We aimed t</w:t>
      </w:r>
      <w:r w:rsidRPr="009E038F">
        <w:rPr>
          <w:rFonts w:ascii="Times New Roman" w:hAnsi="Times New Roman" w:cs="Times New Roman"/>
        </w:rPr>
        <w:t xml:space="preserve">o determine whether using urine output to identify AKI led to increased incidence </w:t>
      </w:r>
      <w:r w:rsidR="001D7C37">
        <w:rPr>
          <w:rFonts w:ascii="Times New Roman" w:hAnsi="Times New Roman" w:cs="Times New Roman"/>
        </w:rPr>
        <w:t xml:space="preserve">in cardiac surgery and ICU, </w:t>
      </w:r>
      <w:r w:rsidRPr="009E038F">
        <w:rPr>
          <w:rFonts w:ascii="Times New Roman" w:hAnsi="Times New Roman" w:cs="Times New Roman"/>
        </w:rPr>
        <w:t>and whether there was a signif</w:t>
      </w:r>
      <w:r w:rsidR="001D7C37">
        <w:rPr>
          <w:rFonts w:ascii="Times New Roman" w:hAnsi="Times New Roman" w:cs="Times New Roman"/>
        </w:rPr>
        <w:t>icant difference between mean vs</w:t>
      </w:r>
      <w:r w:rsidRPr="009E038F">
        <w:rPr>
          <w:rFonts w:ascii="Times New Roman" w:hAnsi="Times New Roman" w:cs="Times New Roman"/>
        </w:rPr>
        <w:t xml:space="preserve"> consecutive hours of oliguria. </w:t>
      </w:r>
    </w:p>
    <w:p w:rsidR="003C2DDC" w:rsidRPr="00164F65" w:rsidRDefault="003C2DDC" w:rsidP="009E038F">
      <w:pPr>
        <w:spacing w:after="0"/>
        <w:rPr>
          <w:rFonts w:ascii="Times New Roman" w:hAnsi="Times New Roman" w:cs="Times New Roman"/>
          <w:b/>
        </w:rPr>
      </w:pPr>
      <w:r w:rsidRPr="009E038F">
        <w:rPr>
          <w:rFonts w:ascii="Times New Roman" w:hAnsi="Times New Roman" w:cs="Times New Roman"/>
          <w:b/>
        </w:rPr>
        <w:t>Methods</w:t>
      </w:r>
      <w:r w:rsidR="00164F65">
        <w:rPr>
          <w:rFonts w:ascii="Times New Roman" w:hAnsi="Times New Roman" w:cs="Times New Roman"/>
          <w:b/>
        </w:rPr>
        <w:t xml:space="preserve">   </w:t>
      </w:r>
      <w:r w:rsidR="00483CE9">
        <w:rPr>
          <w:rFonts w:ascii="Times New Roman" w:hAnsi="Times New Roman" w:cs="Times New Roman"/>
        </w:rPr>
        <w:t>We conducted an observational study of</w:t>
      </w:r>
      <w:r w:rsidR="007473E3" w:rsidRPr="009E038F">
        <w:rPr>
          <w:rFonts w:ascii="Times New Roman" w:hAnsi="Times New Roman" w:cs="Times New Roman"/>
        </w:rPr>
        <w:t xml:space="preserve"> </w:t>
      </w:r>
      <w:r w:rsidR="006C6B30">
        <w:rPr>
          <w:rFonts w:ascii="Times New Roman" w:hAnsi="Times New Roman" w:cs="Times New Roman"/>
        </w:rPr>
        <w:t>patients undergoing cardiac surgery or admitted to ICU</w:t>
      </w:r>
      <w:r w:rsidRPr="009E038F">
        <w:rPr>
          <w:rFonts w:ascii="Times New Roman" w:hAnsi="Times New Roman" w:cs="Times New Roman"/>
        </w:rPr>
        <w:t xml:space="preserve">. </w:t>
      </w:r>
      <w:r w:rsidR="00553496">
        <w:rPr>
          <w:rFonts w:ascii="Times New Roman" w:hAnsi="Times New Roman" w:cs="Times New Roman"/>
        </w:rPr>
        <w:t>U</w:t>
      </w:r>
      <w:r w:rsidRPr="009E038F">
        <w:rPr>
          <w:rFonts w:ascii="Times New Roman" w:hAnsi="Times New Roman" w:cs="Times New Roman"/>
        </w:rPr>
        <w:t>rine output was measured hourly</w:t>
      </w:r>
      <w:r w:rsidR="00F17899">
        <w:rPr>
          <w:rFonts w:ascii="Times New Roman" w:hAnsi="Times New Roman" w:cs="Times New Roman"/>
        </w:rPr>
        <w:t xml:space="preserve"> </w:t>
      </w:r>
      <w:r w:rsidRPr="009E038F">
        <w:rPr>
          <w:rFonts w:ascii="Times New Roman" w:hAnsi="Times New Roman" w:cs="Times New Roman"/>
        </w:rPr>
        <w:t>and SCr was recorded daily</w:t>
      </w:r>
      <w:r w:rsidR="001D3755" w:rsidRPr="009E038F">
        <w:rPr>
          <w:rFonts w:ascii="Times New Roman" w:hAnsi="Times New Roman" w:cs="Times New Roman"/>
        </w:rPr>
        <w:t xml:space="preserve"> for 5 days</w:t>
      </w:r>
      <w:r w:rsidR="00553496">
        <w:rPr>
          <w:rFonts w:ascii="Times New Roman" w:hAnsi="Times New Roman" w:cs="Times New Roman"/>
        </w:rPr>
        <w:t xml:space="preserve">. </w:t>
      </w:r>
      <w:r w:rsidRPr="009E038F">
        <w:rPr>
          <w:rFonts w:ascii="Times New Roman" w:hAnsi="Times New Roman" w:cs="Times New Roman"/>
        </w:rPr>
        <w:t xml:space="preserve">AKI was staged using </w:t>
      </w:r>
      <w:r w:rsidR="00553496">
        <w:rPr>
          <w:rFonts w:ascii="Times New Roman" w:hAnsi="Times New Roman" w:cs="Times New Roman"/>
        </w:rPr>
        <w:t xml:space="preserve">KDIGO </w:t>
      </w:r>
      <w:r w:rsidR="006C6B30">
        <w:rPr>
          <w:rFonts w:ascii="Times New Roman" w:hAnsi="Times New Roman" w:cs="Times New Roman"/>
        </w:rPr>
        <w:t xml:space="preserve">SCr </w:t>
      </w:r>
      <w:r w:rsidRPr="009E038F">
        <w:rPr>
          <w:rFonts w:ascii="Times New Roman" w:hAnsi="Times New Roman" w:cs="Times New Roman"/>
        </w:rPr>
        <w:t xml:space="preserve">criteria alone. </w:t>
      </w:r>
      <w:r w:rsidR="005931E2">
        <w:rPr>
          <w:rFonts w:ascii="Times New Roman" w:hAnsi="Times New Roman" w:cs="Times New Roman"/>
        </w:rPr>
        <w:t>We then staged AKI</w:t>
      </w:r>
      <w:r w:rsidR="006C6B30">
        <w:rPr>
          <w:rFonts w:ascii="Times New Roman" w:hAnsi="Times New Roman" w:cs="Times New Roman"/>
        </w:rPr>
        <w:t xml:space="preserve"> using urine</w:t>
      </w:r>
      <w:r w:rsidRPr="009E038F">
        <w:rPr>
          <w:rFonts w:ascii="Times New Roman" w:hAnsi="Times New Roman" w:cs="Times New Roman"/>
        </w:rPr>
        <w:t xml:space="preserve"> output </w:t>
      </w:r>
      <w:r w:rsidR="006C6B30">
        <w:rPr>
          <w:rFonts w:ascii="Times New Roman" w:hAnsi="Times New Roman" w:cs="Times New Roman"/>
        </w:rPr>
        <w:t xml:space="preserve">in addition to </w:t>
      </w:r>
      <w:proofErr w:type="spellStart"/>
      <w:r w:rsidR="006C6B30">
        <w:rPr>
          <w:rFonts w:ascii="Times New Roman" w:hAnsi="Times New Roman" w:cs="Times New Roman"/>
        </w:rPr>
        <w:t>SCr.</w:t>
      </w:r>
      <w:proofErr w:type="spellEnd"/>
      <w:r w:rsidR="006C6B30">
        <w:rPr>
          <w:rFonts w:ascii="Times New Roman" w:hAnsi="Times New Roman" w:cs="Times New Roman"/>
        </w:rPr>
        <w:t xml:space="preserve"> We compared </w:t>
      </w:r>
      <w:r w:rsidR="00553496">
        <w:rPr>
          <w:rFonts w:ascii="Times New Roman" w:hAnsi="Times New Roman" w:cs="Times New Roman"/>
        </w:rPr>
        <w:t>2 methods of measu</w:t>
      </w:r>
      <w:r w:rsidR="00C172CE">
        <w:rPr>
          <w:rFonts w:ascii="Times New Roman" w:hAnsi="Times New Roman" w:cs="Times New Roman"/>
        </w:rPr>
        <w:t>rement</w:t>
      </w:r>
      <w:r w:rsidR="006C6B30">
        <w:rPr>
          <w:rFonts w:ascii="Times New Roman" w:hAnsi="Times New Roman" w:cs="Times New Roman"/>
        </w:rPr>
        <w:t xml:space="preserve">: </w:t>
      </w:r>
      <w:r w:rsidRPr="009E038F">
        <w:rPr>
          <w:rFonts w:ascii="Times New Roman" w:hAnsi="Times New Roman" w:cs="Times New Roman"/>
        </w:rPr>
        <w:t>hour</w:t>
      </w:r>
      <w:r w:rsidR="00553496">
        <w:rPr>
          <w:rFonts w:ascii="Times New Roman" w:hAnsi="Times New Roman" w:cs="Times New Roman"/>
        </w:rPr>
        <w:t>ly urine output</w:t>
      </w:r>
      <w:r w:rsidRPr="009E038F">
        <w:rPr>
          <w:rFonts w:ascii="Times New Roman" w:hAnsi="Times New Roman" w:cs="Times New Roman"/>
        </w:rPr>
        <w:t xml:space="preserve"> wher</w:t>
      </w:r>
      <w:r w:rsidR="00C172CE">
        <w:rPr>
          <w:rFonts w:ascii="Times New Roman" w:hAnsi="Times New Roman" w:cs="Times New Roman"/>
        </w:rPr>
        <w:t xml:space="preserve">e each consecutive hour met </w:t>
      </w:r>
      <w:r w:rsidRPr="009E038F">
        <w:rPr>
          <w:rFonts w:ascii="Times New Roman" w:hAnsi="Times New Roman" w:cs="Times New Roman"/>
        </w:rPr>
        <w:t>KDIGO criteria</w:t>
      </w:r>
      <w:r w:rsidR="006C6B30">
        <w:rPr>
          <w:rFonts w:ascii="Times New Roman" w:hAnsi="Times New Roman" w:cs="Times New Roman"/>
        </w:rPr>
        <w:t xml:space="preserve"> (method 1) and </w:t>
      </w:r>
      <w:r w:rsidRPr="009E038F">
        <w:rPr>
          <w:rFonts w:ascii="Times New Roman" w:hAnsi="Times New Roman" w:cs="Times New Roman"/>
        </w:rPr>
        <w:t xml:space="preserve">mean </w:t>
      </w:r>
      <w:r w:rsidR="006C6B30">
        <w:rPr>
          <w:rFonts w:ascii="Times New Roman" w:hAnsi="Times New Roman" w:cs="Times New Roman"/>
        </w:rPr>
        <w:t xml:space="preserve">hourly </w:t>
      </w:r>
      <w:r w:rsidRPr="009E038F">
        <w:rPr>
          <w:rFonts w:ascii="Times New Roman" w:hAnsi="Times New Roman" w:cs="Times New Roman"/>
        </w:rPr>
        <w:t xml:space="preserve">urine output </w:t>
      </w:r>
      <w:r w:rsidR="006C6B30">
        <w:rPr>
          <w:rFonts w:ascii="Times New Roman" w:hAnsi="Times New Roman" w:cs="Times New Roman"/>
        </w:rPr>
        <w:t>(method 2)</w:t>
      </w:r>
      <w:r w:rsidRPr="009E038F">
        <w:rPr>
          <w:rFonts w:ascii="Times New Roman" w:hAnsi="Times New Roman" w:cs="Times New Roman"/>
        </w:rPr>
        <w:t xml:space="preserve">. </w:t>
      </w:r>
      <w:r w:rsidR="00ED6DD1">
        <w:rPr>
          <w:rFonts w:ascii="Times New Roman" w:hAnsi="Times New Roman" w:cs="Times New Roman"/>
        </w:rPr>
        <w:t xml:space="preserve">We </w:t>
      </w:r>
      <w:r w:rsidR="00260B2C">
        <w:rPr>
          <w:rFonts w:ascii="Times New Roman" w:hAnsi="Times New Roman" w:cs="Times New Roman"/>
        </w:rPr>
        <w:t>then class</w:t>
      </w:r>
      <w:r w:rsidR="00E42048">
        <w:rPr>
          <w:rFonts w:ascii="Times New Roman" w:hAnsi="Times New Roman" w:cs="Times New Roman"/>
        </w:rPr>
        <w:t xml:space="preserve">ified </w:t>
      </w:r>
      <w:proofErr w:type="gramStart"/>
      <w:r w:rsidR="00E42048">
        <w:rPr>
          <w:rFonts w:ascii="Times New Roman" w:hAnsi="Times New Roman" w:cs="Times New Roman"/>
        </w:rPr>
        <w:t>AKI using</w:t>
      </w:r>
      <w:proofErr w:type="gramEnd"/>
      <w:r w:rsidR="00E42048">
        <w:rPr>
          <w:rFonts w:ascii="Times New Roman" w:hAnsi="Times New Roman" w:cs="Times New Roman"/>
        </w:rPr>
        <w:t xml:space="preserve"> urine output </w:t>
      </w:r>
      <w:r w:rsidR="00260B2C">
        <w:rPr>
          <w:rFonts w:ascii="Times New Roman" w:hAnsi="Times New Roman" w:cs="Times New Roman"/>
        </w:rPr>
        <w:t xml:space="preserve">alone and </w:t>
      </w:r>
      <w:r w:rsidR="00ED6DD1">
        <w:rPr>
          <w:rFonts w:ascii="Times New Roman" w:hAnsi="Times New Roman" w:cs="Times New Roman"/>
        </w:rPr>
        <w:t>calculated s</w:t>
      </w:r>
      <w:r w:rsidR="000820D9" w:rsidRPr="009E038F">
        <w:rPr>
          <w:rFonts w:ascii="Times New Roman" w:hAnsi="Times New Roman" w:cs="Times New Roman"/>
        </w:rPr>
        <w:t>ens</w:t>
      </w:r>
      <w:r w:rsidR="00910050">
        <w:rPr>
          <w:rFonts w:ascii="Times New Roman" w:hAnsi="Times New Roman" w:cs="Times New Roman"/>
        </w:rPr>
        <w:t>itivity/</w:t>
      </w:r>
      <w:r w:rsidR="006C6B30">
        <w:rPr>
          <w:rFonts w:ascii="Times New Roman" w:hAnsi="Times New Roman" w:cs="Times New Roman"/>
        </w:rPr>
        <w:t>specifi</w:t>
      </w:r>
      <w:r w:rsidR="00ED6DD1">
        <w:rPr>
          <w:rFonts w:ascii="Times New Roman" w:hAnsi="Times New Roman" w:cs="Times New Roman"/>
        </w:rPr>
        <w:t>city</w:t>
      </w:r>
      <w:r w:rsidR="000820D9" w:rsidRPr="009E038F">
        <w:rPr>
          <w:rFonts w:ascii="Times New Roman" w:hAnsi="Times New Roman" w:cs="Times New Roman"/>
        </w:rPr>
        <w:t xml:space="preserve"> u</w:t>
      </w:r>
      <w:r w:rsidR="000133F9">
        <w:rPr>
          <w:rFonts w:ascii="Times New Roman" w:hAnsi="Times New Roman" w:cs="Times New Roman"/>
        </w:rPr>
        <w:t xml:space="preserve">sing </w:t>
      </w:r>
      <w:proofErr w:type="spellStart"/>
      <w:r w:rsidR="000133F9">
        <w:rPr>
          <w:rFonts w:ascii="Times New Roman" w:hAnsi="Times New Roman" w:cs="Times New Roman"/>
        </w:rPr>
        <w:t>SCr</w:t>
      </w:r>
      <w:proofErr w:type="spellEnd"/>
      <w:r w:rsidR="000133F9">
        <w:rPr>
          <w:rFonts w:ascii="Times New Roman" w:hAnsi="Times New Roman" w:cs="Times New Roman"/>
        </w:rPr>
        <w:t xml:space="preserve"> </w:t>
      </w:r>
      <w:r w:rsidR="00910050">
        <w:rPr>
          <w:rFonts w:ascii="Times New Roman" w:hAnsi="Times New Roman" w:cs="Times New Roman"/>
        </w:rPr>
        <w:t xml:space="preserve">as </w:t>
      </w:r>
      <w:r w:rsidR="006C6B30">
        <w:rPr>
          <w:rFonts w:ascii="Times New Roman" w:hAnsi="Times New Roman" w:cs="Times New Roman"/>
        </w:rPr>
        <w:t>gold standard</w:t>
      </w:r>
      <w:r w:rsidR="000820D9" w:rsidRPr="009E038F">
        <w:rPr>
          <w:rFonts w:ascii="Times New Roman" w:hAnsi="Times New Roman" w:cs="Times New Roman"/>
        </w:rPr>
        <w:t xml:space="preserve">. </w:t>
      </w:r>
    </w:p>
    <w:p w:rsidR="00DD50B3" w:rsidRPr="00F131B2" w:rsidRDefault="007473E3" w:rsidP="005931E2">
      <w:pPr>
        <w:spacing w:after="0"/>
        <w:rPr>
          <w:rFonts w:ascii="Times New Roman" w:hAnsi="Times New Roman" w:cs="Times New Roman"/>
          <w:b/>
        </w:rPr>
      </w:pPr>
      <w:r w:rsidRPr="009E038F">
        <w:rPr>
          <w:rFonts w:ascii="Times New Roman" w:hAnsi="Times New Roman" w:cs="Times New Roman"/>
          <w:b/>
        </w:rPr>
        <w:t xml:space="preserve">Results </w:t>
      </w:r>
      <w:r w:rsidR="00164F65">
        <w:rPr>
          <w:rFonts w:ascii="Times New Roman" w:hAnsi="Times New Roman" w:cs="Times New Roman"/>
          <w:b/>
        </w:rPr>
        <w:t xml:space="preserve">   </w:t>
      </w:r>
      <w:r w:rsidRPr="009E038F">
        <w:rPr>
          <w:rFonts w:ascii="Times New Roman" w:hAnsi="Times New Roman" w:cs="Times New Roman"/>
        </w:rPr>
        <w:t xml:space="preserve">Data from 150 ICU admissions and 151 cardiac surgeries were analysed. </w:t>
      </w:r>
      <w:r w:rsidR="000800FF" w:rsidRPr="009E038F">
        <w:rPr>
          <w:rFonts w:ascii="Times New Roman" w:hAnsi="Times New Roman" w:cs="Times New Roman"/>
        </w:rPr>
        <w:t xml:space="preserve">Patients were 68% male, </w:t>
      </w:r>
      <w:r w:rsidR="00453D7D" w:rsidRPr="009E038F">
        <w:rPr>
          <w:rFonts w:ascii="Times New Roman" w:hAnsi="Times New Roman" w:cs="Times New Roman"/>
        </w:rPr>
        <w:t>mean age 62 +/- 16.</w:t>
      </w:r>
      <w:r w:rsidR="00F131B2">
        <w:rPr>
          <w:rFonts w:ascii="Times New Roman" w:hAnsi="Times New Roman" w:cs="Times New Roman"/>
          <w:b/>
        </w:rPr>
        <w:t xml:space="preserve"> </w:t>
      </w:r>
      <w:r w:rsidR="00F83184">
        <w:rPr>
          <w:rFonts w:ascii="Times New Roman" w:hAnsi="Times New Roman" w:cs="Times New Roman"/>
        </w:rPr>
        <w:t xml:space="preserve">Incidence of AKI using SCr was 24% in cardiac surgery and 32% in ICU. </w:t>
      </w:r>
      <w:r w:rsidR="00B660CE">
        <w:rPr>
          <w:rFonts w:ascii="Times New Roman" w:hAnsi="Times New Roman" w:cs="Times New Roman"/>
        </w:rPr>
        <w:t>In cardiac sur</w:t>
      </w:r>
      <w:r w:rsidR="00F83184">
        <w:rPr>
          <w:rFonts w:ascii="Times New Roman" w:hAnsi="Times New Roman" w:cs="Times New Roman"/>
        </w:rPr>
        <w:t>gery incidence of AKI increased by 16%</w:t>
      </w:r>
      <w:r w:rsidR="00B660CE">
        <w:rPr>
          <w:rFonts w:ascii="Times New Roman" w:hAnsi="Times New Roman" w:cs="Times New Roman"/>
        </w:rPr>
        <w:t xml:space="preserve"> </w:t>
      </w:r>
      <w:r w:rsidR="00643B8C">
        <w:rPr>
          <w:rFonts w:ascii="Times New Roman" w:hAnsi="Times New Roman" w:cs="Times New Roman"/>
        </w:rPr>
        <w:t xml:space="preserve">using method 1 + </w:t>
      </w:r>
      <w:proofErr w:type="spellStart"/>
      <w:r w:rsidR="00E42048">
        <w:rPr>
          <w:rFonts w:ascii="Times New Roman" w:hAnsi="Times New Roman" w:cs="Times New Roman"/>
        </w:rPr>
        <w:t>SCr</w:t>
      </w:r>
      <w:proofErr w:type="spellEnd"/>
      <w:r w:rsidR="00E42048">
        <w:rPr>
          <w:rFonts w:ascii="Times New Roman" w:hAnsi="Times New Roman" w:cs="Times New Roman"/>
        </w:rPr>
        <w:t>,</w:t>
      </w:r>
      <w:r w:rsidR="00B660CE">
        <w:rPr>
          <w:rFonts w:ascii="Times New Roman" w:hAnsi="Times New Roman" w:cs="Times New Roman"/>
        </w:rPr>
        <w:t xml:space="preserve"> </w:t>
      </w:r>
      <w:r w:rsidR="000133F9">
        <w:rPr>
          <w:rFonts w:ascii="Times New Roman" w:hAnsi="Times New Roman" w:cs="Times New Roman"/>
        </w:rPr>
        <w:t>and</w:t>
      </w:r>
      <w:r w:rsidR="00F83184">
        <w:rPr>
          <w:rFonts w:ascii="Times New Roman" w:hAnsi="Times New Roman" w:cs="Times New Roman"/>
        </w:rPr>
        <w:t xml:space="preserve"> 49% </w:t>
      </w:r>
      <w:r w:rsidR="006C6B30">
        <w:rPr>
          <w:rFonts w:ascii="Times New Roman" w:hAnsi="Times New Roman" w:cs="Times New Roman"/>
        </w:rPr>
        <w:t>using method 2</w:t>
      </w:r>
      <w:r w:rsidR="00643B8C">
        <w:rPr>
          <w:rFonts w:ascii="Times New Roman" w:hAnsi="Times New Roman" w:cs="Times New Roman"/>
        </w:rPr>
        <w:t xml:space="preserve"> + </w:t>
      </w:r>
      <w:proofErr w:type="spellStart"/>
      <w:r w:rsidR="00E42048">
        <w:rPr>
          <w:rFonts w:ascii="Times New Roman" w:hAnsi="Times New Roman" w:cs="Times New Roman"/>
        </w:rPr>
        <w:t>SCr</w:t>
      </w:r>
      <w:proofErr w:type="spellEnd"/>
      <w:r w:rsidR="00562C2C">
        <w:rPr>
          <w:rFonts w:ascii="Times New Roman" w:hAnsi="Times New Roman" w:cs="Times New Roman"/>
        </w:rPr>
        <w:t xml:space="preserve"> (table 1.)</w:t>
      </w:r>
      <w:r w:rsidR="00B660CE">
        <w:rPr>
          <w:rFonts w:ascii="Times New Roman" w:hAnsi="Times New Roman" w:cs="Times New Roman"/>
        </w:rPr>
        <w:t>. In ICU the incidence</w:t>
      </w:r>
      <w:r w:rsidR="000133F9">
        <w:rPr>
          <w:rFonts w:ascii="Times New Roman" w:hAnsi="Times New Roman" w:cs="Times New Roman"/>
        </w:rPr>
        <w:t xml:space="preserve"> of AKI increased by 25</w:t>
      </w:r>
      <w:r w:rsidR="005D6A6C" w:rsidRPr="009E038F">
        <w:rPr>
          <w:rFonts w:ascii="Times New Roman" w:hAnsi="Times New Roman" w:cs="Times New Roman"/>
        </w:rPr>
        <w:t>%</w:t>
      </w:r>
      <w:r w:rsidR="00B660CE">
        <w:rPr>
          <w:rFonts w:ascii="Times New Roman" w:hAnsi="Times New Roman" w:cs="Times New Roman"/>
        </w:rPr>
        <w:t xml:space="preserve"> usin</w:t>
      </w:r>
      <w:r w:rsidR="006C6B30">
        <w:rPr>
          <w:rFonts w:ascii="Times New Roman" w:hAnsi="Times New Roman" w:cs="Times New Roman"/>
        </w:rPr>
        <w:t>g method 1</w:t>
      </w:r>
      <w:r w:rsidR="00643B8C">
        <w:rPr>
          <w:rFonts w:ascii="Times New Roman" w:hAnsi="Times New Roman" w:cs="Times New Roman"/>
        </w:rPr>
        <w:t xml:space="preserve"> + </w:t>
      </w:r>
      <w:proofErr w:type="spellStart"/>
      <w:r w:rsidR="00643B8C">
        <w:rPr>
          <w:rFonts w:ascii="Times New Roman" w:hAnsi="Times New Roman" w:cs="Times New Roman"/>
        </w:rPr>
        <w:t>SCr</w:t>
      </w:r>
      <w:proofErr w:type="spellEnd"/>
      <w:r w:rsidR="00B660CE">
        <w:rPr>
          <w:rFonts w:ascii="Times New Roman" w:hAnsi="Times New Roman" w:cs="Times New Roman"/>
        </w:rPr>
        <w:t xml:space="preserve"> or </w:t>
      </w:r>
      <w:r w:rsidR="000133F9">
        <w:rPr>
          <w:rFonts w:ascii="Times New Roman" w:hAnsi="Times New Roman" w:cs="Times New Roman"/>
        </w:rPr>
        <w:t>37</w:t>
      </w:r>
      <w:r w:rsidR="006C6B30">
        <w:rPr>
          <w:rFonts w:ascii="Times New Roman" w:hAnsi="Times New Roman" w:cs="Times New Roman"/>
        </w:rPr>
        <w:t>% using method 2</w:t>
      </w:r>
      <w:r w:rsidR="00643B8C">
        <w:rPr>
          <w:rFonts w:ascii="Times New Roman" w:hAnsi="Times New Roman" w:cs="Times New Roman"/>
        </w:rPr>
        <w:t xml:space="preserve"> + </w:t>
      </w:r>
      <w:proofErr w:type="spellStart"/>
      <w:r w:rsidR="00643B8C">
        <w:rPr>
          <w:rFonts w:ascii="Times New Roman" w:hAnsi="Times New Roman" w:cs="Times New Roman"/>
        </w:rPr>
        <w:t>SCr</w:t>
      </w:r>
      <w:r w:rsidR="00B660CE">
        <w:rPr>
          <w:rFonts w:ascii="Times New Roman" w:hAnsi="Times New Roman" w:cs="Times New Roman"/>
        </w:rPr>
        <w:t>.</w:t>
      </w:r>
      <w:proofErr w:type="spellEnd"/>
      <w:r w:rsidR="00B660CE">
        <w:rPr>
          <w:rFonts w:ascii="Times New Roman" w:hAnsi="Times New Roman" w:cs="Times New Roman"/>
        </w:rPr>
        <w:t xml:space="preserve"> </w:t>
      </w:r>
      <w:r w:rsidR="006C6B30">
        <w:rPr>
          <w:rFonts w:ascii="Times New Roman" w:hAnsi="Times New Roman" w:cs="Times New Roman"/>
        </w:rPr>
        <w:t>Method 1</w:t>
      </w:r>
      <w:r w:rsidR="00B660CE">
        <w:rPr>
          <w:rFonts w:ascii="Times New Roman" w:hAnsi="Times New Roman" w:cs="Times New Roman"/>
        </w:rPr>
        <w:t xml:space="preserve"> led to more diagnosis of stage 1 A</w:t>
      </w:r>
      <w:r w:rsidR="00E94471">
        <w:rPr>
          <w:rFonts w:ascii="Times New Roman" w:hAnsi="Times New Roman" w:cs="Times New Roman"/>
        </w:rPr>
        <w:t xml:space="preserve">KI </w:t>
      </w:r>
      <w:r w:rsidR="006C6B30">
        <w:rPr>
          <w:rFonts w:ascii="Times New Roman" w:hAnsi="Times New Roman" w:cs="Times New Roman"/>
        </w:rPr>
        <w:t>but method 2 led to increased stage 2 AKI in both groups</w:t>
      </w:r>
      <w:r w:rsidR="00B660CE">
        <w:rPr>
          <w:rFonts w:ascii="Times New Roman" w:hAnsi="Times New Roman" w:cs="Times New Roman"/>
        </w:rPr>
        <w:t xml:space="preserve">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09"/>
        <w:gridCol w:w="1701"/>
        <w:gridCol w:w="1134"/>
        <w:gridCol w:w="1701"/>
        <w:gridCol w:w="815"/>
      </w:tblGrid>
      <w:tr w:rsidR="00562C2C" w:rsidRPr="00867035" w:rsidTr="00AB1641">
        <w:tc>
          <w:tcPr>
            <w:tcW w:w="8720" w:type="dxa"/>
            <w:gridSpan w:val="7"/>
          </w:tcPr>
          <w:p w:rsidR="00562C2C" w:rsidRPr="00867035" w:rsidRDefault="00562C2C" w:rsidP="009E038F">
            <w:pPr>
              <w:rPr>
                <w:rFonts w:ascii="Times New Roman" w:hAnsi="Times New Roman" w:cs="Times New Roman"/>
                <w:b/>
              </w:rPr>
            </w:pPr>
            <w:r w:rsidRPr="00867035">
              <w:rPr>
                <w:rFonts w:ascii="Times New Roman" w:hAnsi="Times New Roman" w:cs="Times New Roman"/>
                <w:b/>
              </w:rPr>
              <w:t>Table 1. Incidence of AKI by stage using SCr +/- mean or consecutive hourly urine output</w:t>
            </w:r>
          </w:p>
        </w:tc>
      </w:tr>
      <w:tr w:rsidR="00DD50B3" w:rsidTr="00F73F89">
        <w:tc>
          <w:tcPr>
            <w:tcW w:w="959" w:type="dxa"/>
          </w:tcPr>
          <w:p w:rsidR="00DD50B3" w:rsidRDefault="00DD50B3" w:rsidP="009E0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DD50B3" w:rsidRDefault="00F73F89" w:rsidP="009E0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SCr</w:t>
            </w:r>
            <w:r w:rsidR="002429F1">
              <w:rPr>
                <w:rFonts w:ascii="Times New Roman" w:hAnsi="Times New Roman" w:cs="Times New Roman"/>
              </w:rPr>
              <w:t xml:space="preserve"> alone</w:t>
            </w:r>
          </w:p>
        </w:tc>
        <w:tc>
          <w:tcPr>
            <w:tcW w:w="2835" w:type="dxa"/>
            <w:gridSpan w:val="2"/>
          </w:tcPr>
          <w:p w:rsidR="00DD50B3" w:rsidRDefault="00562C2C" w:rsidP="00315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DD50B3">
              <w:rPr>
                <w:rFonts w:ascii="Times New Roman" w:hAnsi="Times New Roman" w:cs="Times New Roman"/>
              </w:rPr>
              <w:t>onsecutive hours urine output</w:t>
            </w:r>
            <w:r w:rsidR="00315FF4">
              <w:rPr>
                <w:rFonts w:ascii="Times New Roman" w:hAnsi="Times New Roman" w:cs="Times New Roman"/>
              </w:rPr>
              <w:t xml:space="preserve"> (method 1)</w:t>
            </w:r>
            <w:r w:rsidR="00F73F89">
              <w:rPr>
                <w:rFonts w:ascii="Times New Roman" w:hAnsi="Times New Roman" w:cs="Times New Roman"/>
              </w:rPr>
              <w:t xml:space="preserve"> + SCr</w:t>
            </w:r>
            <w:r w:rsidR="006C6B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6" w:type="dxa"/>
            <w:gridSpan w:val="2"/>
          </w:tcPr>
          <w:p w:rsidR="00DD50B3" w:rsidRDefault="00562C2C" w:rsidP="009E0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DD50B3">
              <w:rPr>
                <w:rFonts w:ascii="Times New Roman" w:hAnsi="Times New Roman" w:cs="Times New Roman"/>
              </w:rPr>
              <w:t>ean urine output</w:t>
            </w:r>
            <w:r w:rsidR="00F73F89">
              <w:rPr>
                <w:rFonts w:ascii="Times New Roman" w:hAnsi="Times New Roman" w:cs="Times New Roman"/>
              </w:rPr>
              <w:t xml:space="preserve"> </w:t>
            </w:r>
            <w:r w:rsidR="00315FF4">
              <w:rPr>
                <w:rFonts w:ascii="Times New Roman" w:hAnsi="Times New Roman" w:cs="Times New Roman"/>
              </w:rPr>
              <w:t xml:space="preserve">(method 2) </w:t>
            </w:r>
            <w:r w:rsidR="00F73F89">
              <w:rPr>
                <w:rFonts w:ascii="Times New Roman" w:hAnsi="Times New Roman" w:cs="Times New Roman"/>
              </w:rPr>
              <w:t>+ SCr</w:t>
            </w:r>
          </w:p>
        </w:tc>
      </w:tr>
      <w:tr w:rsidR="00DD50B3" w:rsidTr="00F73F89">
        <w:tc>
          <w:tcPr>
            <w:tcW w:w="959" w:type="dxa"/>
          </w:tcPr>
          <w:p w:rsidR="00DD50B3" w:rsidRDefault="00DD50B3" w:rsidP="009E0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50B3" w:rsidRDefault="00DD50B3" w:rsidP="009E0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Cardiac Surgery</w:t>
            </w:r>
          </w:p>
        </w:tc>
        <w:tc>
          <w:tcPr>
            <w:tcW w:w="709" w:type="dxa"/>
          </w:tcPr>
          <w:p w:rsidR="00DD50B3" w:rsidRDefault="00DD50B3" w:rsidP="009E0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ICU</w:t>
            </w:r>
          </w:p>
        </w:tc>
        <w:tc>
          <w:tcPr>
            <w:tcW w:w="1701" w:type="dxa"/>
          </w:tcPr>
          <w:p w:rsidR="00DD50B3" w:rsidRDefault="00DD50B3" w:rsidP="009A2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Cardiac Surgery</w:t>
            </w:r>
          </w:p>
        </w:tc>
        <w:tc>
          <w:tcPr>
            <w:tcW w:w="1134" w:type="dxa"/>
          </w:tcPr>
          <w:p w:rsidR="00DD50B3" w:rsidRDefault="00DD50B3" w:rsidP="009A2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ICU</w:t>
            </w:r>
          </w:p>
        </w:tc>
        <w:tc>
          <w:tcPr>
            <w:tcW w:w="1701" w:type="dxa"/>
          </w:tcPr>
          <w:p w:rsidR="00DD50B3" w:rsidRDefault="00DD50B3" w:rsidP="009A2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Cardiac Surgery</w:t>
            </w:r>
          </w:p>
        </w:tc>
        <w:tc>
          <w:tcPr>
            <w:tcW w:w="815" w:type="dxa"/>
          </w:tcPr>
          <w:p w:rsidR="00DD50B3" w:rsidRDefault="00DD50B3" w:rsidP="009A2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ICU</w:t>
            </w:r>
          </w:p>
        </w:tc>
      </w:tr>
      <w:tr w:rsidR="00DD50B3" w:rsidTr="00F73F89">
        <w:tc>
          <w:tcPr>
            <w:tcW w:w="959" w:type="dxa"/>
          </w:tcPr>
          <w:p w:rsidR="00DD50B3" w:rsidRDefault="00DD50B3" w:rsidP="009E0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Stage 1</w:t>
            </w:r>
          </w:p>
        </w:tc>
        <w:tc>
          <w:tcPr>
            <w:tcW w:w="1701" w:type="dxa"/>
          </w:tcPr>
          <w:p w:rsidR="00DD50B3" w:rsidRDefault="00EE134A" w:rsidP="009E0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709" w:type="dxa"/>
          </w:tcPr>
          <w:p w:rsidR="00DD50B3" w:rsidRDefault="00EE134A" w:rsidP="009E0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701" w:type="dxa"/>
          </w:tcPr>
          <w:p w:rsidR="00DD50B3" w:rsidRDefault="002429F1" w:rsidP="009E0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134" w:type="dxa"/>
          </w:tcPr>
          <w:p w:rsidR="00DD50B3" w:rsidRDefault="002429F1" w:rsidP="009E0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28%</w:t>
            </w:r>
          </w:p>
        </w:tc>
        <w:tc>
          <w:tcPr>
            <w:tcW w:w="1701" w:type="dxa"/>
          </w:tcPr>
          <w:p w:rsidR="00DD50B3" w:rsidRDefault="00E051D5" w:rsidP="009E0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2429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5" w:type="dxa"/>
          </w:tcPr>
          <w:p w:rsidR="00DD50B3" w:rsidRDefault="002429F1" w:rsidP="009E0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19%</w:t>
            </w:r>
          </w:p>
        </w:tc>
      </w:tr>
      <w:tr w:rsidR="00DD50B3" w:rsidTr="00F73F89">
        <w:tc>
          <w:tcPr>
            <w:tcW w:w="959" w:type="dxa"/>
          </w:tcPr>
          <w:p w:rsidR="00DD50B3" w:rsidRDefault="00DD50B3" w:rsidP="009E0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Stage 2</w:t>
            </w:r>
          </w:p>
        </w:tc>
        <w:tc>
          <w:tcPr>
            <w:tcW w:w="1701" w:type="dxa"/>
          </w:tcPr>
          <w:p w:rsidR="00DD50B3" w:rsidRDefault="00EE134A" w:rsidP="009E0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709" w:type="dxa"/>
          </w:tcPr>
          <w:p w:rsidR="00DD50B3" w:rsidRDefault="00EE134A" w:rsidP="009E0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1701" w:type="dxa"/>
          </w:tcPr>
          <w:p w:rsidR="00DD50B3" w:rsidRDefault="002429F1" w:rsidP="009E0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1134" w:type="dxa"/>
          </w:tcPr>
          <w:p w:rsidR="00DD50B3" w:rsidRDefault="002429F1" w:rsidP="009E0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1701" w:type="dxa"/>
          </w:tcPr>
          <w:p w:rsidR="00DD50B3" w:rsidRDefault="002429F1" w:rsidP="009E0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815" w:type="dxa"/>
          </w:tcPr>
          <w:p w:rsidR="00DD50B3" w:rsidRDefault="002429F1" w:rsidP="009E0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37%</w:t>
            </w:r>
          </w:p>
        </w:tc>
      </w:tr>
      <w:tr w:rsidR="00DD50B3" w:rsidTr="00F73F89">
        <w:tc>
          <w:tcPr>
            <w:tcW w:w="959" w:type="dxa"/>
          </w:tcPr>
          <w:p w:rsidR="00DD50B3" w:rsidRDefault="00DD50B3" w:rsidP="009E0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Stage 3</w:t>
            </w:r>
          </w:p>
        </w:tc>
        <w:tc>
          <w:tcPr>
            <w:tcW w:w="1701" w:type="dxa"/>
          </w:tcPr>
          <w:p w:rsidR="00DD50B3" w:rsidRDefault="00EE134A" w:rsidP="009E0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6%</w:t>
            </w:r>
          </w:p>
        </w:tc>
        <w:tc>
          <w:tcPr>
            <w:tcW w:w="709" w:type="dxa"/>
          </w:tcPr>
          <w:p w:rsidR="00DD50B3" w:rsidRDefault="00EE134A" w:rsidP="009E0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701" w:type="dxa"/>
          </w:tcPr>
          <w:p w:rsidR="00DD50B3" w:rsidRDefault="002429F1" w:rsidP="009E0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6%</w:t>
            </w:r>
          </w:p>
        </w:tc>
        <w:tc>
          <w:tcPr>
            <w:tcW w:w="1134" w:type="dxa"/>
          </w:tcPr>
          <w:p w:rsidR="00DD50B3" w:rsidRDefault="002429F1" w:rsidP="009E0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1701" w:type="dxa"/>
          </w:tcPr>
          <w:p w:rsidR="00DD50B3" w:rsidRDefault="002429F1" w:rsidP="009E0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6%</w:t>
            </w:r>
          </w:p>
        </w:tc>
        <w:tc>
          <w:tcPr>
            <w:tcW w:w="815" w:type="dxa"/>
          </w:tcPr>
          <w:p w:rsidR="00DD50B3" w:rsidRDefault="002429F1" w:rsidP="009E0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13%</w:t>
            </w:r>
          </w:p>
        </w:tc>
      </w:tr>
    </w:tbl>
    <w:p w:rsidR="00453D7D" w:rsidRPr="009E038F" w:rsidRDefault="00D3681A" w:rsidP="005931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AKI was classified using urine output alone and compared to classification by </w:t>
      </w:r>
      <w:proofErr w:type="spellStart"/>
      <w:r>
        <w:rPr>
          <w:rFonts w:ascii="Times New Roman" w:hAnsi="Times New Roman" w:cs="Times New Roman"/>
        </w:rPr>
        <w:t>SCr</w:t>
      </w:r>
      <w:proofErr w:type="spellEnd"/>
      <w:r w:rsidR="00E42048">
        <w:rPr>
          <w:rFonts w:ascii="Times New Roman" w:hAnsi="Times New Roman" w:cs="Times New Roman"/>
        </w:rPr>
        <w:t xml:space="preserve">, </w:t>
      </w:r>
      <w:r w:rsidR="004E5A39">
        <w:rPr>
          <w:rFonts w:ascii="Times New Roman" w:hAnsi="Times New Roman" w:cs="Times New Roman"/>
        </w:rPr>
        <w:t>method 1 had good</w:t>
      </w:r>
      <w:r w:rsidR="00453D7D" w:rsidRPr="009E038F">
        <w:rPr>
          <w:rFonts w:ascii="Times New Roman" w:hAnsi="Times New Roman" w:cs="Times New Roman"/>
        </w:rPr>
        <w:t xml:space="preserve"> speci</w:t>
      </w:r>
      <w:r w:rsidR="004E5A39">
        <w:rPr>
          <w:rFonts w:ascii="Times New Roman" w:hAnsi="Times New Roman" w:cs="Times New Roman"/>
        </w:rPr>
        <w:t>ficity in both groups but poorer</w:t>
      </w:r>
      <w:r w:rsidR="00E42048">
        <w:rPr>
          <w:rFonts w:ascii="Times New Roman" w:hAnsi="Times New Roman" w:cs="Times New Roman"/>
        </w:rPr>
        <w:t xml:space="preserve"> sensitivity </w:t>
      </w:r>
      <w:r w:rsidR="00562C2C">
        <w:rPr>
          <w:rFonts w:ascii="Times New Roman" w:hAnsi="Times New Roman" w:cs="Times New Roman"/>
        </w:rPr>
        <w:t>(table 2</w:t>
      </w:r>
      <w:r w:rsidR="004E5A39">
        <w:rPr>
          <w:rFonts w:ascii="Times New Roman" w:hAnsi="Times New Roman" w:cs="Times New Roman"/>
        </w:rPr>
        <w:t>.). Method 2</w:t>
      </w:r>
      <w:r w:rsidR="00453D7D" w:rsidRPr="009E038F">
        <w:rPr>
          <w:rFonts w:ascii="Times New Roman" w:hAnsi="Times New Roman" w:cs="Times New Roman"/>
        </w:rPr>
        <w:t xml:space="preserve"> had </w:t>
      </w:r>
      <w:r w:rsidR="00190EB3">
        <w:rPr>
          <w:rFonts w:ascii="Times New Roman" w:hAnsi="Times New Roman" w:cs="Times New Roman"/>
        </w:rPr>
        <w:t xml:space="preserve">higher </w:t>
      </w:r>
      <w:r w:rsidR="00453D7D" w:rsidRPr="009E038F">
        <w:rPr>
          <w:rFonts w:ascii="Times New Roman" w:hAnsi="Times New Roman" w:cs="Times New Roman"/>
        </w:rPr>
        <w:t>sensiti</w:t>
      </w:r>
      <w:r w:rsidR="008E129C">
        <w:rPr>
          <w:rFonts w:ascii="Times New Roman" w:hAnsi="Times New Roman" w:cs="Times New Roman"/>
        </w:rPr>
        <w:t>vi</w:t>
      </w:r>
      <w:r w:rsidR="00190EB3">
        <w:rPr>
          <w:rFonts w:ascii="Times New Roman" w:hAnsi="Times New Roman" w:cs="Times New Roman"/>
        </w:rPr>
        <w:t>ty</w:t>
      </w:r>
      <w:r w:rsidR="008E129C">
        <w:rPr>
          <w:rFonts w:ascii="Times New Roman" w:hAnsi="Times New Roman" w:cs="Times New Roman"/>
        </w:rPr>
        <w:t xml:space="preserve"> </w:t>
      </w:r>
      <w:r w:rsidR="00190EB3">
        <w:rPr>
          <w:rFonts w:ascii="Times New Roman" w:hAnsi="Times New Roman" w:cs="Times New Roman"/>
        </w:rPr>
        <w:t>(</w:t>
      </w:r>
      <w:r w:rsidR="008E129C">
        <w:rPr>
          <w:rFonts w:ascii="Times New Roman" w:hAnsi="Times New Roman" w:cs="Times New Roman"/>
        </w:rPr>
        <w:t>83%</w:t>
      </w:r>
      <w:r w:rsidR="00190EB3">
        <w:rPr>
          <w:rFonts w:ascii="Times New Roman" w:hAnsi="Times New Roman" w:cs="Times New Roman"/>
        </w:rPr>
        <w:t>) in cardiac surgery</w:t>
      </w:r>
      <w:r w:rsidR="008E129C">
        <w:rPr>
          <w:rFonts w:ascii="Times New Roman" w:hAnsi="Times New Roman" w:cs="Times New Roman"/>
        </w:rPr>
        <w:t xml:space="preserve"> but poor specificity </w:t>
      </w:r>
      <w:r w:rsidR="00190EB3">
        <w:rPr>
          <w:rFonts w:ascii="Times New Roman" w:hAnsi="Times New Roman" w:cs="Times New Roman"/>
        </w:rPr>
        <w:t xml:space="preserve">(36%) </w:t>
      </w:r>
      <w:r w:rsidR="00453D7D" w:rsidRPr="009E038F">
        <w:rPr>
          <w:rFonts w:ascii="Times New Roman" w:hAnsi="Times New Roman" w:cs="Times New Roman"/>
        </w:rPr>
        <w:t>and in ICU both sensiti</w:t>
      </w:r>
      <w:r w:rsidR="005863EF">
        <w:rPr>
          <w:rFonts w:ascii="Times New Roman" w:hAnsi="Times New Roman" w:cs="Times New Roman"/>
        </w:rPr>
        <w:t>vity and specificity were poor</w:t>
      </w:r>
      <w:r w:rsidR="00453D7D" w:rsidRPr="009E038F">
        <w:rPr>
          <w:rFonts w:ascii="Times New Roman" w:hAnsi="Times New Roman" w:cs="Times New Roman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127"/>
        <w:gridCol w:w="1984"/>
        <w:gridCol w:w="1843"/>
        <w:gridCol w:w="1524"/>
      </w:tblGrid>
      <w:tr w:rsidR="00453D7D" w:rsidRPr="00867035" w:rsidTr="00710E45">
        <w:tc>
          <w:tcPr>
            <w:tcW w:w="8720" w:type="dxa"/>
            <w:gridSpan w:val="5"/>
          </w:tcPr>
          <w:p w:rsidR="00453D7D" w:rsidRPr="00867035" w:rsidRDefault="00562C2C" w:rsidP="009E038F">
            <w:pPr>
              <w:rPr>
                <w:rFonts w:ascii="Times New Roman" w:hAnsi="Times New Roman" w:cs="Times New Roman"/>
                <w:b/>
              </w:rPr>
            </w:pPr>
            <w:r w:rsidRPr="00867035">
              <w:rPr>
                <w:rFonts w:ascii="Times New Roman" w:hAnsi="Times New Roman" w:cs="Times New Roman"/>
                <w:b/>
              </w:rPr>
              <w:t>Table 2</w:t>
            </w:r>
            <w:r w:rsidR="00453D7D" w:rsidRPr="00867035">
              <w:rPr>
                <w:rFonts w:ascii="Times New Roman" w:hAnsi="Times New Roman" w:cs="Times New Roman"/>
                <w:b/>
              </w:rPr>
              <w:t>. Compari</w:t>
            </w:r>
            <w:r w:rsidR="00643B8C">
              <w:rPr>
                <w:rFonts w:ascii="Times New Roman" w:hAnsi="Times New Roman" w:cs="Times New Roman"/>
                <w:b/>
              </w:rPr>
              <w:t>son of methods of</w:t>
            </w:r>
            <w:r w:rsidR="00F131B2">
              <w:rPr>
                <w:rFonts w:ascii="Times New Roman" w:hAnsi="Times New Roman" w:cs="Times New Roman"/>
                <w:b/>
              </w:rPr>
              <w:t xml:space="preserve"> defining hourly urine output for</w:t>
            </w:r>
            <w:r w:rsidR="00867035">
              <w:rPr>
                <w:rFonts w:ascii="Times New Roman" w:hAnsi="Times New Roman" w:cs="Times New Roman"/>
                <w:b/>
              </w:rPr>
              <w:t xml:space="preserve"> predict</w:t>
            </w:r>
            <w:r w:rsidR="00F131B2">
              <w:rPr>
                <w:rFonts w:ascii="Times New Roman" w:hAnsi="Times New Roman" w:cs="Times New Roman"/>
                <w:b/>
              </w:rPr>
              <w:t>ing</w:t>
            </w:r>
            <w:r w:rsidR="00867035">
              <w:rPr>
                <w:rFonts w:ascii="Times New Roman" w:hAnsi="Times New Roman" w:cs="Times New Roman"/>
                <w:b/>
              </w:rPr>
              <w:t xml:space="preserve"> SCr rise</w:t>
            </w:r>
          </w:p>
        </w:tc>
      </w:tr>
      <w:tr w:rsidR="00453D7D" w:rsidRPr="009E038F" w:rsidTr="00867035">
        <w:tc>
          <w:tcPr>
            <w:tcW w:w="1242" w:type="dxa"/>
          </w:tcPr>
          <w:p w:rsidR="00453D7D" w:rsidRPr="009E038F" w:rsidRDefault="00453D7D" w:rsidP="009E0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</w:tcPr>
          <w:p w:rsidR="00453D7D" w:rsidRPr="009E038F" w:rsidRDefault="00562C2C" w:rsidP="009E0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Consecutive hourly urine output</w:t>
            </w:r>
            <w:r w:rsidR="00315FF4">
              <w:rPr>
                <w:rFonts w:ascii="Times New Roman" w:hAnsi="Times New Roman" w:cs="Times New Roman"/>
              </w:rPr>
              <w:t xml:space="preserve"> (method 1)</w:t>
            </w:r>
          </w:p>
        </w:tc>
        <w:tc>
          <w:tcPr>
            <w:tcW w:w="3367" w:type="dxa"/>
            <w:gridSpan w:val="2"/>
          </w:tcPr>
          <w:p w:rsidR="00453D7D" w:rsidRPr="009E038F" w:rsidRDefault="00562C2C" w:rsidP="009E0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Mean urine output</w:t>
            </w:r>
            <w:r w:rsidR="00315FF4">
              <w:rPr>
                <w:rFonts w:ascii="Times New Roman" w:hAnsi="Times New Roman" w:cs="Times New Roman"/>
              </w:rPr>
              <w:t xml:space="preserve"> (method 2)</w:t>
            </w:r>
          </w:p>
        </w:tc>
      </w:tr>
      <w:tr w:rsidR="00453D7D" w:rsidRPr="009E038F" w:rsidTr="00867035">
        <w:tc>
          <w:tcPr>
            <w:tcW w:w="1242" w:type="dxa"/>
          </w:tcPr>
          <w:p w:rsidR="00453D7D" w:rsidRPr="009E038F" w:rsidRDefault="00453D7D" w:rsidP="009E0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53D7D" w:rsidRPr="009E038F" w:rsidRDefault="00453D7D" w:rsidP="009E038F">
            <w:pPr>
              <w:rPr>
                <w:rFonts w:ascii="Times New Roman" w:hAnsi="Times New Roman" w:cs="Times New Roman"/>
              </w:rPr>
            </w:pPr>
            <w:r w:rsidRPr="009E038F">
              <w:rPr>
                <w:rFonts w:ascii="Times New Roman" w:hAnsi="Times New Roman" w:cs="Times New Roman"/>
              </w:rPr>
              <w:t>Cardiac surgery</w:t>
            </w:r>
          </w:p>
        </w:tc>
        <w:tc>
          <w:tcPr>
            <w:tcW w:w="1984" w:type="dxa"/>
          </w:tcPr>
          <w:p w:rsidR="00453D7D" w:rsidRPr="009E038F" w:rsidRDefault="00453D7D" w:rsidP="009E038F">
            <w:pPr>
              <w:rPr>
                <w:rFonts w:ascii="Times New Roman" w:hAnsi="Times New Roman" w:cs="Times New Roman"/>
              </w:rPr>
            </w:pPr>
            <w:r w:rsidRPr="009E038F">
              <w:rPr>
                <w:rFonts w:ascii="Times New Roman" w:hAnsi="Times New Roman" w:cs="Times New Roman"/>
              </w:rPr>
              <w:t>ICU</w:t>
            </w:r>
          </w:p>
        </w:tc>
        <w:tc>
          <w:tcPr>
            <w:tcW w:w="1843" w:type="dxa"/>
          </w:tcPr>
          <w:p w:rsidR="00453D7D" w:rsidRPr="009E038F" w:rsidRDefault="00453D7D" w:rsidP="009E038F">
            <w:pPr>
              <w:rPr>
                <w:rFonts w:ascii="Times New Roman" w:hAnsi="Times New Roman" w:cs="Times New Roman"/>
              </w:rPr>
            </w:pPr>
            <w:r w:rsidRPr="009E038F">
              <w:rPr>
                <w:rFonts w:ascii="Times New Roman" w:hAnsi="Times New Roman" w:cs="Times New Roman"/>
              </w:rPr>
              <w:t>Cardiac surgery</w:t>
            </w:r>
          </w:p>
        </w:tc>
        <w:tc>
          <w:tcPr>
            <w:tcW w:w="1524" w:type="dxa"/>
          </w:tcPr>
          <w:p w:rsidR="00453D7D" w:rsidRPr="009E038F" w:rsidRDefault="00453D7D" w:rsidP="009E038F">
            <w:pPr>
              <w:rPr>
                <w:rFonts w:ascii="Times New Roman" w:hAnsi="Times New Roman" w:cs="Times New Roman"/>
              </w:rPr>
            </w:pPr>
            <w:r w:rsidRPr="009E038F">
              <w:rPr>
                <w:rFonts w:ascii="Times New Roman" w:hAnsi="Times New Roman" w:cs="Times New Roman"/>
              </w:rPr>
              <w:t>ICU</w:t>
            </w:r>
          </w:p>
        </w:tc>
      </w:tr>
      <w:tr w:rsidR="00453D7D" w:rsidRPr="009E038F" w:rsidTr="00867035">
        <w:tc>
          <w:tcPr>
            <w:tcW w:w="1242" w:type="dxa"/>
          </w:tcPr>
          <w:p w:rsidR="00453D7D" w:rsidRPr="009E038F" w:rsidRDefault="00453D7D" w:rsidP="00867035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E038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Sensitivity</w:t>
            </w:r>
          </w:p>
        </w:tc>
        <w:tc>
          <w:tcPr>
            <w:tcW w:w="2127" w:type="dxa"/>
          </w:tcPr>
          <w:p w:rsidR="00453D7D" w:rsidRPr="009E038F" w:rsidRDefault="00453D7D" w:rsidP="00867035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E038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61%</w:t>
            </w:r>
          </w:p>
        </w:tc>
        <w:tc>
          <w:tcPr>
            <w:tcW w:w="1984" w:type="dxa"/>
          </w:tcPr>
          <w:p w:rsidR="00453D7D" w:rsidRPr="009E038F" w:rsidRDefault="00453D7D" w:rsidP="00867035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E038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58%</w:t>
            </w:r>
          </w:p>
        </w:tc>
        <w:tc>
          <w:tcPr>
            <w:tcW w:w="1843" w:type="dxa"/>
          </w:tcPr>
          <w:p w:rsidR="00453D7D" w:rsidRPr="009E038F" w:rsidRDefault="00453D7D" w:rsidP="00867035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E038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83%</w:t>
            </w:r>
          </w:p>
        </w:tc>
        <w:tc>
          <w:tcPr>
            <w:tcW w:w="1524" w:type="dxa"/>
          </w:tcPr>
          <w:p w:rsidR="00453D7D" w:rsidRPr="009E038F" w:rsidRDefault="00453D7D" w:rsidP="00867035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E038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67%</w:t>
            </w:r>
          </w:p>
        </w:tc>
      </w:tr>
      <w:tr w:rsidR="00453D7D" w:rsidRPr="009E038F" w:rsidTr="00867035">
        <w:tc>
          <w:tcPr>
            <w:tcW w:w="1242" w:type="dxa"/>
          </w:tcPr>
          <w:p w:rsidR="00453D7D" w:rsidRPr="009E038F" w:rsidRDefault="00453D7D" w:rsidP="00867035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E038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Specificity</w:t>
            </w:r>
          </w:p>
        </w:tc>
        <w:tc>
          <w:tcPr>
            <w:tcW w:w="2127" w:type="dxa"/>
          </w:tcPr>
          <w:p w:rsidR="00453D7D" w:rsidRPr="009E038F" w:rsidRDefault="00453D7D" w:rsidP="00867035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E038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79%</w:t>
            </w:r>
          </w:p>
        </w:tc>
        <w:tc>
          <w:tcPr>
            <w:tcW w:w="1984" w:type="dxa"/>
          </w:tcPr>
          <w:p w:rsidR="00453D7D" w:rsidRPr="009E038F" w:rsidRDefault="00453D7D" w:rsidP="00867035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E038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73%</w:t>
            </w:r>
          </w:p>
        </w:tc>
        <w:tc>
          <w:tcPr>
            <w:tcW w:w="1843" w:type="dxa"/>
          </w:tcPr>
          <w:p w:rsidR="00453D7D" w:rsidRPr="009E038F" w:rsidRDefault="00453D7D" w:rsidP="00867035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E038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36%</w:t>
            </w:r>
          </w:p>
        </w:tc>
        <w:tc>
          <w:tcPr>
            <w:tcW w:w="1524" w:type="dxa"/>
          </w:tcPr>
          <w:p w:rsidR="00453D7D" w:rsidRPr="009E038F" w:rsidRDefault="00453D7D" w:rsidP="00867035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E038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45%</w:t>
            </w:r>
          </w:p>
        </w:tc>
      </w:tr>
    </w:tbl>
    <w:p w:rsidR="00710E45" w:rsidRPr="00164F65" w:rsidRDefault="00710E45" w:rsidP="005931E2">
      <w:pPr>
        <w:spacing w:after="0"/>
        <w:rPr>
          <w:rFonts w:ascii="Times New Roman" w:hAnsi="Times New Roman" w:cs="Times New Roman"/>
          <w:b/>
        </w:rPr>
      </w:pPr>
      <w:r w:rsidRPr="0035421F">
        <w:rPr>
          <w:rFonts w:ascii="Times New Roman" w:hAnsi="Times New Roman" w:cs="Times New Roman"/>
          <w:b/>
        </w:rPr>
        <w:t>Conclusion</w:t>
      </w:r>
      <w:r w:rsidR="00164F65">
        <w:rPr>
          <w:rFonts w:ascii="Times New Roman" w:hAnsi="Times New Roman" w:cs="Times New Roman"/>
          <w:b/>
        </w:rPr>
        <w:t xml:space="preserve">   </w:t>
      </w:r>
      <w:r w:rsidR="009E038F" w:rsidRPr="009E038F">
        <w:rPr>
          <w:rFonts w:ascii="Times New Roman" w:hAnsi="Times New Roman" w:cs="Times New Roman"/>
        </w:rPr>
        <w:t>Using urine output as well as SCr to define AKI incre</w:t>
      </w:r>
      <w:r w:rsidR="009E038F">
        <w:rPr>
          <w:rFonts w:ascii="Times New Roman" w:hAnsi="Times New Roman" w:cs="Times New Roman"/>
        </w:rPr>
        <w:t>ases the incidence of AKI in ICU</w:t>
      </w:r>
      <w:r w:rsidR="009E038F" w:rsidRPr="009E038F">
        <w:rPr>
          <w:rFonts w:ascii="Times New Roman" w:hAnsi="Times New Roman" w:cs="Times New Roman"/>
        </w:rPr>
        <w:t xml:space="preserve"> </w:t>
      </w:r>
      <w:r w:rsidR="00F131B2">
        <w:rPr>
          <w:rFonts w:ascii="Times New Roman" w:hAnsi="Times New Roman" w:cs="Times New Roman"/>
        </w:rPr>
        <w:t>and cardiac surgical settings. Using mean</w:t>
      </w:r>
      <w:r w:rsidR="009E038F" w:rsidRPr="009E038F">
        <w:rPr>
          <w:rFonts w:ascii="Times New Roman" w:hAnsi="Times New Roman" w:cs="Times New Roman"/>
        </w:rPr>
        <w:t xml:space="preserve"> vs consecutive hours</w:t>
      </w:r>
      <w:r w:rsidR="00F131B2">
        <w:rPr>
          <w:rFonts w:ascii="Times New Roman" w:hAnsi="Times New Roman" w:cs="Times New Roman"/>
        </w:rPr>
        <w:t xml:space="preserve"> urine output</w:t>
      </w:r>
      <w:r w:rsidR="009E038F" w:rsidRPr="009E038F">
        <w:rPr>
          <w:rFonts w:ascii="Times New Roman" w:hAnsi="Times New Roman" w:cs="Times New Roman"/>
        </w:rPr>
        <w:t xml:space="preserve"> increases sensitivit</w:t>
      </w:r>
      <w:r w:rsidR="009E038F">
        <w:rPr>
          <w:rFonts w:ascii="Times New Roman" w:hAnsi="Times New Roman" w:cs="Times New Roman"/>
        </w:rPr>
        <w:t>y but has very poor specificit</w:t>
      </w:r>
      <w:r w:rsidR="00F131B2">
        <w:rPr>
          <w:rFonts w:ascii="Times New Roman" w:hAnsi="Times New Roman" w:cs="Times New Roman"/>
        </w:rPr>
        <w:t>y for predicting SCr rise</w:t>
      </w:r>
      <w:r w:rsidR="009E038F" w:rsidRPr="009E038F">
        <w:rPr>
          <w:rFonts w:ascii="Times New Roman" w:hAnsi="Times New Roman" w:cs="Times New Roman"/>
        </w:rPr>
        <w:t xml:space="preserve">. </w:t>
      </w:r>
      <w:r w:rsidR="000472CD">
        <w:rPr>
          <w:rFonts w:ascii="Times New Roman" w:hAnsi="Times New Roman" w:cs="Times New Roman"/>
        </w:rPr>
        <w:t xml:space="preserve">Mean urine output probably overestimates the incidence of AKI. </w:t>
      </w:r>
      <w:r w:rsidR="009E038F" w:rsidRPr="009E038F">
        <w:rPr>
          <w:rFonts w:ascii="Times New Roman" w:hAnsi="Times New Roman" w:cs="Times New Roman"/>
        </w:rPr>
        <w:t xml:space="preserve">A standardised method of defining hourly urine output is would reduce variability in incidence in AKI and would allow more accuracy in </w:t>
      </w:r>
      <w:r w:rsidR="007E4176">
        <w:rPr>
          <w:rFonts w:ascii="Times New Roman" w:hAnsi="Times New Roman" w:cs="Times New Roman"/>
        </w:rPr>
        <w:t>studies of AKI</w:t>
      </w:r>
      <w:r w:rsidR="006E5A75">
        <w:rPr>
          <w:rFonts w:ascii="Times New Roman" w:hAnsi="Times New Roman" w:cs="Times New Roman"/>
        </w:rPr>
        <w:t xml:space="preserve"> in medical literature. </w:t>
      </w:r>
    </w:p>
    <w:sectPr w:rsidR="00710E45" w:rsidRPr="00164F65" w:rsidSect="000820D9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97783"/>
    <w:multiLevelType w:val="hybridMultilevel"/>
    <w:tmpl w:val="8DBAA9BA"/>
    <w:lvl w:ilvl="0" w:tplc="183285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3C742C"/>
    <w:multiLevelType w:val="hybridMultilevel"/>
    <w:tmpl w:val="01C09AF6"/>
    <w:lvl w:ilvl="0" w:tplc="183285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00r9awpj5pvrcews9d5r5s1s5ftxee5w59t&quot;&gt;My EndNote Library&lt;record-ids&gt;&lt;item&gt;153&lt;/item&gt;&lt;item&gt;169&lt;/item&gt;&lt;item&gt;219&lt;/item&gt;&lt;item&gt;290&lt;/item&gt;&lt;item&gt;312&lt;/item&gt;&lt;item&gt;423&lt;/item&gt;&lt;item&gt;424&lt;/item&gt;&lt;item&gt;429&lt;/item&gt;&lt;item&gt;430&lt;/item&gt;&lt;/record-ids&gt;&lt;/item&gt;&lt;/Libraries&gt;"/>
  </w:docVars>
  <w:rsids>
    <w:rsidRoot w:val="0010539E"/>
    <w:rsid w:val="000133F9"/>
    <w:rsid w:val="000472CD"/>
    <w:rsid w:val="000606A7"/>
    <w:rsid w:val="00070F89"/>
    <w:rsid w:val="000800FF"/>
    <w:rsid w:val="000820D9"/>
    <w:rsid w:val="00097E1F"/>
    <w:rsid w:val="000A1604"/>
    <w:rsid w:val="000E13FA"/>
    <w:rsid w:val="000E2474"/>
    <w:rsid w:val="000E478F"/>
    <w:rsid w:val="00103390"/>
    <w:rsid w:val="0010539E"/>
    <w:rsid w:val="001301A9"/>
    <w:rsid w:val="00147FE8"/>
    <w:rsid w:val="00164F65"/>
    <w:rsid w:val="00165508"/>
    <w:rsid w:val="0017266A"/>
    <w:rsid w:val="00190EB3"/>
    <w:rsid w:val="001B10E3"/>
    <w:rsid w:val="001D3755"/>
    <w:rsid w:val="001D7C37"/>
    <w:rsid w:val="001E0AE8"/>
    <w:rsid w:val="002429F1"/>
    <w:rsid w:val="00260B2C"/>
    <w:rsid w:val="00291D5C"/>
    <w:rsid w:val="002C1546"/>
    <w:rsid w:val="00315FF4"/>
    <w:rsid w:val="0035421F"/>
    <w:rsid w:val="00361E9C"/>
    <w:rsid w:val="003745DF"/>
    <w:rsid w:val="003C2DDC"/>
    <w:rsid w:val="00423870"/>
    <w:rsid w:val="00437B9C"/>
    <w:rsid w:val="00453D7D"/>
    <w:rsid w:val="00483CE9"/>
    <w:rsid w:val="004974D0"/>
    <w:rsid w:val="004B4F6E"/>
    <w:rsid w:val="004B618C"/>
    <w:rsid w:val="004D070F"/>
    <w:rsid w:val="004E5A39"/>
    <w:rsid w:val="005359E7"/>
    <w:rsid w:val="00553496"/>
    <w:rsid w:val="00562C2C"/>
    <w:rsid w:val="00573215"/>
    <w:rsid w:val="005863EF"/>
    <w:rsid w:val="005931E2"/>
    <w:rsid w:val="005C413B"/>
    <w:rsid w:val="005D6A6C"/>
    <w:rsid w:val="00613A17"/>
    <w:rsid w:val="00635315"/>
    <w:rsid w:val="00643B8C"/>
    <w:rsid w:val="00665654"/>
    <w:rsid w:val="006727CC"/>
    <w:rsid w:val="006C6B30"/>
    <w:rsid w:val="006E3A59"/>
    <w:rsid w:val="006E5039"/>
    <w:rsid w:val="006E5A75"/>
    <w:rsid w:val="006F4BEF"/>
    <w:rsid w:val="00710E45"/>
    <w:rsid w:val="007473E3"/>
    <w:rsid w:val="00793BBF"/>
    <w:rsid w:val="007B2FF9"/>
    <w:rsid w:val="007E4176"/>
    <w:rsid w:val="00847D3B"/>
    <w:rsid w:val="008510EC"/>
    <w:rsid w:val="00860DA8"/>
    <w:rsid w:val="00867035"/>
    <w:rsid w:val="008B21F3"/>
    <w:rsid w:val="008E129C"/>
    <w:rsid w:val="00901C9F"/>
    <w:rsid w:val="00910050"/>
    <w:rsid w:val="00914398"/>
    <w:rsid w:val="009306BE"/>
    <w:rsid w:val="009425F4"/>
    <w:rsid w:val="00944623"/>
    <w:rsid w:val="00955C29"/>
    <w:rsid w:val="00964806"/>
    <w:rsid w:val="009715B9"/>
    <w:rsid w:val="0098795D"/>
    <w:rsid w:val="009C7A5D"/>
    <w:rsid w:val="009E038F"/>
    <w:rsid w:val="00A11A13"/>
    <w:rsid w:val="00AB0841"/>
    <w:rsid w:val="00AC06E1"/>
    <w:rsid w:val="00AC631A"/>
    <w:rsid w:val="00AE7F03"/>
    <w:rsid w:val="00AF6E77"/>
    <w:rsid w:val="00B1537C"/>
    <w:rsid w:val="00B43970"/>
    <w:rsid w:val="00B45A38"/>
    <w:rsid w:val="00B660CE"/>
    <w:rsid w:val="00B8581C"/>
    <w:rsid w:val="00C172CE"/>
    <w:rsid w:val="00C24E10"/>
    <w:rsid w:val="00C30FF1"/>
    <w:rsid w:val="00C403BE"/>
    <w:rsid w:val="00CF469C"/>
    <w:rsid w:val="00D12467"/>
    <w:rsid w:val="00D35C86"/>
    <w:rsid w:val="00D3681A"/>
    <w:rsid w:val="00D40A84"/>
    <w:rsid w:val="00D50F40"/>
    <w:rsid w:val="00D55DA0"/>
    <w:rsid w:val="00D65BA5"/>
    <w:rsid w:val="00D903F8"/>
    <w:rsid w:val="00DD50B3"/>
    <w:rsid w:val="00DD6F96"/>
    <w:rsid w:val="00DD70EA"/>
    <w:rsid w:val="00DD77A1"/>
    <w:rsid w:val="00DD7847"/>
    <w:rsid w:val="00E051D5"/>
    <w:rsid w:val="00E1447F"/>
    <w:rsid w:val="00E3672F"/>
    <w:rsid w:val="00E42048"/>
    <w:rsid w:val="00E94471"/>
    <w:rsid w:val="00ED4F9D"/>
    <w:rsid w:val="00ED6DD1"/>
    <w:rsid w:val="00EE134A"/>
    <w:rsid w:val="00EE36F2"/>
    <w:rsid w:val="00EE449A"/>
    <w:rsid w:val="00EF3FDE"/>
    <w:rsid w:val="00F131B2"/>
    <w:rsid w:val="00F17899"/>
    <w:rsid w:val="00F4604C"/>
    <w:rsid w:val="00F73F89"/>
    <w:rsid w:val="00F83184"/>
    <w:rsid w:val="00FE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39E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10539E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0539E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10539E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10539E"/>
    <w:rPr>
      <w:rFonts w:ascii="Calibri" w:hAnsi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3745D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0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39E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10539E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0539E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10539E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10539E"/>
    <w:rPr>
      <w:rFonts w:ascii="Calibri" w:hAnsi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3745D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0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 Jennifer</dc:creator>
  <cp:lastModifiedBy>Allen Jennifer (DIRC)</cp:lastModifiedBy>
  <cp:revision>2</cp:revision>
  <dcterms:created xsi:type="dcterms:W3CDTF">2018-01-30T18:23:00Z</dcterms:created>
  <dcterms:modified xsi:type="dcterms:W3CDTF">2018-01-30T18:23:00Z</dcterms:modified>
</cp:coreProperties>
</file>