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C1" w:rsidRPr="00255961" w:rsidRDefault="00945857">
      <w:pPr>
        <w:rPr>
          <w:rFonts w:ascii="Times New Roman" w:hAnsi="Times New Roman" w:cs="Times New Roman"/>
          <w:color w:val="333333"/>
          <w:lang w:val="en"/>
        </w:rPr>
      </w:pPr>
      <w:r w:rsidRPr="00255961">
        <w:rPr>
          <w:rFonts w:ascii="Times New Roman" w:hAnsi="Times New Roman" w:cs="Times New Roman"/>
          <w:b/>
          <w:u w:val="single"/>
        </w:rPr>
        <w:t>Background</w:t>
      </w:r>
      <w:r w:rsidR="0092745F">
        <w:rPr>
          <w:rFonts w:ascii="Times New Roman" w:hAnsi="Times New Roman" w:cs="Times New Roman"/>
          <w:b/>
          <w:u w:val="single"/>
        </w:rPr>
        <w:br/>
      </w:r>
      <w:r w:rsidR="00722930" w:rsidRPr="00255961">
        <w:rPr>
          <w:rFonts w:ascii="Times New Roman" w:hAnsi="Times New Roman" w:cs="Times New Roman"/>
          <w:b/>
          <w:u w:val="single"/>
        </w:rPr>
        <w:br/>
      </w:r>
      <w:r w:rsidR="004E0A20" w:rsidRPr="00255961">
        <w:rPr>
          <w:rFonts w:ascii="Times New Roman" w:hAnsi="Times New Roman" w:cs="Times New Roman"/>
        </w:rPr>
        <w:t xml:space="preserve">Acute kidney Injury is a known post-operative complication with significant increase in morbidity and mortality. </w:t>
      </w:r>
      <w:r w:rsidR="004E0A20" w:rsidRPr="00255961">
        <w:rPr>
          <w:rFonts w:ascii="Times New Roman" w:hAnsi="Times New Roman" w:cs="Times New Roman"/>
          <w:color w:val="333333"/>
          <w:lang w:val="en"/>
        </w:rPr>
        <w:t xml:space="preserve">About 7% to 11% of patients undergoing </w:t>
      </w:r>
      <w:r w:rsidR="00255961" w:rsidRPr="00255961">
        <w:rPr>
          <w:rFonts w:ascii="Times New Roman" w:hAnsi="Times New Roman" w:cs="Times New Roman"/>
          <w:color w:val="333333"/>
          <w:lang w:val="en"/>
        </w:rPr>
        <w:t>orthopedics</w:t>
      </w:r>
      <w:r w:rsidR="004E0A20" w:rsidRPr="00255961">
        <w:rPr>
          <w:rFonts w:ascii="Times New Roman" w:hAnsi="Times New Roman" w:cs="Times New Roman"/>
          <w:color w:val="333333"/>
          <w:lang w:val="en"/>
        </w:rPr>
        <w:t xml:space="preserve"> surgery experience acute Kidney injury. </w:t>
      </w:r>
      <w:r w:rsidR="004E0A20" w:rsidRPr="00255961">
        <w:rPr>
          <w:rFonts w:ascii="Times New Roman" w:hAnsi="Times New Roman" w:cs="Times New Roman"/>
        </w:rPr>
        <w:t xml:space="preserve">Emergency surgery following fracture neck of femur is more often carried out in high risk elderly population. </w:t>
      </w:r>
      <w:r w:rsidR="004E0A20" w:rsidRPr="00255961">
        <w:rPr>
          <w:rFonts w:ascii="Times New Roman" w:hAnsi="Times New Roman" w:cs="Times New Roman"/>
          <w:color w:val="333333"/>
          <w:lang w:val="en"/>
        </w:rPr>
        <w:t xml:space="preserve">The reported incidence of acute kidney injury in elderly patients undergoing hip fracture surgery ranges from 15.3–24.4%.  </w:t>
      </w:r>
      <w:r w:rsidR="004E0A20" w:rsidRPr="00255961">
        <w:rPr>
          <w:rFonts w:ascii="Times New Roman" w:hAnsi="Times New Roman" w:cs="Times New Roman"/>
        </w:rPr>
        <w:t xml:space="preserve"> </w:t>
      </w:r>
      <w:r w:rsidRPr="00255961">
        <w:rPr>
          <w:rFonts w:ascii="Times New Roman" w:hAnsi="Times New Roman" w:cs="Times New Roman"/>
          <w:color w:val="333333"/>
          <w:lang w:val="en"/>
        </w:rPr>
        <w:t xml:space="preserve">AKI following hip fracture has multi-factorial causes. Baseline renal function, age, comorbidities, dehydration, nephrotoxic drugs, and malnutrition are documented risk factors for AKI. </w:t>
      </w:r>
    </w:p>
    <w:p w:rsidR="000433E6" w:rsidRPr="00255961" w:rsidRDefault="00945857">
      <w:pPr>
        <w:rPr>
          <w:rFonts w:ascii="Times New Roman" w:hAnsi="Times New Roman" w:cs="Times New Roman"/>
          <w:color w:val="333333"/>
          <w:lang w:val="en"/>
        </w:rPr>
      </w:pPr>
      <w:r w:rsidRPr="00255961">
        <w:rPr>
          <w:rFonts w:ascii="Times New Roman" w:hAnsi="Times New Roman" w:cs="Times New Roman"/>
          <w:b/>
          <w:color w:val="333333"/>
          <w:u w:val="single"/>
          <w:lang w:val="en"/>
        </w:rPr>
        <w:t>Aim</w:t>
      </w:r>
      <w:r w:rsidR="0092745F">
        <w:rPr>
          <w:rFonts w:ascii="Times New Roman" w:hAnsi="Times New Roman" w:cs="Times New Roman"/>
          <w:b/>
          <w:color w:val="333333"/>
          <w:u w:val="single"/>
          <w:lang w:val="en"/>
        </w:rPr>
        <w:br/>
      </w:r>
      <w:r w:rsidR="00722930" w:rsidRPr="00255961">
        <w:rPr>
          <w:rFonts w:ascii="Times New Roman" w:hAnsi="Times New Roman" w:cs="Times New Roman"/>
          <w:b/>
          <w:color w:val="333333"/>
          <w:u w:val="single"/>
          <w:lang w:val="en"/>
        </w:rPr>
        <w:br/>
      </w:r>
      <w:r w:rsidR="000433E6" w:rsidRPr="00255961">
        <w:rPr>
          <w:rFonts w:ascii="Times New Roman" w:hAnsi="Times New Roman" w:cs="Times New Roman"/>
          <w:color w:val="333333"/>
          <w:lang w:val="en"/>
        </w:rPr>
        <w:t xml:space="preserve">The Aim of this audit was to identify the incidence of post-operative AKI in patients following emergency surgery for fracture neck of femur and identify the </w:t>
      </w:r>
      <w:r w:rsidRPr="00255961">
        <w:rPr>
          <w:rFonts w:ascii="Times New Roman" w:hAnsi="Times New Roman" w:cs="Times New Roman"/>
          <w:color w:val="333333"/>
          <w:lang w:val="en"/>
        </w:rPr>
        <w:t>risk factor</w:t>
      </w:r>
      <w:r w:rsidR="000433E6" w:rsidRPr="00255961">
        <w:rPr>
          <w:rFonts w:ascii="Times New Roman" w:hAnsi="Times New Roman" w:cs="Times New Roman"/>
          <w:color w:val="333333"/>
          <w:lang w:val="en"/>
        </w:rPr>
        <w:t xml:space="preserve">s responsible for post-operative AKI in these patients. </w:t>
      </w:r>
    </w:p>
    <w:p w:rsidR="006F7D89" w:rsidRPr="00255961" w:rsidRDefault="00945857">
      <w:pPr>
        <w:rPr>
          <w:rFonts w:ascii="Times New Roman" w:hAnsi="Times New Roman" w:cs="Times New Roman"/>
          <w:color w:val="333333"/>
          <w:lang w:val="en"/>
        </w:rPr>
      </w:pPr>
      <w:r w:rsidRPr="00255961">
        <w:rPr>
          <w:rFonts w:ascii="Times New Roman" w:hAnsi="Times New Roman" w:cs="Times New Roman"/>
          <w:b/>
          <w:color w:val="333333"/>
          <w:u w:val="single"/>
          <w:lang w:val="en"/>
        </w:rPr>
        <w:t>Materials and methods</w:t>
      </w:r>
      <w:r w:rsidR="0092745F">
        <w:rPr>
          <w:rFonts w:ascii="Times New Roman" w:hAnsi="Times New Roman" w:cs="Times New Roman"/>
          <w:b/>
          <w:color w:val="333333"/>
          <w:u w:val="single"/>
          <w:lang w:val="en"/>
        </w:rPr>
        <w:br/>
      </w:r>
      <w:r w:rsidR="00722930" w:rsidRPr="00255961">
        <w:rPr>
          <w:rFonts w:ascii="Times New Roman" w:hAnsi="Times New Roman" w:cs="Times New Roman"/>
          <w:b/>
          <w:color w:val="333333"/>
          <w:u w:val="single"/>
          <w:lang w:val="en"/>
        </w:rPr>
        <w:br/>
      </w:r>
      <w:r w:rsidR="000433E6" w:rsidRPr="00255961">
        <w:rPr>
          <w:rFonts w:ascii="Times New Roman" w:hAnsi="Times New Roman" w:cs="Times New Roman"/>
          <w:color w:val="333333"/>
          <w:lang w:val="en"/>
        </w:rPr>
        <w:t xml:space="preserve">An audit was carried out to collect </w:t>
      </w:r>
      <w:r w:rsidRPr="00255961">
        <w:rPr>
          <w:rFonts w:ascii="Times New Roman" w:hAnsi="Times New Roman" w:cs="Times New Roman"/>
          <w:color w:val="333333"/>
          <w:lang w:val="en"/>
        </w:rPr>
        <w:t xml:space="preserve">retrospective data for all the patients </w:t>
      </w:r>
      <w:r w:rsidR="000433E6" w:rsidRPr="00255961">
        <w:rPr>
          <w:rFonts w:ascii="Times New Roman" w:hAnsi="Times New Roman" w:cs="Times New Roman"/>
          <w:color w:val="333333"/>
          <w:lang w:val="en"/>
        </w:rPr>
        <w:t xml:space="preserve">over the age 60 </w:t>
      </w:r>
      <w:r w:rsidRPr="00255961">
        <w:rPr>
          <w:rFonts w:ascii="Times New Roman" w:hAnsi="Times New Roman" w:cs="Times New Roman"/>
          <w:color w:val="333333"/>
          <w:lang w:val="en"/>
        </w:rPr>
        <w:t xml:space="preserve">with </w:t>
      </w:r>
      <w:r w:rsidR="0092745F">
        <w:rPr>
          <w:rFonts w:ascii="Times New Roman" w:hAnsi="Times New Roman" w:cs="Times New Roman"/>
          <w:color w:val="333333"/>
          <w:lang w:val="en"/>
        </w:rPr>
        <w:t>fracture neck of femur</w:t>
      </w:r>
      <w:r w:rsidRPr="00255961">
        <w:rPr>
          <w:rFonts w:ascii="Times New Roman" w:hAnsi="Times New Roman" w:cs="Times New Roman"/>
          <w:color w:val="333333"/>
          <w:lang w:val="en"/>
        </w:rPr>
        <w:t xml:space="preserve"> who </w:t>
      </w:r>
      <w:r w:rsidR="00DE04C6" w:rsidRPr="00255961">
        <w:rPr>
          <w:rFonts w:ascii="Times New Roman" w:hAnsi="Times New Roman" w:cs="Times New Roman"/>
          <w:color w:val="333333"/>
          <w:lang w:val="en"/>
        </w:rPr>
        <w:t xml:space="preserve">underwent emergency </w:t>
      </w:r>
      <w:proofErr w:type="gramStart"/>
      <w:r w:rsidR="00DE04C6" w:rsidRPr="00255961">
        <w:rPr>
          <w:rFonts w:ascii="Times New Roman" w:hAnsi="Times New Roman" w:cs="Times New Roman"/>
          <w:color w:val="333333"/>
          <w:lang w:val="en"/>
        </w:rPr>
        <w:t>surgery</w:t>
      </w:r>
      <w:r w:rsidR="008957F1" w:rsidRPr="00255961">
        <w:rPr>
          <w:rFonts w:ascii="Times New Roman" w:hAnsi="Times New Roman" w:cs="Times New Roman"/>
          <w:color w:val="333333"/>
          <w:lang w:val="en"/>
        </w:rPr>
        <w:t xml:space="preserve"> </w:t>
      </w:r>
      <w:r w:rsidR="000433E6" w:rsidRPr="00255961">
        <w:rPr>
          <w:rFonts w:ascii="Times New Roman" w:hAnsi="Times New Roman" w:cs="Times New Roman"/>
          <w:color w:val="333333"/>
          <w:lang w:val="en"/>
        </w:rPr>
        <w:t xml:space="preserve"> </w:t>
      </w:r>
      <w:r w:rsidRPr="00255961">
        <w:rPr>
          <w:rFonts w:ascii="Times New Roman" w:hAnsi="Times New Roman" w:cs="Times New Roman"/>
          <w:color w:val="333333"/>
          <w:lang w:val="en"/>
        </w:rPr>
        <w:t>between</w:t>
      </w:r>
      <w:proofErr w:type="gramEnd"/>
      <w:r w:rsidRPr="00255961">
        <w:rPr>
          <w:rFonts w:ascii="Times New Roman" w:hAnsi="Times New Roman" w:cs="Times New Roman"/>
          <w:color w:val="333333"/>
          <w:lang w:val="en"/>
        </w:rPr>
        <w:t xml:space="preserve"> January 2016 </w:t>
      </w:r>
      <w:r w:rsidR="006F7D89" w:rsidRPr="00255961">
        <w:rPr>
          <w:rFonts w:ascii="Times New Roman" w:hAnsi="Times New Roman" w:cs="Times New Roman"/>
          <w:color w:val="333333"/>
          <w:lang w:val="en"/>
        </w:rPr>
        <w:t xml:space="preserve">and January 2017. </w:t>
      </w:r>
      <w:r w:rsidR="0092745F">
        <w:rPr>
          <w:rFonts w:ascii="Times New Roman" w:hAnsi="Times New Roman" w:cs="Times New Roman"/>
          <w:color w:val="333333"/>
          <w:lang w:val="en"/>
        </w:rPr>
        <w:t>The details regarding b</w:t>
      </w:r>
      <w:r w:rsidR="000433E6" w:rsidRPr="00255961">
        <w:rPr>
          <w:rFonts w:ascii="Times New Roman" w:hAnsi="Times New Roman" w:cs="Times New Roman"/>
          <w:color w:val="333333"/>
          <w:lang w:val="en"/>
        </w:rPr>
        <w:t xml:space="preserve">aseline renal function, age, comorbidities, dehydration, nephrotoxic drugs, and malnutrition were collected.  A total of </w:t>
      </w:r>
      <w:r w:rsidR="00DE04C6" w:rsidRPr="00255961">
        <w:rPr>
          <w:rFonts w:ascii="Times New Roman" w:hAnsi="Times New Roman" w:cs="Times New Roman"/>
          <w:color w:val="333333"/>
          <w:lang w:val="en"/>
        </w:rPr>
        <w:t>328</w:t>
      </w:r>
      <w:r w:rsidR="008957F1" w:rsidRPr="00255961">
        <w:rPr>
          <w:rFonts w:ascii="Times New Roman" w:hAnsi="Times New Roman" w:cs="Times New Roman"/>
          <w:color w:val="333333"/>
          <w:lang w:val="en"/>
        </w:rPr>
        <w:t xml:space="preserve"> patients</w:t>
      </w:r>
      <w:r w:rsidR="006F7D89" w:rsidRPr="00255961">
        <w:rPr>
          <w:rFonts w:ascii="Times New Roman" w:hAnsi="Times New Roman" w:cs="Times New Roman"/>
          <w:color w:val="333333"/>
          <w:lang w:val="en"/>
        </w:rPr>
        <w:t xml:space="preserve"> were included in the analysis.</w:t>
      </w:r>
      <w:r w:rsidR="00092969" w:rsidRPr="00255961">
        <w:rPr>
          <w:rFonts w:ascii="Times New Roman" w:hAnsi="Times New Roman" w:cs="Times New Roman"/>
          <w:color w:val="333333"/>
          <w:lang w:val="en"/>
        </w:rPr>
        <w:t xml:space="preserve"> P-values were calculated by 2x2 tables for individual variables and   </w:t>
      </w:r>
      <w:r w:rsidR="0092745F">
        <w:rPr>
          <w:rFonts w:ascii="Times New Roman" w:hAnsi="Times New Roman" w:cs="Times New Roman"/>
          <w:color w:val="333333"/>
          <w:lang w:val="en"/>
        </w:rPr>
        <w:t xml:space="preserve">also </w:t>
      </w:r>
      <w:r w:rsidR="00092969" w:rsidRPr="00255961">
        <w:rPr>
          <w:rFonts w:ascii="Times New Roman" w:hAnsi="Times New Roman" w:cs="Times New Roman"/>
          <w:color w:val="333333"/>
          <w:lang w:val="en"/>
        </w:rPr>
        <w:t xml:space="preserve">single-variable logistic regression models was used to find out statistically significant predictors of AKI. </w:t>
      </w:r>
    </w:p>
    <w:p w:rsidR="00255961" w:rsidRPr="00255961" w:rsidRDefault="00A47F8E" w:rsidP="00255961">
      <w:pPr>
        <w:rPr>
          <w:rFonts w:ascii="Times New Roman" w:hAnsi="Times New Roman" w:cs="Times New Roman"/>
          <w:color w:val="333333"/>
          <w:lang w:val="en"/>
        </w:rPr>
      </w:pPr>
      <w:r w:rsidRPr="00255961">
        <w:rPr>
          <w:rFonts w:ascii="Times New Roman" w:hAnsi="Times New Roman" w:cs="Times New Roman"/>
          <w:b/>
          <w:color w:val="333333"/>
          <w:u w:val="single"/>
          <w:lang w:val="en"/>
        </w:rPr>
        <w:t>Results</w:t>
      </w:r>
      <w:r w:rsidR="00255961" w:rsidRPr="00255961">
        <w:rPr>
          <w:rFonts w:ascii="Times New Roman" w:hAnsi="Times New Roman" w:cs="Times New Roman"/>
          <w:b/>
          <w:color w:val="333333"/>
          <w:u w:val="single"/>
          <w:lang w:val="en"/>
        </w:rPr>
        <w:t xml:space="preserve"> </w:t>
      </w:r>
      <w:r w:rsidR="0092745F">
        <w:rPr>
          <w:rFonts w:ascii="Times New Roman" w:hAnsi="Times New Roman" w:cs="Times New Roman"/>
          <w:b/>
          <w:color w:val="333333"/>
          <w:u w:val="single"/>
          <w:lang w:val="en"/>
        </w:rPr>
        <w:br/>
      </w:r>
      <w:r w:rsidR="00722930" w:rsidRPr="00255961">
        <w:rPr>
          <w:rFonts w:ascii="Times New Roman" w:hAnsi="Times New Roman" w:cs="Times New Roman"/>
          <w:b/>
          <w:color w:val="333333"/>
          <w:u w:val="single"/>
          <w:lang w:val="en"/>
        </w:rPr>
        <w:br/>
      </w:r>
      <w:proofErr w:type="gramStart"/>
      <w:r w:rsidR="000433E6" w:rsidRPr="00255961">
        <w:rPr>
          <w:rFonts w:ascii="Times New Roman" w:hAnsi="Times New Roman" w:cs="Times New Roman"/>
          <w:color w:val="333333"/>
          <w:lang w:val="en"/>
        </w:rPr>
        <w:t>Out</w:t>
      </w:r>
      <w:proofErr w:type="gramEnd"/>
      <w:r w:rsidR="000433E6" w:rsidRPr="00255961">
        <w:rPr>
          <w:rFonts w:ascii="Times New Roman" w:hAnsi="Times New Roman" w:cs="Times New Roman"/>
          <w:color w:val="333333"/>
          <w:lang w:val="en"/>
        </w:rPr>
        <w:t xml:space="preserve"> of 328 patie</w:t>
      </w:r>
      <w:r w:rsidR="00722930" w:rsidRPr="00255961">
        <w:rPr>
          <w:rFonts w:ascii="Times New Roman" w:hAnsi="Times New Roman" w:cs="Times New Roman"/>
          <w:color w:val="333333"/>
          <w:lang w:val="en"/>
        </w:rPr>
        <w:t>nts</w:t>
      </w:r>
      <w:r w:rsidR="0092745F">
        <w:rPr>
          <w:rFonts w:ascii="Times New Roman" w:hAnsi="Times New Roman" w:cs="Times New Roman"/>
          <w:color w:val="333333"/>
          <w:lang w:val="en"/>
        </w:rPr>
        <w:t>,</w:t>
      </w:r>
      <w:r w:rsidR="00722930" w:rsidRPr="00255961">
        <w:rPr>
          <w:rFonts w:ascii="Times New Roman" w:hAnsi="Times New Roman" w:cs="Times New Roman"/>
          <w:color w:val="333333"/>
          <w:lang w:val="en"/>
        </w:rPr>
        <w:t xml:space="preserve"> 229 patients were female (69.8</w:t>
      </w:r>
      <w:r w:rsidR="000433E6" w:rsidRPr="00255961">
        <w:rPr>
          <w:rFonts w:ascii="Times New Roman" w:hAnsi="Times New Roman" w:cs="Times New Roman"/>
          <w:color w:val="333333"/>
          <w:lang w:val="en"/>
        </w:rPr>
        <w:t xml:space="preserve"> %). </w:t>
      </w:r>
      <w:r w:rsidR="003533DA" w:rsidRPr="00255961">
        <w:rPr>
          <w:rFonts w:ascii="Times New Roman" w:hAnsi="Times New Roman" w:cs="Times New Roman"/>
          <w:color w:val="333333"/>
          <w:lang w:val="en"/>
        </w:rPr>
        <w:t xml:space="preserve">A total of 54 </w:t>
      </w:r>
      <w:r w:rsidR="00722930" w:rsidRPr="00255961">
        <w:rPr>
          <w:rFonts w:ascii="Times New Roman" w:hAnsi="Times New Roman" w:cs="Times New Roman"/>
          <w:color w:val="333333"/>
          <w:lang w:val="en"/>
        </w:rPr>
        <w:t xml:space="preserve">(16.4%) </w:t>
      </w:r>
      <w:r w:rsidR="003533DA" w:rsidRPr="00255961">
        <w:rPr>
          <w:rFonts w:ascii="Times New Roman" w:hAnsi="Times New Roman" w:cs="Times New Roman"/>
          <w:color w:val="333333"/>
          <w:lang w:val="en"/>
        </w:rPr>
        <w:t xml:space="preserve">patients had developed AKI. </w:t>
      </w:r>
      <w:r w:rsidR="000132C5" w:rsidRPr="00255961">
        <w:rPr>
          <w:rFonts w:ascii="Times New Roman" w:hAnsi="Times New Roman" w:cs="Times New Roman"/>
          <w:color w:val="333333"/>
          <w:lang w:val="en"/>
        </w:rPr>
        <w:t>Hypertension was the most common comorbidity in both Non AKI</w:t>
      </w:r>
      <w:r w:rsidR="00255961" w:rsidRPr="00255961">
        <w:rPr>
          <w:rFonts w:ascii="Times New Roman" w:hAnsi="Times New Roman" w:cs="Times New Roman"/>
          <w:color w:val="333333"/>
          <w:lang w:val="en"/>
        </w:rPr>
        <w:t xml:space="preserve"> </w:t>
      </w:r>
      <w:r w:rsidR="00DE04C6" w:rsidRPr="00255961">
        <w:rPr>
          <w:rFonts w:ascii="Times New Roman" w:hAnsi="Times New Roman" w:cs="Times New Roman"/>
          <w:color w:val="333333"/>
          <w:lang w:val="en"/>
        </w:rPr>
        <w:t>and</w:t>
      </w:r>
      <w:r w:rsidR="000132C5" w:rsidRPr="00255961">
        <w:rPr>
          <w:rFonts w:ascii="Times New Roman" w:hAnsi="Times New Roman" w:cs="Times New Roman"/>
          <w:color w:val="333333"/>
          <w:lang w:val="en"/>
        </w:rPr>
        <w:t xml:space="preserve"> AKI </w:t>
      </w:r>
      <w:r w:rsidR="00DE04C6" w:rsidRPr="00255961">
        <w:rPr>
          <w:rFonts w:ascii="Times New Roman" w:hAnsi="Times New Roman" w:cs="Times New Roman"/>
          <w:color w:val="333333"/>
          <w:lang w:val="en"/>
        </w:rPr>
        <w:t>group</w:t>
      </w:r>
      <w:r w:rsidR="00255961" w:rsidRPr="00255961">
        <w:rPr>
          <w:rFonts w:ascii="Times New Roman" w:hAnsi="Times New Roman" w:cs="Times New Roman"/>
          <w:color w:val="333333"/>
          <w:lang w:val="en"/>
        </w:rPr>
        <w:t xml:space="preserve">. </w:t>
      </w:r>
      <w:r w:rsidR="0092745F">
        <w:rPr>
          <w:rFonts w:ascii="Times New Roman" w:hAnsi="Times New Roman" w:cs="Times New Roman"/>
          <w:color w:val="333333"/>
          <w:lang w:val="en"/>
        </w:rPr>
        <w:t xml:space="preserve">In </w:t>
      </w:r>
      <w:r w:rsidR="00255961" w:rsidRPr="00255961">
        <w:rPr>
          <w:rFonts w:ascii="Times New Roman" w:hAnsi="Times New Roman" w:cs="Times New Roman"/>
          <w:color w:val="333333"/>
          <w:lang w:val="en"/>
        </w:rPr>
        <w:t xml:space="preserve">10% </w:t>
      </w:r>
      <w:r w:rsidR="0092745F">
        <w:rPr>
          <w:rFonts w:ascii="Times New Roman" w:hAnsi="Times New Roman" w:cs="Times New Roman"/>
          <w:color w:val="333333"/>
          <w:lang w:val="en"/>
        </w:rPr>
        <w:t>of patients AKI did not resolve</w:t>
      </w:r>
      <w:r w:rsidR="00255961" w:rsidRPr="00255961">
        <w:rPr>
          <w:rFonts w:ascii="Times New Roman" w:hAnsi="Times New Roman" w:cs="Times New Roman"/>
          <w:color w:val="333333"/>
          <w:lang w:val="en"/>
        </w:rPr>
        <w:t xml:space="preserve"> and 70% (n=7) of the</w:t>
      </w:r>
      <w:r w:rsidR="0092745F">
        <w:rPr>
          <w:rFonts w:ascii="Times New Roman" w:hAnsi="Times New Roman" w:cs="Times New Roman"/>
          <w:color w:val="333333"/>
          <w:lang w:val="en"/>
        </w:rPr>
        <w:t>se</w:t>
      </w:r>
      <w:r w:rsidR="00255961" w:rsidRPr="00255961">
        <w:rPr>
          <w:rFonts w:ascii="Times New Roman" w:hAnsi="Times New Roman" w:cs="Times New Roman"/>
          <w:color w:val="333333"/>
          <w:lang w:val="en"/>
        </w:rPr>
        <w:t xml:space="preserve"> patients died. </w:t>
      </w:r>
      <w:bookmarkStart w:id="0" w:name="_GoBack"/>
      <w:bookmarkEnd w:id="0"/>
      <w:r w:rsidR="005C45CF">
        <w:rPr>
          <w:rFonts w:ascii="Times New Roman" w:hAnsi="Times New Roman" w:cs="Times New Roman"/>
          <w:color w:val="333333"/>
          <w:lang w:val="en"/>
        </w:rPr>
        <w:t>In AKI group 68.5% patients were over 80 year age.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1843"/>
        <w:gridCol w:w="2126"/>
        <w:gridCol w:w="1276"/>
      </w:tblGrid>
      <w:tr w:rsidR="003E2B11" w:rsidRPr="00255961" w:rsidTr="00255961">
        <w:tc>
          <w:tcPr>
            <w:tcW w:w="4077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b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b/>
                <w:color w:val="333333"/>
                <w:lang w:val="en"/>
              </w:rPr>
              <w:t xml:space="preserve">Factor </w:t>
            </w:r>
          </w:p>
        </w:tc>
        <w:tc>
          <w:tcPr>
            <w:tcW w:w="1843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b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b/>
                <w:color w:val="333333"/>
                <w:lang w:val="en"/>
              </w:rPr>
              <w:t>Non-AKI</w:t>
            </w:r>
          </w:p>
        </w:tc>
        <w:tc>
          <w:tcPr>
            <w:tcW w:w="2126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b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b/>
                <w:color w:val="333333"/>
                <w:lang w:val="en"/>
              </w:rPr>
              <w:t>AKI</w:t>
            </w:r>
          </w:p>
        </w:tc>
        <w:tc>
          <w:tcPr>
            <w:tcW w:w="1276" w:type="dxa"/>
          </w:tcPr>
          <w:p w:rsidR="003E2B11" w:rsidRPr="00255961" w:rsidRDefault="0092745F" w:rsidP="00D34A6C">
            <w:pPr>
              <w:rPr>
                <w:rFonts w:ascii="Times New Roman" w:hAnsi="Times New Roman" w:cs="Times New Roman"/>
                <w:b/>
                <w:color w:val="333333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333333"/>
                <w:lang w:val="en"/>
              </w:rPr>
              <w:t>P-Value</w:t>
            </w:r>
          </w:p>
        </w:tc>
      </w:tr>
      <w:tr w:rsidR="003E2B11" w:rsidRPr="00255961" w:rsidTr="00255961">
        <w:tc>
          <w:tcPr>
            <w:tcW w:w="4077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 xml:space="preserve">Hypertension </w:t>
            </w:r>
          </w:p>
        </w:tc>
        <w:tc>
          <w:tcPr>
            <w:tcW w:w="1843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108/274 (39</w:t>
            </w:r>
            <w:r w:rsidR="00A47F8E" w:rsidRPr="00255961">
              <w:rPr>
                <w:rFonts w:ascii="Times New Roman" w:hAnsi="Times New Roman" w:cs="Times New Roman"/>
                <w:color w:val="333333"/>
                <w:lang w:val="en"/>
              </w:rPr>
              <w:t>.4</w:t>
            </w: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%)</w:t>
            </w:r>
          </w:p>
        </w:tc>
        <w:tc>
          <w:tcPr>
            <w:tcW w:w="2126" w:type="dxa"/>
          </w:tcPr>
          <w:p w:rsidR="003E2B11" w:rsidRPr="00255961" w:rsidRDefault="003E2B11" w:rsidP="003533DA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24/54 (44</w:t>
            </w:r>
            <w:r w:rsidR="00A47F8E" w:rsidRPr="00255961">
              <w:rPr>
                <w:rFonts w:ascii="Times New Roman" w:hAnsi="Times New Roman" w:cs="Times New Roman"/>
                <w:color w:val="333333"/>
                <w:lang w:val="en"/>
              </w:rPr>
              <w:t>.4</w:t>
            </w: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%)</w:t>
            </w:r>
          </w:p>
        </w:tc>
        <w:tc>
          <w:tcPr>
            <w:tcW w:w="1276" w:type="dxa"/>
          </w:tcPr>
          <w:p w:rsidR="003E2B11" w:rsidRPr="00255961" w:rsidRDefault="00D35480" w:rsidP="003533DA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lang w:val="en"/>
              </w:rPr>
              <w:t>=0.5445</w:t>
            </w:r>
          </w:p>
        </w:tc>
      </w:tr>
      <w:tr w:rsidR="003E2B11" w:rsidRPr="00255961" w:rsidTr="00255961">
        <w:tc>
          <w:tcPr>
            <w:tcW w:w="4077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CKD (Chronic Kidney Disease)</w:t>
            </w:r>
          </w:p>
        </w:tc>
        <w:tc>
          <w:tcPr>
            <w:tcW w:w="1843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26/274 (9.5%)</w:t>
            </w:r>
          </w:p>
        </w:tc>
        <w:tc>
          <w:tcPr>
            <w:tcW w:w="2126" w:type="dxa"/>
          </w:tcPr>
          <w:p w:rsidR="003E2B11" w:rsidRPr="00255961" w:rsidRDefault="00A47F8E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7</w:t>
            </w:r>
            <w:r w:rsidR="003E2B11" w:rsidRPr="00255961">
              <w:rPr>
                <w:rFonts w:ascii="Times New Roman" w:hAnsi="Times New Roman" w:cs="Times New Roman"/>
                <w:color w:val="333333"/>
                <w:lang w:val="en"/>
              </w:rPr>
              <w:t>/54 (12</w:t>
            </w: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.9</w:t>
            </w:r>
            <w:r w:rsidR="003E2B11" w:rsidRPr="00255961">
              <w:rPr>
                <w:rFonts w:ascii="Times New Roman" w:hAnsi="Times New Roman" w:cs="Times New Roman"/>
                <w:color w:val="333333"/>
                <w:lang w:val="en"/>
              </w:rPr>
              <w:t>%)</w:t>
            </w:r>
          </w:p>
        </w:tc>
        <w:tc>
          <w:tcPr>
            <w:tcW w:w="1276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=0.4580</w:t>
            </w:r>
          </w:p>
        </w:tc>
      </w:tr>
      <w:tr w:rsidR="003E2B11" w:rsidRPr="00255961" w:rsidTr="00255961">
        <w:tc>
          <w:tcPr>
            <w:tcW w:w="4077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Diabetes</w:t>
            </w:r>
          </w:p>
        </w:tc>
        <w:tc>
          <w:tcPr>
            <w:tcW w:w="1843" w:type="dxa"/>
          </w:tcPr>
          <w:p w:rsidR="003E2B11" w:rsidRPr="00255961" w:rsidRDefault="003E2B11" w:rsidP="00A47F8E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35/274 (12.</w:t>
            </w:r>
            <w:r w:rsidR="00A47F8E" w:rsidRPr="00255961">
              <w:rPr>
                <w:rFonts w:ascii="Times New Roman" w:hAnsi="Times New Roman" w:cs="Times New Roman"/>
                <w:color w:val="333333"/>
                <w:lang w:val="en"/>
              </w:rPr>
              <w:t>8</w:t>
            </w: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%)</w:t>
            </w:r>
          </w:p>
        </w:tc>
        <w:tc>
          <w:tcPr>
            <w:tcW w:w="2126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9</w:t>
            </w:r>
            <w:r w:rsidR="00A47F8E" w:rsidRPr="00255961">
              <w:rPr>
                <w:rFonts w:ascii="Times New Roman" w:hAnsi="Times New Roman" w:cs="Times New Roman"/>
                <w:color w:val="333333"/>
                <w:lang w:val="en"/>
              </w:rPr>
              <w:t>/54 (16.7%)</w:t>
            </w:r>
          </w:p>
        </w:tc>
        <w:tc>
          <w:tcPr>
            <w:tcW w:w="1276" w:type="dxa"/>
          </w:tcPr>
          <w:p w:rsidR="003E2B11" w:rsidRPr="00255961" w:rsidRDefault="00D35480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lang w:val="en"/>
              </w:rPr>
              <w:t>=0.5112</w:t>
            </w:r>
          </w:p>
        </w:tc>
      </w:tr>
      <w:tr w:rsidR="00FB4DDA" w:rsidRPr="00255961" w:rsidTr="00255961">
        <w:tc>
          <w:tcPr>
            <w:tcW w:w="4077" w:type="dxa"/>
          </w:tcPr>
          <w:p w:rsidR="00FB4DDA" w:rsidRPr="00255961" w:rsidRDefault="00FB4DDA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Metformin</w:t>
            </w:r>
          </w:p>
        </w:tc>
        <w:tc>
          <w:tcPr>
            <w:tcW w:w="1843" w:type="dxa"/>
          </w:tcPr>
          <w:p w:rsidR="00FB4DDA" w:rsidRPr="00255961" w:rsidRDefault="00FB4DDA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 xml:space="preserve">19/274 </w:t>
            </w:r>
            <w:r w:rsidR="00D35480">
              <w:rPr>
                <w:rFonts w:ascii="Times New Roman" w:hAnsi="Times New Roman" w:cs="Times New Roman"/>
                <w:color w:val="333333"/>
                <w:lang w:val="en"/>
              </w:rPr>
              <w:t>(6.9%)</w:t>
            </w:r>
          </w:p>
        </w:tc>
        <w:tc>
          <w:tcPr>
            <w:tcW w:w="2126" w:type="dxa"/>
          </w:tcPr>
          <w:p w:rsidR="00FB4DDA" w:rsidRPr="00255961" w:rsidRDefault="00FB4DDA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4/54</w:t>
            </w:r>
            <w:r w:rsidR="00D35480">
              <w:rPr>
                <w:rFonts w:ascii="Times New Roman" w:hAnsi="Times New Roman" w:cs="Times New Roman"/>
                <w:color w:val="333333"/>
                <w:lang w:val="en"/>
              </w:rPr>
              <w:t xml:space="preserve"> (7.4%)</w:t>
            </w:r>
          </w:p>
        </w:tc>
        <w:tc>
          <w:tcPr>
            <w:tcW w:w="1276" w:type="dxa"/>
          </w:tcPr>
          <w:p w:rsidR="00FB4DDA" w:rsidRPr="00255961" w:rsidRDefault="00D35480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lang w:val="en"/>
              </w:rPr>
              <w:t>=1.0000</w:t>
            </w:r>
          </w:p>
        </w:tc>
      </w:tr>
      <w:tr w:rsidR="003E2B11" w:rsidRPr="00255961" w:rsidTr="00255961">
        <w:tc>
          <w:tcPr>
            <w:tcW w:w="4077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 xml:space="preserve">ACEI treatment </w:t>
            </w:r>
          </w:p>
        </w:tc>
        <w:tc>
          <w:tcPr>
            <w:tcW w:w="1843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64/274 (23.3%)</w:t>
            </w:r>
          </w:p>
        </w:tc>
        <w:tc>
          <w:tcPr>
            <w:tcW w:w="2126" w:type="dxa"/>
          </w:tcPr>
          <w:p w:rsidR="003E2B11" w:rsidRPr="00255961" w:rsidRDefault="00FB4DDA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 xml:space="preserve">10/54 </w:t>
            </w:r>
            <w:r w:rsidR="003E2B11" w:rsidRPr="00255961">
              <w:rPr>
                <w:rFonts w:ascii="Times New Roman" w:hAnsi="Times New Roman" w:cs="Times New Roman"/>
                <w:color w:val="333333"/>
                <w:lang w:val="en"/>
              </w:rPr>
              <w:t>(18.5%)</w:t>
            </w:r>
          </w:p>
        </w:tc>
        <w:tc>
          <w:tcPr>
            <w:tcW w:w="1276" w:type="dxa"/>
          </w:tcPr>
          <w:p w:rsidR="003E2B11" w:rsidRPr="00255961" w:rsidRDefault="0025596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=0.4821</w:t>
            </w:r>
          </w:p>
        </w:tc>
      </w:tr>
      <w:tr w:rsidR="003E2B11" w:rsidRPr="00255961" w:rsidTr="00255961">
        <w:tc>
          <w:tcPr>
            <w:tcW w:w="4077" w:type="dxa"/>
          </w:tcPr>
          <w:p w:rsidR="003E2B11" w:rsidRPr="00255961" w:rsidRDefault="0092745F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lang w:val="en"/>
              </w:rPr>
              <w:t>A</w:t>
            </w:r>
            <w:r w:rsidR="003E2B11" w:rsidRPr="00255961">
              <w:rPr>
                <w:rFonts w:ascii="Times New Roman" w:hAnsi="Times New Roman" w:cs="Times New Roman"/>
                <w:color w:val="333333"/>
                <w:lang w:val="en"/>
              </w:rPr>
              <w:t>ngiotensin II receptor blockers (ARB)</w:t>
            </w:r>
          </w:p>
        </w:tc>
        <w:tc>
          <w:tcPr>
            <w:tcW w:w="1843" w:type="dxa"/>
          </w:tcPr>
          <w:p w:rsidR="003E2B11" w:rsidRPr="00255961" w:rsidRDefault="00FB4DDA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 xml:space="preserve">23/274 </w:t>
            </w:r>
            <w:r w:rsidR="003E2B11" w:rsidRPr="00255961">
              <w:rPr>
                <w:rFonts w:ascii="Times New Roman" w:hAnsi="Times New Roman" w:cs="Times New Roman"/>
                <w:color w:val="333333"/>
                <w:lang w:val="en"/>
              </w:rPr>
              <w:t>(8.3%)</w:t>
            </w:r>
          </w:p>
        </w:tc>
        <w:tc>
          <w:tcPr>
            <w:tcW w:w="2126" w:type="dxa"/>
          </w:tcPr>
          <w:p w:rsidR="003E2B11" w:rsidRPr="00255961" w:rsidRDefault="00FB4DDA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 xml:space="preserve">5/54 </w:t>
            </w:r>
            <w:r w:rsidR="003E2B11" w:rsidRPr="00255961">
              <w:rPr>
                <w:rFonts w:ascii="Times New Roman" w:hAnsi="Times New Roman" w:cs="Times New Roman"/>
                <w:color w:val="333333"/>
                <w:lang w:val="en"/>
              </w:rPr>
              <w:t>(9.2%)</w:t>
            </w:r>
          </w:p>
        </w:tc>
        <w:tc>
          <w:tcPr>
            <w:tcW w:w="1276" w:type="dxa"/>
          </w:tcPr>
          <w:p w:rsidR="003E2B11" w:rsidRPr="00255961" w:rsidRDefault="00D35480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lang w:val="en"/>
              </w:rPr>
              <w:t>=0.7922</w:t>
            </w:r>
          </w:p>
        </w:tc>
      </w:tr>
      <w:tr w:rsidR="003E2B11" w:rsidRPr="00255961" w:rsidTr="00255961">
        <w:tc>
          <w:tcPr>
            <w:tcW w:w="4077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 xml:space="preserve">Furosemide </w:t>
            </w:r>
          </w:p>
        </w:tc>
        <w:tc>
          <w:tcPr>
            <w:tcW w:w="1843" w:type="dxa"/>
          </w:tcPr>
          <w:p w:rsidR="003E2B11" w:rsidRPr="00255961" w:rsidRDefault="008A1C5E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20/274</w:t>
            </w:r>
            <w:r w:rsidR="003E2B11" w:rsidRPr="00255961">
              <w:rPr>
                <w:rFonts w:ascii="Times New Roman" w:hAnsi="Times New Roman" w:cs="Times New Roman"/>
                <w:color w:val="333333"/>
                <w:lang w:val="en"/>
              </w:rPr>
              <w:t>(7.2%)</w:t>
            </w:r>
          </w:p>
        </w:tc>
        <w:tc>
          <w:tcPr>
            <w:tcW w:w="2126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8/54 (14.4%)</w:t>
            </w:r>
          </w:p>
        </w:tc>
        <w:tc>
          <w:tcPr>
            <w:tcW w:w="1276" w:type="dxa"/>
          </w:tcPr>
          <w:p w:rsidR="003E2B11" w:rsidRPr="00255961" w:rsidRDefault="008A1C5E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=0.1042</w:t>
            </w:r>
          </w:p>
        </w:tc>
      </w:tr>
      <w:tr w:rsidR="003E2B11" w:rsidRPr="00255961" w:rsidTr="00255961">
        <w:tc>
          <w:tcPr>
            <w:tcW w:w="4077" w:type="dxa"/>
          </w:tcPr>
          <w:p w:rsidR="003E2B11" w:rsidRPr="00255961" w:rsidRDefault="0092745F" w:rsidP="003E2B11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lang w:val="en"/>
              </w:rPr>
              <w:t xml:space="preserve">Mean pre-operative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val="en"/>
              </w:rPr>
              <w:t>S.c</w:t>
            </w:r>
            <w:r w:rsidR="003E2B11" w:rsidRPr="00255961">
              <w:rPr>
                <w:rFonts w:ascii="Times New Roman" w:hAnsi="Times New Roman" w:cs="Times New Roman"/>
                <w:color w:val="333333"/>
                <w:lang w:val="en"/>
              </w:rPr>
              <w:t>reatinine</w:t>
            </w:r>
            <w:proofErr w:type="spellEnd"/>
            <w:r w:rsidR="003E2B11" w:rsidRPr="00255961">
              <w:rPr>
                <w:rFonts w:ascii="Times New Roman" w:hAnsi="Times New Roman" w:cs="Times New Roman"/>
                <w:color w:val="333333"/>
                <w:lang w:val="en"/>
              </w:rPr>
              <w:t xml:space="preserve"> </w:t>
            </w:r>
          </w:p>
        </w:tc>
        <w:tc>
          <w:tcPr>
            <w:tcW w:w="1843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87.5</w:t>
            </w:r>
          </w:p>
        </w:tc>
        <w:tc>
          <w:tcPr>
            <w:tcW w:w="2126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color w:val="333333"/>
                <w:lang w:val="en"/>
              </w:rPr>
              <w:t>142.4</w:t>
            </w:r>
          </w:p>
        </w:tc>
        <w:tc>
          <w:tcPr>
            <w:tcW w:w="1276" w:type="dxa"/>
          </w:tcPr>
          <w:p w:rsidR="003E2B11" w:rsidRPr="00255961" w:rsidRDefault="003E2B11" w:rsidP="00D34A6C">
            <w:pPr>
              <w:rPr>
                <w:rFonts w:ascii="Times New Roman" w:hAnsi="Times New Roman" w:cs="Times New Roman"/>
                <w:b/>
                <w:color w:val="333333"/>
                <w:lang w:val="en"/>
              </w:rPr>
            </w:pPr>
            <w:r w:rsidRPr="00255961">
              <w:rPr>
                <w:rFonts w:ascii="Times New Roman" w:hAnsi="Times New Roman" w:cs="Times New Roman"/>
                <w:b/>
                <w:color w:val="333333"/>
                <w:lang w:val="en"/>
              </w:rPr>
              <w:t>=&lt;0.0001</w:t>
            </w:r>
          </w:p>
        </w:tc>
      </w:tr>
    </w:tbl>
    <w:p w:rsidR="00F426FB" w:rsidRPr="00255961" w:rsidRDefault="00255961">
      <w:pPr>
        <w:rPr>
          <w:rFonts w:ascii="Times New Roman" w:hAnsi="Times New Roman" w:cs="Times New Roman"/>
          <w:color w:val="333333"/>
          <w:u w:val="single"/>
          <w:lang w:val="en"/>
        </w:rPr>
      </w:pPr>
      <w:r>
        <w:rPr>
          <w:rFonts w:ascii="Times New Roman" w:hAnsi="Times New Roman" w:cs="Times New Roman"/>
          <w:color w:val="333333"/>
          <w:lang w:val="en"/>
        </w:rPr>
        <w:br/>
      </w:r>
      <w:r w:rsidRPr="00255961">
        <w:rPr>
          <w:rFonts w:ascii="Times New Roman" w:hAnsi="Times New Roman" w:cs="Times New Roman"/>
          <w:color w:val="333333"/>
          <w:lang w:val="en"/>
        </w:rPr>
        <w:t>From the single-var</w:t>
      </w:r>
      <w:r w:rsidR="0092745F">
        <w:rPr>
          <w:rFonts w:ascii="Times New Roman" w:hAnsi="Times New Roman" w:cs="Times New Roman"/>
          <w:color w:val="333333"/>
          <w:lang w:val="en"/>
        </w:rPr>
        <w:t>iable logistic regression model</w:t>
      </w:r>
      <w:r w:rsidRPr="00255961">
        <w:rPr>
          <w:rFonts w:ascii="Times New Roman" w:hAnsi="Times New Roman" w:cs="Times New Roman"/>
          <w:color w:val="333333"/>
          <w:lang w:val="en"/>
        </w:rPr>
        <w:t>, age and pre-op creatinine were statistical significant (p=&lt;0.0001) predictors of AKI</w:t>
      </w:r>
      <w:r>
        <w:rPr>
          <w:rFonts w:ascii="Times New Roman" w:hAnsi="Times New Roman" w:cs="Times New Roman"/>
          <w:color w:val="333333"/>
          <w:lang w:val="en"/>
        </w:rPr>
        <w:t xml:space="preserve"> (Table)</w:t>
      </w:r>
      <w:r w:rsidRPr="00255961">
        <w:rPr>
          <w:rFonts w:ascii="Times New Roman" w:hAnsi="Times New Roman" w:cs="Times New Roman"/>
          <w:color w:val="333333"/>
          <w:lang w:val="en"/>
        </w:rPr>
        <w:t>.</w:t>
      </w:r>
      <w:r w:rsidRPr="00255961">
        <w:rPr>
          <w:rFonts w:ascii="Times New Roman" w:hAnsi="Times New Roman" w:cs="Times New Roman"/>
          <w:color w:val="333333"/>
          <w:lang w:val="en"/>
        </w:rPr>
        <w:br/>
      </w:r>
      <w:r w:rsidR="006F7D89" w:rsidRPr="00255961">
        <w:rPr>
          <w:rFonts w:ascii="Times New Roman" w:hAnsi="Times New Roman" w:cs="Times New Roman"/>
          <w:color w:val="333333"/>
          <w:u w:val="single"/>
          <w:lang w:val="en"/>
        </w:rPr>
        <w:t>Conclusion</w:t>
      </w:r>
    </w:p>
    <w:p w:rsidR="00945857" w:rsidRPr="00255961" w:rsidRDefault="00D34A6C">
      <w:r w:rsidRPr="00255961">
        <w:rPr>
          <w:rFonts w:ascii="Times New Roman" w:hAnsi="Times New Roman" w:cs="Times New Roman"/>
          <w:color w:val="333333"/>
          <w:lang w:val="en"/>
        </w:rPr>
        <w:t xml:space="preserve">Most of the patients with unresolved AKI died. </w:t>
      </w:r>
      <w:r w:rsidR="00255961">
        <w:rPr>
          <w:rFonts w:ascii="Times New Roman" w:hAnsi="Times New Roman" w:cs="Times New Roman"/>
          <w:color w:val="333333"/>
          <w:lang w:val="en"/>
        </w:rPr>
        <w:t>Furosemide was the most significant pre-operative medication in AKI group. Pr</w:t>
      </w:r>
      <w:r w:rsidRPr="00255961">
        <w:rPr>
          <w:rFonts w:ascii="Times New Roman" w:hAnsi="Times New Roman" w:cs="Times New Roman"/>
          <w:color w:val="333333"/>
          <w:lang w:val="en"/>
        </w:rPr>
        <w:t xml:space="preserve">e-operative CKD as co-morbidity was not statistically significant risk </w:t>
      </w:r>
      <w:r w:rsidR="001A1731" w:rsidRPr="00255961">
        <w:rPr>
          <w:rFonts w:ascii="Times New Roman" w:hAnsi="Times New Roman" w:cs="Times New Roman"/>
          <w:color w:val="333333"/>
          <w:lang w:val="en"/>
        </w:rPr>
        <w:t>factor</w:t>
      </w:r>
      <w:r w:rsidRPr="00255961">
        <w:rPr>
          <w:rFonts w:ascii="Times New Roman" w:hAnsi="Times New Roman" w:cs="Times New Roman"/>
          <w:color w:val="333333"/>
          <w:lang w:val="en"/>
        </w:rPr>
        <w:t xml:space="preserve"> </w:t>
      </w:r>
      <w:r w:rsidR="00DE04C6" w:rsidRPr="00255961">
        <w:rPr>
          <w:rFonts w:ascii="Times New Roman" w:hAnsi="Times New Roman" w:cs="Times New Roman"/>
          <w:color w:val="333333"/>
          <w:lang w:val="en"/>
        </w:rPr>
        <w:t>however</w:t>
      </w:r>
      <w:r w:rsidRPr="00255961">
        <w:rPr>
          <w:rFonts w:ascii="Times New Roman" w:hAnsi="Times New Roman" w:cs="Times New Roman"/>
          <w:color w:val="333333"/>
          <w:lang w:val="en"/>
        </w:rPr>
        <w:t xml:space="preserve"> the </w:t>
      </w:r>
      <w:r w:rsidR="005C45CF">
        <w:rPr>
          <w:rFonts w:ascii="Times New Roman" w:hAnsi="Times New Roman" w:cs="Times New Roman"/>
          <w:color w:val="333333"/>
          <w:lang w:val="en"/>
        </w:rPr>
        <w:t xml:space="preserve">age and </w:t>
      </w:r>
      <w:r w:rsidRPr="00255961">
        <w:rPr>
          <w:rFonts w:ascii="Times New Roman" w:hAnsi="Times New Roman" w:cs="Times New Roman"/>
          <w:color w:val="333333"/>
          <w:lang w:val="en"/>
        </w:rPr>
        <w:t>pr</w:t>
      </w:r>
      <w:r w:rsidR="005C45CF">
        <w:rPr>
          <w:rFonts w:ascii="Times New Roman" w:hAnsi="Times New Roman" w:cs="Times New Roman"/>
          <w:color w:val="333333"/>
          <w:lang w:val="en"/>
        </w:rPr>
        <w:t xml:space="preserve">e-operative creatinine value were the most </w:t>
      </w:r>
      <w:r w:rsidRPr="00255961">
        <w:rPr>
          <w:rFonts w:ascii="Times New Roman" w:hAnsi="Times New Roman" w:cs="Times New Roman"/>
          <w:color w:val="333333"/>
          <w:lang w:val="en"/>
        </w:rPr>
        <w:t xml:space="preserve">important </w:t>
      </w:r>
      <w:r w:rsidR="001A1731" w:rsidRPr="00255961">
        <w:rPr>
          <w:rFonts w:ascii="Times New Roman" w:hAnsi="Times New Roman" w:cs="Times New Roman"/>
          <w:color w:val="333333"/>
          <w:lang w:val="en"/>
        </w:rPr>
        <w:t>factor</w:t>
      </w:r>
      <w:r w:rsidR="005C45CF">
        <w:rPr>
          <w:rFonts w:ascii="Times New Roman" w:hAnsi="Times New Roman" w:cs="Times New Roman"/>
          <w:color w:val="333333"/>
          <w:lang w:val="en"/>
        </w:rPr>
        <w:t>s</w:t>
      </w:r>
      <w:r w:rsidRPr="00255961">
        <w:rPr>
          <w:rFonts w:ascii="Times New Roman" w:hAnsi="Times New Roman" w:cs="Times New Roman"/>
          <w:color w:val="333333"/>
          <w:lang w:val="en"/>
        </w:rPr>
        <w:t xml:space="preserve"> res</w:t>
      </w:r>
      <w:r w:rsidR="00D35480">
        <w:rPr>
          <w:rFonts w:ascii="Times New Roman" w:hAnsi="Times New Roman" w:cs="Times New Roman"/>
          <w:color w:val="333333"/>
          <w:lang w:val="en"/>
        </w:rPr>
        <w:t>ponsible for the development of AKI.</w:t>
      </w:r>
      <w:r w:rsidR="0092745F" w:rsidRPr="00255961">
        <w:t xml:space="preserve"> </w:t>
      </w:r>
    </w:p>
    <w:sectPr w:rsidR="00945857" w:rsidRPr="00255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57"/>
    <w:rsid w:val="000132C5"/>
    <w:rsid w:val="000433E6"/>
    <w:rsid w:val="00067A65"/>
    <w:rsid w:val="00092969"/>
    <w:rsid w:val="000B2195"/>
    <w:rsid w:val="001A1731"/>
    <w:rsid w:val="002351C1"/>
    <w:rsid w:val="00255961"/>
    <w:rsid w:val="003533DA"/>
    <w:rsid w:val="003E2B11"/>
    <w:rsid w:val="004E0A20"/>
    <w:rsid w:val="00501E60"/>
    <w:rsid w:val="005C45CF"/>
    <w:rsid w:val="006F7D89"/>
    <w:rsid w:val="00722930"/>
    <w:rsid w:val="007C5B6E"/>
    <w:rsid w:val="008957F1"/>
    <w:rsid w:val="008A1C5E"/>
    <w:rsid w:val="00912EEF"/>
    <w:rsid w:val="0092745F"/>
    <w:rsid w:val="00945857"/>
    <w:rsid w:val="00A23346"/>
    <w:rsid w:val="00A47F8E"/>
    <w:rsid w:val="00BB0487"/>
    <w:rsid w:val="00BC34DE"/>
    <w:rsid w:val="00D34A6C"/>
    <w:rsid w:val="00D35480"/>
    <w:rsid w:val="00DE04C6"/>
    <w:rsid w:val="00F426FB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857"/>
    <w:rPr>
      <w:strike w:val="0"/>
      <w:dstrike w:val="0"/>
      <w:color w:val="3C63AF"/>
      <w:u w:val="none"/>
      <w:effect w:val="none"/>
    </w:rPr>
  </w:style>
  <w:style w:type="table" w:styleId="TableGrid">
    <w:name w:val="Table Grid"/>
    <w:basedOn w:val="TableNormal"/>
    <w:uiPriority w:val="59"/>
    <w:rsid w:val="0035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857"/>
    <w:rPr>
      <w:strike w:val="0"/>
      <w:dstrike w:val="0"/>
      <w:color w:val="3C63AF"/>
      <w:u w:val="none"/>
      <w:effect w:val="none"/>
    </w:rPr>
  </w:style>
  <w:style w:type="table" w:styleId="TableGrid">
    <w:name w:val="Table Grid"/>
    <w:basedOn w:val="TableNormal"/>
    <w:uiPriority w:val="59"/>
    <w:rsid w:val="0035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702580FD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University Hospital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BHAVNA PANDYA</dc:creator>
  <cp:lastModifiedBy>BHAVNA PANDYA</cp:lastModifiedBy>
  <cp:revision>2</cp:revision>
  <dcterms:created xsi:type="dcterms:W3CDTF">2018-02-05T23:40:00Z</dcterms:created>
  <dcterms:modified xsi:type="dcterms:W3CDTF">2018-02-05T23:40:00Z</dcterms:modified>
</cp:coreProperties>
</file>