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56" w:rsidRPr="00925E54" w:rsidRDefault="00B21C56" w:rsidP="00637B6E">
      <w:pPr>
        <w:contextualSpacing/>
        <w:rPr>
          <w:rFonts w:ascii="Times New Roman" w:hAnsi="Times New Roman" w:cs="Times New Roman"/>
          <w:b/>
        </w:rPr>
      </w:pPr>
      <w:r w:rsidRPr="00925E54">
        <w:rPr>
          <w:rFonts w:ascii="Times New Roman" w:hAnsi="Times New Roman" w:cs="Times New Roman"/>
          <w:b/>
        </w:rPr>
        <w:t>Background</w:t>
      </w:r>
    </w:p>
    <w:p w:rsidR="00B21C56" w:rsidRPr="00925E54" w:rsidRDefault="00B21C56" w:rsidP="00637B6E">
      <w:pPr>
        <w:contextualSpacing/>
        <w:rPr>
          <w:rFonts w:ascii="Times New Roman" w:hAnsi="Times New Roman" w:cs="Times New Roman"/>
        </w:rPr>
      </w:pPr>
      <w:r w:rsidRPr="00925E54">
        <w:rPr>
          <w:rFonts w:ascii="Times New Roman" w:hAnsi="Times New Roman" w:cs="Times New Roman"/>
        </w:rPr>
        <w:t>A healthy start to renal replacement therapy (RRT) needs patient information, empowerment &amp; education, peer support, shared deci</w:t>
      </w:r>
      <w:r w:rsidR="002A1521">
        <w:rPr>
          <w:rFonts w:ascii="Times New Roman" w:hAnsi="Times New Roman" w:cs="Times New Roman"/>
        </w:rPr>
        <w:t xml:space="preserve">sion making, a modality choice, </w:t>
      </w:r>
      <w:r w:rsidRPr="00925E54">
        <w:rPr>
          <w:rFonts w:ascii="Times New Roman" w:hAnsi="Times New Roman" w:cs="Times New Roman"/>
        </w:rPr>
        <w:t xml:space="preserve">access planning and where possible, preparation for pre-emptive transplantation.  Patients who commence dialysis in an unplanned manner often lack these elements of care, and such starts have been associated with poor patient experience, outcomes and value. </w:t>
      </w:r>
    </w:p>
    <w:p w:rsidR="00B21C56" w:rsidRPr="00925E54" w:rsidRDefault="00B21C56" w:rsidP="00637B6E">
      <w:pPr>
        <w:contextualSpacing/>
        <w:rPr>
          <w:rFonts w:ascii="Times New Roman" w:hAnsi="Times New Roman" w:cs="Times New Roman"/>
          <w:b/>
        </w:rPr>
      </w:pPr>
      <w:r w:rsidRPr="00925E54">
        <w:rPr>
          <w:rFonts w:ascii="Times New Roman" w:hAnsi="Times New Roman" w:cs="Times New Roman"/>
          <w:b/>
        </w:rPr>
        <w:t>Aims</w:t>
      </w:r>
    </w:p>
    <w:p w:rsidR="00B21C56" w:rsidRPr="00925E54" w:rsidRDefault="00B21C56" w:rsidP="00637B6E">
      <w:pPr>
        <w:contextualSpacing/>
        <w:rPr>
          <w:rFonts w:ascii="Times New Roman" w:hAnsi="Times New Roman" w:cs="Times New Roman"/>
        </w:rPr>
      </w:pPr>
      <w:r w:rsidRPr="00925E54">
        <w:rPr>
          <w:rFonts w:ascii="Times New Roman" w:hAnsi="Times New Roman" w:cs="Times New Roman"/>
        </w:rPr>
        <w:t>We characterised a 3-year incident renal replacement population at a single tertiary renal unit</w:t>
      </w:r>
      <w:r w:rsidR="00202949">
        <w:rPr>
          <w:rFonts w:ascii="Times New Roman" w:hAnsi="Times New Roman" w:cs="Times New Roman"/>
        </w:rPr>
        <w:t xml:space="preserve"> in </w:t>
      </w:r>
      <w:r w:rsidRPr="00925E54">
        <w:rPr>
          <w:rFonts w:ascii="Times New Roman" w:hAnsi="Times New Roman" w:cs="Times New Roman"/>
        </w:rPr>
        <w:t xml:space="preserve">London to examine factors associated with unplanned dialysis. </w:t>
      </w:r>
    </w:p>
    <w:p w:rsidR="00B21C56" w:rsidRPr="00925E54" w:rsidRDefault="00B21C56" w:rsidP="00B21C56">
      <w:pPr>
        <w:contextualSpacing/>
        <w:rPr>
          <w:rFonts w:ascii="Times New Roman" w:hAnsi="Times New Roman" w:cs="Times New Roman"/>
          <w:b/>
        </w:rPr>
      </w:pPr>
      <w:r w:rsidRPr="00925E54">
        <w:rPr>
          <w:rFonts w:ascii="Times New Roman" w:hAnsi="Times New Roman" w:cs="Times New Roman"/>
          <w:b/>
        </w:rPr>
        <w:t>Methods</w:t>
      </w:r>
    </w:p>
    <w:p w:rsidR="00925E54" w:rsidRPr="00925E54" w:rsidRDefault="00B21C56" w:rsidP="00925E54">
      <w:pPr>
        <w:contextualSpacing/>
        <w:rPr>
          <w:rFonts w:ascii="Times New Roman" w:hAnsi="Times New Roman" w:cs="Times New Roman"/>
        </w:rPr>
      </w:pPr>
      <w:r w:rsidRPr="00925E54">
        <w:rPr>
          <w:rFonts w:ascii="Times New Roman" w:hAnsi="Times New Roman" w:cs="Times New Roman"/>
        </w:rPr>
        <w:t xml:space="preserve">We conducted a retrospective cohort analysis of 999 patients who commenced dialysis over a 3 year </w:t>
      </w:r>
      <w:r w:rsidR="00202949">
        <w:rPr>
          <w:rFonts w:ascii="Times New Roman" w:hAnsi="Times New Roman" w:cs="Times New Roman"/>
        </w:rPr>
        <w:t>period</w:t>
      </w:r>
      <w:r w:rsidRPr="00925E54">
        <w:rPr>
          <w:rFonts w:ascii="Times New Roman" w:hAnsi="Times New Roman" w:cs="Times New Roman"/>
        </w:rPr>
        <w:t>.</w:t>
      </w:r>
      <w:r w:rsidR="00925E54" w:rsidRPr="00925E54">
        <w:rPr>
          <w:rFonts w:ascii="Times New Roman" w:hAnsi="Times New Roman" w:cs="Times New Roman"/>
        </w:rPr>
        <w:t xml:space="preserve"> Further demographic data and comorbidity burden will be obtained from </w:t>
      </w:r>
      <w:proofErr w:type="spellStart"/>
      <w:r w:rsidR="00925E54" w:rsidRPr="00925E54">
        <w:rPr>
          <w:rFonts w:ascii="Times New Roman" w:hAnsi="Times New Roman" w:cs="Times New Roman"/>
        </w:rPr>
        <w:t>pseudonomised</w:t>
      </w:r>
      <w:proofErr w:type="spellEnd"/>
      <w:r w:rsidR="00925E54" w:rsidRPr="00925E54">
        <w:rPr>
          <w:rFonts w:ascii="Times New Roman" w:hAnsi="Times New Roman" w:cs="Times New Roman"/>
        </w:rPr>
        <w:t>, linked primary care health records from patients registered with local GP practices.</w:t>
      </w:r>
    </w:p>
    <w:p w:rsidR="00B21C56" w:rsidRPr="00925E54" w:rsidRDefault="00B21C56" w:rsidP="00B21C56">
      <w:pPr>
        <w:contextualSpacing/>
        <w:rPr>
          <w:rFonts w:ascii="Times New Roman" w:hAnsi="Times New Roman" w:cs="Times New Roman"/>
        </w:rPr>
      </w:pPr>
      <w:r w:rsidRPr="00925E54">
        <w:rPr>
          <w:rFonts w:ascii="Times New Roman" w:hAnsi="Times New Roman" w:cs="Times New Roman"/>
        </w:rPr>
        <w:t>Electronic patient records were reviewed and patients were deemed to have an unplanned</w:t>
      </w:r>
      <w:r w:rsidR="00925E54" w:rsidRPr="00925E54">
        <w:rPr>
          <w:rFonts w:ascii="Times New Roman" w:hAnsi="Times New Roman" w:cs="Times New Roman"/>
        </w:rPr>
        <w:t xml:space="preserve"> start if they </w:t>
      </w:r>
      <w:r w:rsidRPr="00925E54">
        <w:rPr>
          <w:rFonts w:ascii="Times New Roman" w:hAnsi="Times New Roman" w:cs="Times New Roman"/>
        </w:rPr>
        <w:t>had not received nephrology care for greater than 90 days prior to commencing RRT. Patient</w:t>
      </w:r>
      <w:r w:rsidR="002A1521">
        <w:rPr>
          <w:rFonts w:ascii="Times New Roman" w:hAnsi="Times New Roman" w:cs="Times New Roman"/>
        </w:rPr>
        <w:t>s on dialysis elsewhere, or</w:t>
      </w:r>
      <w:r w:rsidRPr="00925E54">
        <w:rPr>
          <w:rFonts w:ascii="Times New Roman" w:hAnsi="Times New Roman" w:cs="Times New Roman"/>
        </w:rPr>
        <w:t xml:space="preserve"> starting </w:t>
      </w:r>
      <w:r w:rsidR="002A1521">
        <w:rPr>
          <w:rFonts w:ascii="Times New Roman" w:hAnsi="Times New Roman" w:cs="Times New Roman"/>
        </w:rPr>
        <w:t xml:space="preserve">after </w:t>
      </w:r>
      <w:r w:rsidRPr="00925E54">
        <w:rPr>
          <w:rFonts w:ascii="Times New Roman" w:hAnsi="Times New Roman" w:cs="Times New Roman"/>
        </w:rPr>
        <w:t xml:space="preserve">transplant failure were excluded. Patients who died within 90 days of starting dialysis, or required dialysis for less than 90 days were also excluded. </w:t>
      </w:r>
    </w:p>
    <w:p w:rsidR="00925E54" w:rsidRPr="00925E54" w:rsidRDefault="00B21C56" w:rsidP="00925E54">
      <w:pPr>
        <w:contextualSpacing/>
        <w:rPr>
          <w:rFonts w:ascii="Times New Roman" w:hAnsi="Times New Roman" w:cs="Times New Roman"/>
          <w:b/>
        </w:rPr>
      </w:pPr>
      <w:r w:rsidRPr="00925E54">
        <w:rPr>
          <w:rFonts w:ascii="Times New Roman" w:hAnsi="Times New Roman" w:cs="Times New Roman"/>
          <w:b/>
        </w:rPr>
        <w:t>Results</w:t>
      </w:r>
    </w:p>
    <w:p w:rsidR="00B21C56" w:rsidRPr="00925E54" w:rsidRDefault="00B21C56" w:rsidP="00925E54">
      <w:pPr>
        <w:contextualSpacing/>
        <w:rPr>
          <w:rFonts w:ascii="Times New Roman" w:hAnsi="Times New Roman" w:cs="Times New Roman"/>
          <w:b/>
        </w:rPr>
      </w:pPr>
      <w:r w:rsidRPr="00925E54">
        <w:rPr>
          <w:rFonts w:ascii="Times New Roman" w:hAnsi="Times New Roman" w:cs="Times New Roman"/>
        </w:rPr>
        <w:t>999 patients initiated dialysis in our unit between 29 September 2014 and 8</w:t>
      </w:r>
      <w:r w:rsidRPr="00925E54">
        <w:rPr>
          <w:rFonts w:ascii="Times New Roman" w:hAnsi="Times New Roman" w:cs="Times New Roman"/>
          <w:vertAlign w:val="superscript"/>
        </w:rPr>
        <w:t>th</w:t>
      </w:r>
      <w:r w:rsidRPr="00925E54">
        <w:rPr>
          <w:rFonts w:ascii="Times New Roman" w:hAnsi="Times New Roman" w:cs="Times New Roman"/>
        </w:rPr>
        <w:t xml:space="preserve"> August 2017. 244 patients were excluded. 755 patients remained.</w:t>
      </w:r>
    </w:p>
    <w:tbl>
      <w:tblPr>
        <w:tblStyle w:val="TableGrid"/>
        <w:tblW w:w="0" w:type="auto"/>
        <w:tblLook w:val="04A0" w:firstRow="1" w:lastRow="0" w:firstColumn="1" w:lastColumn="0" w:noHBand="0" w:noVBand="1"/>
      </w:tblPr>
      <w:tblGrid>
        <w:gridCol w:w="2940"/>
        <w:gridCol w:w="2877"/>
        <w:gridCol w:w="2903"/>
      </w:tblGrid>
      <w:tr w:rsidR="00B21C56" w:rsidRPr="00925E54" w:rsidTr="00FC07F9">
        <w:tc>
          <w:tcPr>
            <w:tcW w:w="2940" w:type="dxa"/>
          </w:tcPr>
          <w:p w:rsidR="00B21C56" w:rsidRPr="00925E54" w:rsidRDefault="00B21C56" w:rsidP="006404DD">
            <w:pPr>
              <w:contextualSpacing/>
              <w:jc w:val="both"/>
              <w:rPr>
                <w:rFonts w:ascii="Times New Roman" w:hAnsi="Times New Roman" w:cs="Times New Roman"/>
                <w:b/>
              </w:rPr>
            </w:pPr>
            <w:r w:rsidRPr="00925E54">
              <w:rPr>
                <w:rFonts w:ascii="Times New Roman" w:hAnsi="Times New Roman" w:cs="Times New Roman"/>
                <w:b/>
              </w:rPr>
              <w:t>Characteristics at initiation of RRT</w:t>
            </w:r>
          </w:p>
        </w:tc>
        <w:tc>
          <w:tcPr>
            <w:tcW w:w="2877" w:type="dxa"/>
          </w:tcPr>
          <w:p w:rsidR="00B21C56" w:rsidRPr="00925E54" w:rsidRDefault="00B21C56" w:rsidP="006404DD">
            <w:pPr>
              <w:contextualSpacing/>
              <w:jc w:val="both"/>
              <w:rPr>
                <w:rFonts w:ascii="Times New Roman" w:hAnsi="Times New Roman" w:cs="Times New Roman"/>
                <w:b/>
              </w:rPr>
            </w:pPr>
            <w:r w:rsidRPr="00925E54">
              <w:rPr>
                <w:rFonts w:ascii="Times New Roman" w:hAnsi="Times New Roman" w:cs="Times New Roman"/>
                <w:b/>
              </w:rPr>
              <w:t>Planned Starters</w:t>
            </w:r>
          </w:p>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b/>
              </w:rPr>
              <w:t>n = 463</w:t>
            </w:r>
          </w:p>
        </w:tc>
        <w:tc>
          <w:tcPr>
            <w:tcW w:w="2903" w:type="dxa"/>
          </w:tcPr>
          <w:p w:rsidR="00B21C56" w:rsidRPr="00925E54" w:rsidRDefault="00B21C56" w:rsidP="006404DD">
            <w:pPr>
              <w:contextualSpacing/>
              <w:jc w:val="both"/>
              <w:rPr>
                <w:rFonts w:ascii="Times New Roman" w:hAnsi="Times New Roman" w:cs="Times New Roman"/>
                <w:b/>
              </w:rPr>
            </w:pPr>
            <w:r w:rsidRPr="00925E54">
              <w:rPr>
                <w:rFonts w:ascii="Times New Roman" w:hAnsi="Times New Roman" w:cs="Times New Roman"/>
                <w:b/>
              </w:rPr>
              <w:t>Unplanned starters</w:t>
            </w:r>
          </w:p>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b/>
              </w:rPr>
              <w:t>n = 292</w:t>
            </w:r>
          </w:p>
        </w:tc>
      </w:tr>
      <w:tr w:rsidR="00B21C56" w:rsidRPr="00925E54" w:rsidTr="006404DD">
        <w:tc>
          <w:tcPr>
            <w:tcW w:w="3080" w:type="dxa"/>
          </w:tcPr>
          <w:p w:rsidR="00B21C56" w:rsidRPr="00925E54" w:rsidRDefault="002A1521" w:rsidP="006404DD">
            <w:pPr>
              <w:contextualSpacing/>
              <w:jc w:val="both"/>
              <w:rPr>
                <w:rFonts w:ascii="Times New Roman" w:hAnsi="Times New Roman" w:cs="Times New Roman"/>
              </w:rPr>
            </w:pPr>
            <w:r>
              <w:rPr>
                <w:rFonts w:ascii="Times New Roman" w:hAnsi="Times New Roman" w:cs="Times New Roman"/>
              </w:rPr>
              <w:t>Mean a</w:t>
            </w:r>
            <w:r w:rsidR="00B21C56" w:rsidRPr="00925E54">
              <w:rPr>
                <w:rFonts w:ascii="Times New Roman" w:hAnsi="Times New Roman" w:cs="Times New Roman"/>
              </w:rPr>
              <w:t xml:space="preserve">ge </w:t>
            </w:r>
          </w:p>
        </w:tc>
        <w:tc>
          <w:tcPr>
            <w:tcW w:w="3081"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55.0</w:t>
            </w:r>
          </w:p>
        </w:tc>
        <w:tc>
          <w:tcPr>
            <w:tcW w:w="3081"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57.9</w:t>
            </w:r>
          </w:p>
        </w:tc>
      </w:tr>
      <w:tr w:rsidR="00B21C56" w:rsidRPr="00925E54" w:rsidTr="006404DD">
        <w:tc>
          <w:tcPr>
            <w:tcW w:w="3080"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Gender, Female – number (%)</w:t>
            </w:r>
          </w:p>
        </w:tc>
        <w:tc>
          <w:tcPr>
            <w:tcW w:w="3081"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191 (41.2)</w:t>
            </w:r>
          </w:p>
        </w:tc>
        <w:tc>
          <w:tcPr>
            <w:tcW w:w="3081"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99 (33.9)</w:t>
            </w:r>
          </w:p>
        </w:tc>
      </w:tr>
      <w:tr w:rsidR="00B21C56" w:rsidRPr="00925E54" w:rsidTr="006404DD">
        <w:tc>
          <w:tcPr>
            <w:tcW w:w="3080" w:type="dxa"/>
          </w:tcPr>
          <w:p w:rsidR="00B21C56" w:rsidRPr="00925E54" w:rsidRDefault="00B21C56" w:rsidP="006404DD">
            <w:pPr>
              <w:contextualSpacing/>
              <w:jc w:val="both"/>
              <w:rPr>
                <w:rFonts w:ascii="Times New Roman" w:hAnsi="Times New Roman" w:cs="Times New Roman"/>
              </w:rPr>
            </w:pPr>
            <w:proofErr w:type="spellStart"/>
            <w:r w:rsidRPr="00925E54">
              <w:rPr>
                <w:rFonts w:ascii="Times New Roman" w:hAnsi="Times New Roman" w:cs="Times New Roman"/>
                <w:color w:val="000000"/>
                <w:shd w:val="clear" w:color="auto" w:fill="FFFFFF"/>
              </w:rPr>
              <w:t>eGFR</w:t>
            </w:r>
            <w:proofErr w:type="spellEnd"/>
            <w:r w:rsidRPr="00925E54">
              <w:rPr>
                <w:rFonts w:ascii="Times New Roman" w:hAnsi="Times New Roman" w:cs="Times New Roman"/>
                <w:color w:val="000000"/>
                <w:shd w:val="clear" w:color="auto" w:fill="FFFFFF"/>
              </w:rPr>
              <w:t>, ml/min/1.73m</w:t>
            </w:r>
            <w:r w:rsidRPr="00925E54">
              <w:rPr>
                <w:rFonts w:ascii="Times New Roman" w:hAnsi="Times New Roman" w:cs="Times New Roman"/>
                <w:color w:val="000000"/>
                <w:shd w:val="clear" w:color="auto" w:fill="FFFFFF"/>
                <w:vertAlign w:val="superscript"/>
              </w:rPr>
              <w:t>2</w:t>
            </w:r>
            <w:r w:rsidRPr="00925E54">
              <w:rPr>
                <w:rFonts w:ascii="Times New Roman" w:hAnsi="Times New Roman" w:cs="Times New Roman"/>
                <w:color w:val="000000"/>
                <w:shd w:val="clear" w:color="auto" w:fill="FFFFFF"/>
              </w:rPr>
              <w:t> </w:t>
            </w:r>
          </w:p>
        </w:tc>
        <w:tc>
          <w:tcPr>
            <w:tcW w:w="3081"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9</w:t>
            </w:r>
          </w:p>
        </w:tc>
        <w:tc>
          <w:tcPr>
            <w:tcW w:w="3081"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9</w:t>
            </w:r>
          </w:p>
        </w:tc>
      </w:tr>
      <w:tr w:rsidR="00637B6E" w:rsidRPr="00925E54" w:rsidTr="00681BA7">
        <w:trPr>
          <w:trHeight w:val="759"/>
        </w:trPr>
        <w:tc>
          <w:tcPr>
            <w:tcW w:w="3080" w:type="dxa"/>
          </w:tcPr>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Modality:</w:t>
            </w: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HD – number (%)</w:t>
            </w: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PD – number (%)</w:t>
            </w:r>
          </w:p>
        </w:tc>
        <w:tc>
          <w:tcPr>
            <w:tcW w:w="3081" w:type="dxa"/>
          </w:tcPr>
          <w:p w:rsidR="00637B6E" w:rsidRPr="00925E54" w:rsidRDefault="00637B6E" w:rsidP="006404DD">
            <w:pPr>
              <w:contextualSpacing/>
              <w:jc w:val="both"/>
              <w:rPr>
                <w:rFonts w:ascii="Times New Roman" w:hAnsi="Times New Roman" w:cs="Times New Roman"/>
              </w:rPr>
            </w:pP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279 (60.2)</w:t>
            </w: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184 (39.7)</w:t>
            </w:r>
          </w:p>
        </w:tc>
        <w:tc>
          <w:tcPr>
            <w:tcW w:w="3081" w:type="dxa"/>
          </w:tcPr>
          <w:p w:rsidR="00637B6E" w:rsidRPr="00925E54" w:rsidRDefault="00637B6E" w:rsidP="006404DD">
            <w:pPr>
              <w:contextualSpacing/>
              <w:jc w:val="both"/>
              <w:rPr>
                <w:rFonts w:ascii="Times New Roman" w:hAnsi="Times New Roman" w:cs="Times New Roman"/>
              </w:rPr>
            </w:pP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231 (79.1)</w:t>
            </w: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61(20.8)</w:t>
            </w:r>
          </w:p>
        </w:tc>
      </w:tr>
      <w:tr w:rsidR="00B21C56" w:rsidRPr="00925E54" w:rsidTr="00FC07F9">
        <w:tc>
          <w:tcPr>
            <w:tcW w:w="2940"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Inpatient – number (%)</w:t>
            </w:r>
          </w:p>
        </w:tc>
        <w:tc>
          <w:tcPr>
            <w:tcW w:w="2877"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106 (22.9)</w:t>
            </w:r>
          </w:p>
        </w:tc>
        <w:tc>
          <w:tcPr>
            <w:tcW w:w="2903"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213 (72.9)</w:t>
            </w:r>
          </w:p>
        </w:tc>
      </w:tr>
      <w:tr w:rsidR="00B21C56" w:rsidRPr="00925E54" w:rsidTr="00FC07F9">
        <w:tc>
          <w:tcPr>
            <w:tcW w:w="2940" w:type="dxa"/>
          </w:tcPr>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Access:</w:t>
            </w:r>
          </w:p>
          <w:p w:rsidR="00B21C56" w:rsidRPr="00925E54" w:rsidRDefault="00FC07F9" w:rsidP="006404DD">
            <w:pPr>
              <w:contextualSpacing/>
              <w:jc w:val="both"/>
              <w:rPr>
                <w:rFonts w:ascii="Times New Roman" w:hAnsi="Times New Roman" w:cs="Times New Roman"/>
              </w:rPr>
            </w:pPr>
            <w:r>
              <w:rPr>
                <w:rFonts w:ascii="Times New Roman" w:hAnsi="Times New Roman" w:cs="Times New Roman"/>
              </w:rPr>
              <w:t>Central Venous</w:t>
            </w:r>
            <w:r w:rsidR="00BC24F5" w:rsidRPr="00925E54">
              <w:rPr>
                <w:rFonts w:ascii="Times New Roman" w:hAnsi="Times New Roman" w:cs="Times New Roman"/>
              </w:rPr>
              <w:t xml:space="preserve"> catheter</w:t>
            </w: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THL</w:t>
            </w:r>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AVF/AVG</w:t>
            </w:r>
          </w:p>
          <w:p w:rsidR="00637B6E" w:rsidRPr="00925E54" w:rsidRDefault="00637B6E" w:rsidP="006404DD">
            <w:pPr>
              <w:contextualSpacing/>
              <w:jc w:val="both"/>
              <w:rPr>
                <w:rFonts w:ascii="Times New Roman" w:hAnsi="Times New Roman" w:cs="Times New Roman"/>
              </w:rPr>
            </w:pPr>
            <w:proofErr w:type="spellStart"/>
            <w:r w:rsidRPr="00925E54">
              <w:rPr>
                <w:rFonts w:ascii="Times New Roman" w:hAnsi="Times New Roman" w:cs="Times New Roman"/>
              </w:rPr>
              <w:t>Tenckhoff</w:t>
            </w:r>
            <w:proofErr w:type="spellEnd"/>
          </w:p>
          <w:p w:rsidR="00637B6E" w:rsidRPr="00925E54" w:rsidRDefault="00637B6E" w:rsidP="006404DD">
            <w:pPr>
              <w:contextualSpacing/>
              <w:jc w:val="both"/>
              <w:rPr>
                <w:rFonts w:ascii="Times New Roman" w:hAnsi="Times New Roman" w:cs="Times New Roman"/>
              </w:rPr>
            </w:pPr>
            <w:r w:rsidRPr="00925E54">
              <w:rPr>
                <w:rFonts w:ascii="Times New Roman" w:hAnsi="Times New Roman" w:cs="Times New Roman"/>
              </w:rPr>
              <w:t>Moncrieff</w:t>
            </w:r>
          </w:p>
        </w:tc>
        <w:tc>
          <w:tcPr>
            <w:tcW w:w="2877" w:type="dxa"/>
          </w:tcPr>
          <w:p w:rsidR="00637B6E" w:rsidRPr="00925E54" w:rsidRDefault="00637B6E" w:rsidP="006404DD">
            <w:pPr>
              <w:contextualSpacing/>
              <w:jc w:val="both"/>
              <w:rPr>
                <w:rFonts w:ascii="Times New Roman" w:hAnsi="Times New Roman" w:cs="Times New Roman"/>
              </w:rPr>
            </w:pPr>
          </w:p>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43 (9.2)</w:t>
            </w:r>
          </w:p>
          <w:p w:rsidR="006110B3" w:rsidRPr="00925E54" w:rsidRDefault="006110B3" w:rsidP="006404DD">
            <w:pPr>
              <w:contextualSpacing/>
              <w:jc w:val="both"/>
              <w:rPr>
                <w:rFonts w:ascii="Times New Roman" w:hAnsi="Times New Roman" w:cs="Times New Roman"/>
              </w:rPr>
            </w:pPr>
            <w:r w:rsidRPr="00925E54">
              <w:rPr>
                <w:rFonts w:ascii="Times New Roman" w:hAnsi="Times New Roman" w:cs="Times New Roman"/>
              </w:rPr>
              <w:t>103 (22.2)</w:t>
            </w:r>
          </w:p>
          <w:p w:rsidR="006110B3" w:rsidRPr="00925E54" w:rsidRDefault="006110B3" w:rsidP="006404DD">
            <w:pPr>
              <w:contextualSpacing/>
              <w:jc w:val="both"/>
              <w:rPr>
                <w:rFonts w:ascii="Times New Roman" w:hAnsi="Times New Roman" w:cs="Times New Roman"/>
              </w:rPr>
            </w:pPr>
            <w:r w:rsidRPr="00925E54">
              <w:rPr>
                <w:rFonts w:ascii="Times New Roman" w:hAnsi="Times New Roman" w:cs="Times New Roman"/>
              </w:rPr>
              <w:t>132 (28.5)</w:t>
            </w:r>
          </w:p>
          <w:p w:rsidR="006110B3" w:rsidRPr="00925E54" w:rsidRDefault="006110B3" w:rsidP="006404DD">
            <w:pPr>
              <w:contextualSpacing/>
              <w:jc w:val="both"/>
              <w:rPr>
                <w:rFonts w:ascii="Times New Roman" w:hAnsi="Times New Roman" w:cs="Times New Roman"/>
              </w:rPr>
            </w:pPr>
            <w:r w:rsidRPr="00925E54">
              <w:rPr>
                <w:rFonts w:ascii="Times New Roman" w:hAnsi="Times New Roman" w:cs="Times New Roman"/>
              </w:rPr>
              <w:t>152 (32.8)</w:t>
            </w:r>
          </w:p>
          <w:p w:rsidR="006110B3" w:rsidRPr="00925E54" w:rsidRDefault="006110B3" w:rsidP="006404DD">
            <w:pPr>
              <w:contextualSpacing/>
              <w:jc w:val="both"/>
              <w:rPr>
                <w:rFonts w:ascii="Times New Roman" w:hAnsi="Times New Roman" w:cs="Times New Roman"/>
              </w:rPr>
            </w:pPr>
            <w:r w:rsidRPr="00925E54">
              <w:rPr>
                <w:rFonts w:ascii="Times New Roman" w:hAnsi="Times New Roman" w:cs="Times New Roman"/>
              </w:rPr>
              <w:t>33 (7.1)</w:t>
            </w:r>
          </w:p>
        </w:tc>
        <w:tc>
          <w:tcPr>
            <w:tcW w:w="2903" w:type="dxa"/>
          </w:tcPr>
          <w:p w:rsidR="00637B6E" w:rsidRPr="00925E54" w:rsidRDefault="00637B6E" w:rsidP="006404DD">
            <w:pPr>
              <w:contextualSpacing/>
              <w:jc w:val="both"/>
              <w:rPr>
                <w:rFonts w:ascii="Times New Roman" w:hAnsi="Times New Roman" w:cs="Times New Roman"/>
              </w:rPr>
            </w:pPr>
          </w:p>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118 (40.1)</w:t>
            </w:r>
          </w:p>
          <w:p w:rsidR="006110B3" w:rsidRPr="00925E54" w:rsidRDefault="00B63D60" w:rsidP="006404DD">
            <w:pPr>
              <w:contextualSpacing/>
              <w:jc w:val="both"/>
              <w:rPr>
                <w:rFonts w:ascii="Times New Roman" w:hAnsi="Times New Roman" w:cs="Times New Roman"/>
              </w:rPr>
            </w:pPr>
            <w:r w:rsidRPr="00925E54">
              <w:rPr>
                <w:rFonts w:ascii="Times New Roman" w:hAnsi="Times New Roman" w:cs="Times New Roman"/>
              </w:rPr>
              <w:t>117 (40.1)</w:t>
            </w:r>
          </w:p>
          <w:p w:rsidR="006110B3" w:rsidRPr="00925E54" w:rsidRDefault="00B63D60" w:rsidP="006404DD">
            <w:pPr>
              <w:contextualSpacing/>
              <w:jc w:val="both"/>
              <w:rPr>
                <w:rFonts w:ascii="Times New Roman" w:hAnsi="Times New Roman" w:cs="Times New Roman"/>
              </w:rPr>
            </w:pPr>
            <w:r w:rsidRPr="00925E54">
              <w:rPr>
                <w:rFonts w:ascii="Times New Roman" w:hAnsi="Times New Roman" w:cs="Times New Roman"/>
              </w:rPr>
              <w:t>3 (1)</w:t>
            </w:r>
          </w:p>
          <w:p w:rsidR="006110B3" w:rsidRPr="00925E54" w:rsidRDefault="006110B3" w:rsidP="006404DD">
            <w:pPr>
              <w:contextualSpacing/>
              <w:jc w:val="both"/>
              <w:rPr>
                <w:rFonts w:ascii="Times New Roman" w:hAnsi="Times New Roman" w:cs="Times New Roman"/>
              </w:rPr>
            </w:pPr>
            <w:r w:rsidRPr="00925E54">
              <w:rPr>
                <w:rFonts w:ascii="Times New Roman" w:hAnsi="Times New Roman" w:cs="Times New Roman"/>
              </w:rPr>
              <w:t>53</w:t>
            </w:r>
            <w:r w:rsidR="00B63D60" w:rsidRPr="00925E54">
              <w:rPr>
                <w:rFonts w:ascii="Times New Roman" w:hAnsi="Times New Roman" w:cs="Times New Roman"/>
              </w:rPr>
              <w:t xml:space="preserve"> (18.1)</w:t>
            </w:r>
          </w:p>
          <w:p w:rsidR="00B63D60" w:rsidRPr="00925E54" w:rsidRDefault="00B63D60" w:rsidP="006404DD">
            <w:pPr>
              <w:contextualSpacing/>
              <w:jc w:val="both"/>
              <w:rPr>
                <w:rFonts w:ascii="Times New Roman" w:hAnsi="Times New Roman" w:cs="Times New Roman"/>
              </w:rPr>
            </w:pPr>
            <w:r w:rsidRPr="00925E54">
              <w:rPr>
                <w:rFonts w:ascii="Times New Roman" w:hAnsi="Times New Roman" w:cs="Times New Roman"/>
              </w:rPr>
              <w:t>1 (0.03)</w:t>
            </w:r>
          </w:p>
        </w:tc>
      </w:tr>
      <w:tr w:rsidR="00B21C56" w:rsidRPr="00925E54" w:rsidTr="00FC07F9">
        <w:tc>
          <w:tcPr>
            <w:tcW w:w="2940" w:type="dxa"/>
          </w:tcPr>
          <w:p w:rsidR="00B21C56" w:rsidRPr="00925E54" w:rsidRDefault="00FC07F9" w:rsidP="00FC07F9">
            <w:pPr>
              <w:contextualSpacing/>
              <w:jc w:val="both"/>
              <w:rPr>
                <w:rFonts w:ascii="Times New Roman" w:hAnsi="Times New Roman" w:cs="Times New Roman"/>
              </w:rPr>
            </w:pPr>
            <w:r>
              <w:rPr>
                <w:rFonts w:ascii="Times New Roman" w:hAnsi="Times New Roman" w:cs="Times New Roman"/>
              </w:rPr>
              <w:t>Died *</w:t>
            </w:r>
            <w:r w:rsidR="00B21C56" w:rsidRPr="00925E54">
              <w:rPr>
                <w:rFonts w:ascii="Times New Roman" w:hAnsi="Times New Roman" w:cs="Times New Roman"/>
              </w:rPr>
              <w:t>– number (%)</w:t>
            </w:r>
          </w:p>
        </w:tc>
        <w:tc>
          <w:tcPr>
            <w:tcW w:w="2877"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50 (10.8)</w:t>
            </w:r>
          </w:p>
        </w:tc>
        <w:tc>
          <w:tcPr>
            <w:tcW w:w="2903"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50 (17.1)</w:t>
            </w:r>
          </w:p>
        </w:tc>
      </w:tr>
      <w:tr w:rsidR="00B21C56" w:rsidRPr="00925E54" w:rsidTr="00FC07F9">
        <w:tc>
          <w:tcPr>
            <w:tcW w:w="2940" w:type="dxa"/>
          </w:tcPr>
          <w:p w:rsidR="00B21C56" w:rsidRPr="00925E54" w:rsidRDefault="00637B6E" w:rsidP="00FC07F9">
            <w:pPr>
              <w:contextualSpacing/>
              <w:jc w:val="both"/>
              <w:rPr>
                <w:rFonts w:ascii="Times New Roman" w:hAnsi="Times New Roman" w:cs="Times New Roman"/>
              </w:rPr>
            </w:pPr>
            <w:r w:rsidRPr="00925E54">
              <w:rPr>
                <w:rFonts w:ascii="Times New Roman" w:hAnsi="Times New Roman" w:cs="Times New Roman"/>
              </w:rPr>
              <w:t xml:space="preserve">Mean </w:t>
            </w:r>
            <w:r w:rsidR="00FC07F9">
              <w:rPr>
                <w:rFonts w:ascii="Times New Roman" w:hAnsi="Times New Roman" w:cs="Times New Roman"/>
              </w:rPr>
              <w:t>i</w:t>
            </w:r>
            <w:r w:rsidR="00B21C56" w:rsidRPr="00925E54">
              <w:rPr>
                <w:rFonts w:ascii="Times New Roman" w:hAnsi="Times New Roman" w:cs="Times New Roman"/>
              </w:rPr>
              <w:t xml:space="preserve">nterval </w:t>
            </w:r>
            <w:r w:rsidR="00FC07F9">
              <w:rPr>
                <w:rFonts w:ascii="Times New Roman" w:hAnsi="Times New Roman" w:cs="Times New Roman"/>
              </w:rPr>
              <w:t xml:space="preserve">to </w:t>
            </w:r>
            <w:r w:rsidR="00B21C56" w:rsidRPr="00925E54">
              <w:rPr>
                <w:rFonts w:ascii="Times New Roman" w:hAnsi="Times New Roman" w:cs="Times New Roman"/>
              </w:rPr>
              <w:t>death</w:t>
            </w:r>
            <w:r w:rsidR="00FC07F9">
              <w:rPr>
                <w:rFonts w:ascii="Times New Roman" w:hAnsi="Times New Roman" w:cs="Times New Roman"/>
              </w:rPr>
              <w:t>^</w:t>
            </w:r>
            <w:r w:rsidR="00B21C56" w:rsidRPr="00925E54">
              <w:rPr>
                <w:rFonts w:ascii="Times New Roman" w:hAnsi="Times New Roman" w:cs="Times New Roman"/>
              </w:rPr>
              <w:t xml:space="preserve"> - days</w:t>
            </w:r>
          </w:p>
        </w:tc>
        <w:tc>
          <w:tcPr>
            <w:tcW w:w="2877"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319.56</w:t>
            </w:r>
          </w:p>
        </w:tc>
        <w:tc>
          <w:tcPr>
            <w:tcW w:w="2903"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336.28</w:t>
            </w:r>
          </w:p>
        </w:tc>
      </w:tr>
      <w:tr w:rsidR="00B21C56" w:rsidRPr="00925E54" w:rsidTr="00FC07F9">
        <w:tc>
          <w:tcPr>
            <w:tcW w:w="2940"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Interval first LCC review to RRT - days</w:t>
            </w:r>
          </w:p>
        </w:tc>
        <w:tc>
          <w:tcPr>
            <w:tcW w:w="2877"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562</w:t>
            </w:r>
          </w:p>
        </w:tc>
        <w:tc>
          <w:tcPr>
            <w:tcW w:w="2903" w:type="dxa"/>
          </w:tcPr>
          <w:p w:rsidR="00B21C56" w:rsidRPr="00925E54" w:rsidRDefault="00B21C56" w:rsidP="006404DD">
            <w:pPr>
              <w:contextualSpacing/>
              <w:jc w:val="both"/>
              <w:rPr>
                <w:rFonts w:ascii="Times New Roman" w:hAnsi="Times New Roman" w:cs="Times New Roman"/>
              </w:rPr>
            </w:pPr>
            <w:r w:rsidRPr="00925E54">
              <w:rPr>
                <w:rFonts w:ascii="Times New Roman" w:hAnsi="Times New Roman" w:cs="Times New Roman"/>
              </w:rPr>
              <w:t>-</w:t>
            </w:r>
          </w:p>
        </w:tc>
      </w:tr>
      <w:tr w:rsidR="00B21C56" w:rsidRPr="00925E54" w:rsidTr="00FC07F9">
        <w:tc>
          <w:tcPr>
            <w:tcW w:w="8720" w:type="dxa"/>
            <w:gridSpan w:val="3"/>
          </w:tcPr>
          <w:p w:rsidR="00B21C56" w:rsidRPr="00925E54" w:rsidRDefault="00B21C56" w:rsidP="00FC07F9">
            <w:pPr>
              <w:contextualSpacing/>
              <w:jc w:val="both"/>
              <w:rPr>
                <w:rFonts w:ascii="Times New Roman" w:hAnsi="Times New Roman" w:cs="Times New Roman"/>
              </w:rPr>
            </w:pPr>
            <w:proofErr w:type="spellStart"/>
            <w:r w:rsidRPr="00925E54">
              <w:rPr>
                <w:rFonts w:ascii="Times New Roman" w:hAnsi="Times New Roman" w:cs="Times New Roman"/>
              </w:rPr>
              <w:t>eGFR</w:t>
            </w:r>
            <w:proofErr w:type="spellEnd"/>
            <w:r w:rsidRPr="00925E54">
              <w:rPr>
                <w:rFonts w:ascii="Times New Roman" w:hAnsi="Times New Roman" w:cs="Times New Roman"/>
              </w:rPr>
              <w:t xml:space="preserve"> = estimated glomerular filtration rate</w:t>
            </w:r>
            <w:r w:rsidR="00FC07F9">
              <w:rPr>
                <w:rFonts w:ascii="Times New Roman" w:hAnsi="Times New Roman" w:cs="Times New Roman"/>
              </w:rPr>
              <w:t xml:space="preserve">; </w:t>
            </w:r>
            <w:proofErr w:type="spellStart"/>
            <w:r w:rsidR="00FC07F9">
              <w:rPr>
                <w:rFonts w:ascii="Times New Roman" w:hAnsi="Times New Roman" w:cs="Times New Roman"/>
              </w:rPr>
              <w:t>Hb</w:t>
            </w:r>
            <w:proofErr w:type="spellEnd"/>
            <w:r w:rsidR="00FC07F9">
              <w:rPr>
                <w:rFonts w:ascii="Times New Roman" w:hAnsi="Times New Roman" w:cs="Times New Roman"/>
              </w:rPr>
              <w:t xml:space="preserve"> = haemoglobin; </w:t>
            </w:r>
            <w:proofErr w:type="spellStart"/>
            <w:r w:rsidR="00FC07F9">
              <w:rPr>
                <w:rFonts w:ascii="Times New Roman" w:hAnsi="Times New Roman" w:cs="Times New Roman"/>
              </w:rPr>
              <w:t>pTH</w:t>
            </w:r>
            <w:proofErr w:type="spellEnd"/>
            <w:r w:rsidR="00FC07F9">
              <w:rPr>
                <w:rFonts w:ascii="Times New Roman" w:hAnsi="Times New Roman" w:cs="Times New Roman"/>
              </w:rPr>
              <w:t xml:space="preserve"> =</w:t>
            </w:r>
            <w:r w:rsidRPr="00925E54">
              <w:rPr>
                <w:rFonts w:ascii="Times New Roman" w:hAnsi="Times New Roman" w:cs="Times New Roman"/>
              </w:rPr>
              <w:t xml:space="preserve"> parathyroid hormone; </w:t>
            </w:r>
            <w:r w:rsidR="00EA4735" w:rsidRPr="00925E54">
              <w:rPr>
                <w:rFonts w:ascii="Times New Roman" w:hAnsi="Times New Roman" w:cs="Times New Roman"/>
              </w:rPr>
              <w:t>THL= tunnelled haemodialysis line; AVF = arteriovenous fistula; AVG = arteriovenous graft</w:t>
            </w:r>
            <w:r w:rsidRPr="00925E54">
              <w:rPr>
                <w:rFonts w:ascii="Times New Roman" w:hAnsi="Times New Roman" w:cs="Times New Roman"/>
              </w:rPr>
              <w:t xml:space="preserve"> LCC = low clearance clinic</w:t>
            </w:r>
            <w:r w:rsidR="00FC07F9">
              <w:rPr>
                <w:rFonts w:ascii="Times New Roman" w:hAnsi="Times New Roman" w:cs="Times New Roman"/>
              </w:rPr>
              <w:t>; Died *  = died during follow up; ^after initiation of RRT</w:t>
            </w:r>
          </w:p>
        </w:tc>
      </w:tr>
    </w:tbl>
    <w:p w:rsidR="00EA4735" w:rsidRPr="00925E54" w:rsidRDefault="00637B6E" w:rsidP="00637B6E">
      <w:pPr>
        <w:contextualSpacing/>
        <w:rPr>
          <w:rFonts w:ascii="Times New Roman" w:hAnsi="Times New Roman" w:cs="Times New Roman"/>
          <w:b/>
        </w:rPr>
      </w:pPr>
      <w:r w:rsidRPr="00925E54">
        <w:rPr>
          <w:rFonts w:ascii="Times New Roman" w:hAnsi="Times New Roman" w:cs="Times New Roman"/>
          <w:b/>
        </w:rPr>
        <w:t>Discussion</w:t>
      </w:r>
    </w:p>
    <w:p w:rsidR="00637B6E" w:rsidRPr="00202949" w:rsidRDefault="00637B6E">
      <w:pPr>
        <w:contextualSpacing/>
        <w:rPr>
          <w:rFonts w:ascii="Times New Roman" w:hAnsi="Times New Roman" w:cs="Times New Roman"/>
          <w:b/>
        </w:rPr>
      </w:pPr>
      <w:r w:rsidRPr="00925E54">
        <w:rPr>
          <w:rFonts w:ascii="Times New Roman" w:hAnsi="Times New Roman" w:cs="Times New Roman"/>
        </w:rPr>
        <w:t xml:space="preserve">A significant proportion of patients in out unit commenced dialysis in an unplanned fashion. This was associated with excess mortality despite the short period of follow up. We are examining the primary care record to further understand this cohort’s presentation.  </w:t>
      </w:r>
      <w:bookmarkStart w:id="0" w:name="_GoBack"/>
      <w:bookmarkEnd w:id="0"/>
    </w:p>
    <w:sectPr w:rsidR="00637B6E" w:rsidRPr="00202949" w:rsidSect="0020294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56"/>
    <w:rsid w:val="00202949"/>
    <w:rsid w:val="002A1521"/>
    <w:rsid w:val="00344957"/>
    <w:rsid w:val="006110B3"/>
    <w:rsid w:val="00637B6E"/>
    <w:rsid w:val="008E337A"/>
    <w:rsid w:val="00925E54"/>
    <w:rsid w:val="00B21C56"/>
    <w:rsid w:val="00B63D60"/>
    <w:rsid w:val="00BA41AE"/>
    <w:rsid w:val="00BC24F5"/>
    <w:rsid w:val="00EA4735"/>
    <w:rsid w:val="00FC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B6E"/>
    <w:rPr>
      <w:sz w:val="16"/>
      <w:szCs w:val="16"/>
    </w:rPr>
  </w:style>
  <w:style w:type="paragraph" w:styleId="CommentText">
    <w:name w:val="annotation text"/>
    <w:basedOn w:val="Normal"/>
    <w:link w:val="CommentTextChar"/>
    <w:uiPriority w:val="99"/>
    <w:semiHidden/>
    <w:unhideWhenUsed/>
    <w:rsid w:val="00637B6E"/>
    <w:pPr>
      <w:spacing w:line="240" w:lineRule="auto"/>
    </w:pPr>
    <w:rPr>
      <w:sz w:val="20"/>
      <w:szCs w:val="20"/>
    </w:rPr>
  </w:style>
  <w:style w:type="character" w:customStyle="1" w:styleId="CommentTextChar">
    <w:name w:val="Comment Text Char"/>
    <w:basedOn w:val="DefaultParagraphFont"/>
    <w:link w:val="CommentText"/>
    <w:uiPriority w:val="99"/>
    <w:semiHidden/>
    <w:rsid w:val="00637B6E"/>
    <w:rPr>
      <w:sz w:val="20"/>
      <w:szCs w:val="20"/>
    </w:rPr>
  </w:style>
  <w:style w:type="paragraph" w:styleId="BalloonText">
    <w:name w:val="Balloon Text"/>
    <w:basedOn w:val="Normal"/>
    <w:link w:val="BalloonTextChar"/>
    <w:uiPriority w:val="99"/>
    <w:semiHidden/>
    <w:unhideWhenUsed/>
    <w:rsid w:val="0063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B6E"/>
    <w:rPr>
      <w:sz w:val="16"/>
      <w:szCs w:val="16"/>
    </w:rPr>
  </w:style>
  <w:style w:type="paragraph" w:styleId="CommentText">
    <w:name w:val="annotation text"/>
    <w:basedOn w:val="Normal"/>
    <w:link w:val="CommentTextChar"/>
    <w:uiPriority w:val="99"/>
    <w:semiHidden/>
    <w:unhideWhenUsed/>
    <w:rsid w:val="00637B6E"/>
    <w:pPr>
      <w:spacing w:line="240" w:lineRule="auto"/>
    </w:pPr>
    <w:rPr>
      <w:sz w:val="20"/>
      <w:szCs w:val="20"/>
    </w:rPr>
  </w:style>
  <w:style w:type="character" w:customStyle="1" w:styleId="CommentTextChar">
    <w:name w:val="Comment Text Char"/>
    <w:basedOn w:val="DefaultParagraphFont"/>
    <w:link w:val="CommentText"/>
    <w:uiPriority w:val="99"/>
    <w:semiHidden/>
    <w:rsid w:val="00637B6E"/>
    <w:rPr>
      <w:sz w:val="20"/>
      <w:szCs w:val="20"/>
    </w:rPr>
  </w:style>
  <w:style w:type="paragraph" w:styleId="BalloonText">
    <w:name w:val="Balloon Text"/>
    <w:basedOn w:val="Normal"/>
    <w:link w:val="BalloonTextChar"/>
    <w:uiPriority w:val="99"/>
    <w:semiHidden/>
    <w:unhideWhenUsed/>
    <w:rsid w:val="0063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6</cp:revision>
  <dcterms:created xsi:type="dcterms:W3CDTF">2018-01-30T01:04:00Z</dcterms:created>
  <dcterms:modified xsi:type="dcterms:W3CDTF">2018-01-30T23:35:00Z</dcterms:modified>
</cp:coreProperties>
</file>