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53F4B" w14:textId="77777777" w:rsidR="004F2BD4" w:rsidRPr="005737A0" w:rsidRDefault="004F2BD4" w:rsidP="00C427AF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737A0">
        <w:rPr>
          <w:rFonts w:ascii="Times New Roman" w:hAnsi="Times New Roman" w:cs="Times New Roman"/>
          <w:b/>
          <w:sz w:val="22"/>
          <w:szCs w:val="22"/>
        </w:rPr>
        <w:t>Introduction</w:t>
      </w:r>
    </w:p>
    <w:p w14:paraId="5E8A07B8" w14:textId="44CB1D21" w:rsidR="004F2BD4" w:rsidRPr="005737A0" w:rsidRDefault="004F2BD4" w:rsidP="00C427AF">
      <w:pPr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mTOR inhibitors have been shown to be highly effective in treating many serious complications in TSC; renal angiomyolipomas (AML)</w:t>
      </w:r>
      <w:r w:rsidR="00196499">
        <w:rPr>
          <w:rFonts w:ascii="Times New Roman" w:hAnsi="Times New Roman" w:cs="Times New Roman"/>
          <w:sz w:val="22"/>
          <w:szCs w:val="22"/>
        </w:rPr>
        <w:t xml:space="preserve"> [1]</w:t>
      </w:r>
      <w:r w:rsidRPr="005737A0">
        <w:rPr>
          <w:rFonts w:ascii="Times New Roman" w:hAnsi="Times New Roman" w:cs="Times New Roman"/>
          <w:sz w:val="22"/>
          <w:szCs w:val="22"/>
        </w:rPr>
        <w:t>, brain Sub Ependymal Giant Cell Astrocytomas (SEGA)</w:t>
      </w:r>
      <w:r w:rsidR="00196499">
        <w:rPr>
          <w:rFonts w:ascii="Times New Roman" w:hAnsi="Times New Roman" w:cs="Times New Roman"/>
          <w:sz w:val="22"/>
          <w:szCs w:val="22"/>
        </w:rPr>
        <w:t xml:space="preserve"> [2]</w:t>
      </w:r>
      <w:r w:rsidRPr="005737A0">
        <w:rPr>
          <w:rFonts w:ascii="Times New Roman" w:hAnsi="Times New Roman" w:cs="Times New Roman"/>
          <w:sz w:val="22"/>
          <w:szCs w:val="22"/>
        </w:rPr>
        <w:t xml:space="preserve">, pulmonary lymphangioleiomyomatosis (LAM) </w:t>
      </w:r>
      <w:r w:rsidR="00196499">
        <w:rPr>
          <w:rFonts w:ascii="Times New Roman" w:hAnsi="Times New Roman" w:cs="Times New Roman"/>
          <w:sz w:val="22"/>
          <w:szCs w:val="22"/>
        </w:rPr>
        <w:t>[3]</w:t>
      </w:r>
      <w:r w:rsidRPr="005737A0">
        <w:rPr>
          <w:rFonts w:ascii="Times New Roman" w:hAnsi="Times New Roman" w:cs="Times New Roman"/>
          <w:sz w:val="22"/>
          <w:szCs w:val="22"/>
        </w:rPr>
        <w:t xml:space="preserve">, refractory epilepsy </w:t>
      </w:r>
      <w:r w:rsidR="00196499">
        <w:rPr>
          <w:rFonts w:ascii="Times New Roman" w:hAnsi="Times New Roman" w:cs="Times New Roman"/>
          <w:sz w:val="22"/>
          <w:szCs w:val="22"/>
        </w:rPr>
        <w:t>[4]</w:t>
      </w:r>
      <w:r w:rsidRPr="005737A0">
        <w:rPr>
          <w:rFonts w:ascii="Times New Roman" w:hAnsi="Times New Roman" w:cs="Times New Roman"/>
          <w:sz w:val="22"/>
          <w:szCs w:val="22"/>
        </w:rPr>
        <w:t xml:space="preserve"> and facial angiofibromas (FA) </w:t>
      </w:r>
      <w:r w:rsidR="00196499">
        <w:rPr>
          <w:rFonts w:ascii="Times New Roman" w:hAnsi="Times New Roman" w:cs="Times New Roman"/>
          <w:sz w:val="22"/>
          <w:szCs w:val="22"/>
        </w:rPr>
        <w:t>[5]</w:t>
      </w:r>
      <w:r w:rsidRPr="005737A0">
        <w:rPr>
          <w:rFonts w:ascii="Times New Roman" w:hAnsi="Times New Roman" w:cs="Times New Roman"/>
          <w:sz w:val="22"/>
          <w:szCs w:val="22"/>
        </w:rPr>
        <w:t>. However their use in cancer and transplantation is associated with frequent and serious side effects. Here we present real world data from a survey of their use in a regional TSC clinic patient population.</w:t>
      </w:r>
    </w:p>
    <w:p w14:paraId="70571820" w14:textId="77777777" w:rsidR="004F2BD4" w:rsidRPr="005737A0" w:rsidRDefault="004F2BD4" w:rsidP="00C427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8456E3F" w14:textId="77777777" w:rsidR="004F2BD4" w:rsidRPr="005737A0" w:rsidRDefault="004F2BD4" w:rsidP="00C427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737A0">
        <w:rPr>
          <w:rFonts w:ascii="Times New Roman" w:hAnsi="Times New Roman" w:cs="Times New Roman"/>
          <w:b/>
          <w:sz w:val="22"/>
          <w:szCs w:val="22"/>
        </w:rPr>
        <w:t>Methods</w:t>
      </w:r>
    </w:p>
    <w:p w14:paraId="7AA35301" w14:textId="65B2E6B6" w:rsidR="004F2BD4" w:rsidRPr="005737A0" w:rsidRDefault="004F2BD4" w:rsidP="00C427AF">
      <w:pPr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We included all patients for whom mTOR inhibitors have been prescribed at the St Georges/</w:t>
      </w:r>
      <w:r w:rsidR="00C427AF" w:rsidRPr="005737A0">
        <w:rPr>
          <w:rFonts w:ascii="Times New Roman" w:hAnsi="Times New Roman" w:cs="Times New Roman"/>
          <w:sz w:val="22"/>
          <w:szCs w:val="22"/>
        </w:rPr>
        <w:t>Brighton regional TSC-</w:t>
      </w:r>
      <w:r w:rsidRPr="005737A0">
        <w:rPr>
          <w:rFonts w:ascii="Times New Roman" w:hAnsi="Times New Roman" w:cs="Times New Roman"/>
          <w:sz w:val="22"/>
          <w:szCs w:val="22"/>
        </w:rPr>
        <w:t>clinic. Doses were titrated to manage side effects while maintaining efficacy according to previous recommendation (6). Their demographics, indication for use and outcome are presented below.</w:t>
      </w:r>
    </w:p>
    <w:p w14:paraId="66B451AF" w14:textId="77777777" w:rsidR="00DB2C41" w:rsidRPr="005737A0" w:rsidRDefault="00DB2C41" w:rsidP="00C427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AE9E63" w14:textId="77777777" w:rsidR="00DB2C41" w:rsidRPr="005737A0" w:rsidRDefault="00DB2C41" w:rsidP="00C427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737A0">
        <w:rPr>
          <w:rFonts w:ascii="Times New Roman" w:hAnsi="Times New Roman" w:cs="Times New Roman"/>
          <w:b/>
          <w:sz w:val="22"/>
          <w:szCs w:val="22"/>
        </w:rPr>
        <w:t>Results</w:t>
      </w:r>
    </w:p>
    <w:p w14:paraId="7BFF0072" w14:textId="1E7B4972" w:rsidR="00DB2C41" w:rsidRPr="005737A0" w:rsidRDefault="00C427AF" w:rsidP="00C427AF">
      <w:pPr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68</w:t>
      </w:r>
      <w:r w:rsidR="00CB2CB8" w:rsidRPr="005737A0">
        <w:rPr>
          <w:rFonts w:ascii="Times New Roman" w:hAnsi="Times New Roman" w:cs="Times New Roman"/>
          <w:sz w:val="22"/>
          <w:szCs w:val="22"/>
        </w:rPr>
        <w:t xml:space="preserve"> patients </w:t>
      </w:r>
      <w:r w:rsidR="004109D7">
        <w:rPr>
          <w:rFonts w:ascii="Times New Roman" w:hAnsi="Times New Roman" w:cs="Times New Roman"/>
          <w:sz w:val="22"/>
          <w:szCs w:val="22"/>
        </w:rPr>
        <w:t>(47</w:t>
      </w:r>
      <w:r w:rsidRPr="005737A0">
        <w:rPr>
          <w:rFonts w:ascii="Times New Roman" w:hAnsi="Times New Roman" w:cs="Times New Roman"/>
          <w:sz w:val="22"/>
          <w:szCs w:val="22"/>
        </w:rPr>
        <w:t xml:space="preserve"> Female) </w:t>
      </w:r>
      <w:r w:rsidR="00CB2CB8" w:rsidRPr="005737A0">
        <w:rPr>
          <w:rFonts w:ascii="Times New Roman" w:hAnsi="Times New Roman" w:cs="Times New Roman"/>
          <w:sz w:val="22"/>
          <w:szCs w:val="22"/>
        </w:rPr>
        <w:t>were treated</w:t>
      </w:r>
      <w:r w:rsidRPr="005737A0">
        <w:rPr>
          <w:rFonts w:ascii="Times New Roman" w:hAnsi="Times New Roman" w:cs="Times New Roman"/>
          <w:sz w:val="22"/>
          <w:szCs w:val="22"/>
        </w:rPr>
        <w:t xml:space="preserve"> –</w:t>
      </w:r>
      <w:r w:rsidR="00CB2CB8" w:rsidRPr="005737A0">
        <w:rPr>
          <w:rFonts w:ascii="Times New Roman" w:hAnsi="Times New Roman" w:cs="Times New Roman"/>
          <w:sz w:val="22"/>
          <w:szCs w:val="22"/>
        </w:rPr>
        <w:t xml:space="preserve"> </w:t>
      </w:r>
      <w:r w:rsidR="00767B31">
        <w:rPr>
          <w:rFonts w:ascii="Times New Roman" w:hAnsi="Times New Roman" w:cs="Times New Roman"/>
          <w:sz w:val="22"/>
          <w:szCs w:val="22"/>
        </w:rPr>
        <w:t>17</w:t>
      </w:r>
      <w:r w:rsidRPr="005737A0">
        <w:rPr>
          <w:rFonts w:ascii="Times New Roman" w:hAnsi="Times New Roman" w:cs="Times New Roman"/>
          <w:sz w:val="22"/>
          <w:szCs w:val="22"/>
        </w:rPr>
        <w:t xml:space="preserve"> </w:t>
      </w:r>
      <w:r w:rsidR="00767B31">
        <w:rPr>
          <w:rFonts w:ascii="Times New Roman" w:hAnsi="Times New Roman" w:cs="Times New Roman"/>
          <w:sz w:val="22"/>
          <w:szCs w:val="22"/>
        </w:rPr>
        <w:t>with Sirolimus and 38</w:t>
      </w:r>
      <w:r w:rsidR="00CB2CB8" w:rsidRPr="005737A0">
        <w:rPr>
          <w:rFonts w:ascii="Times New Roman" w:hAnsi="Times New Roman" w:cs="Times New Roman"/>
          <w:sz w:val="22"/>
          <w:szCs w:val="22"/>
        </w:rPr>
        <w:t xml:space="preserve"> Everolimus</w:t>
      </w:r>
      <w:r w:rsidR="00767B31">
        <w:rPr>
          <w:rFonts w:ascii="Times New Roman" w:hAnsi="Times New Roman" w:cs="Times New Roman"/>
          <w:sz w:val="22"/>
          <w:szCs w:val="22"/>
        </w:rPr>
        <w:t>, 13 with both</w:t>
      </w:r>
      <w:r w:rsidR="00CB2CB8" w:rsidRPr="005737A0">
        <w:rPr>
          <w:rFonts w:ascii="Times New Roman" w:hAnsi="Times New Roman" w:cs="Times New Roman"/>
          <w:sz w:val="22"/>
          <w:szCs w:val="22"/>
        </w:rPr>
        <w:t xml:space="preserve">. Starting dose was 2mg/day for Sirolimus and 5mg/day for Everolimus. </w:t>
      </w:r>
      <w:r w:rsidR="005E1BC6">
        <w:rPr>
          <w:rFonts w:ascii="Times New Roman" w:hAnsi="Times New Roman" w:cs="Times New Roman"/>
          <w:sz w:val="22"/>
          <w:szCs w:val="22"/>
        </w:rPr>
        <w:t>Median age was 34</w:t>
      </w:r>
      <w:r w:rsidRPr="005737A0">
        <w:rPr>
          <w:rFonts w:ascii="Times New Roman" w:hAnsi="Times New Roman" w:cs="Times New Roman"/>
          <w:sz w:val="22"/>
          <w:szCs w:val="22"/>
        </w:rPr>
        <w:t xml:space="preserve"> (Range 3-68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), and </w:t>
      </w:r>
      <w:r w:rsidR="005E1BC6">
        <w:rPr>
          <w:rFonts w:ascii="Times New Roman" w:hAnsi="Times New Roman" w:cs="Times New Roman"/>
          <w:sz w:val="22"/>
          <w:szCs w:val="22"/>
        </w:rPr>
        <w:t>median duration of therapy was 29 months (Range 2-129</w:t>
      </w:r>
      <w:r w:rsidR="00871223" w:rsidRPr="005737A0">
        <w:rPr>
          <w:rFonts w:ascii="Times New Roman" w:hAnsi="Times New Roman" w:cs="Times New Roman"/>
          <w:sz w:val="22"/>
          <w:szCs w:val="22"/>
        </w:rPr>
        <w:t>). Indications for t</w:t>
      </w:r>
      <w:r w:rsidR="005E1BC6">
        <w:rPr>
          <w:rFonts w:ascii="Times New Roman" w:hAnsi="Times New Roman" w:cs="Times New Roman"/>
          <w:sz w:val="22"/>
          <w:szCs w:val="22"/>
        </w:rPr>
        <w:t>reatment were primarily AML in 58, SEGA in 2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 and </w:t>
      </w:r>
      <w:r w:rsidR="005E1BC6">
        <w:rPr>
          <w:rFonts w:ascii="Times New Roman" w:hAnsi="Times New Roman" w:cs="Times New Roman"/>
          <w:sz w:val="22"/>
          <w:szCs w:val="22"/>
        </w:rPr>
        <w:t xml:space="preserve">AML and </w:t>
      </w:r>
      <w:r w:rsidR="00871223" w:rsidRPr="005737A0">
        <w:rPr>
          <w:rFonts w:ascii="Times New Roman" w:hAnsi="Times New Roman" w:cs="Times New Roman"/>
          <w:sz w:val="22"/>
          <w:szCs w:val="22"/>
        </w:rPr>
        <w:t>LAM i</w:t>
      </w:r>
      <w:r w:rsidR="005E1BC6">
        <w:rPr>
          <w:rFonts w:ascii="Times New Roman" w:hAnsi="Times New Roman" w:cs="Times New Roman"/>
          <w:sz w:val="22"/>
          <w:szCs w:val="22"/>
        </w:rPr>
        <w:t>n 2, liver AML in 1.  4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 patients discontinued therapy</w:t>
      </w:r>
      <w:r w:rsidR="005E1BC6">
        <w:rPr>
          <w:rFonts w:ascii="Times New Roman" w:hAnsi="Times New Roman" w:cs="Times New Roman"/>
          <w:sz w:val="22"/>
          <w:szCs w:val="22"/>
        </w:rPr>
        <w:t>; 1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 due to side effects,</w:t>
      </w:r>
      <w:r w:rsidR="005E1BC6">
        <w:rPr>
          <w:rFonts w:ascii="Times New Roman" w:hAnsi="Times New Roman" w:cs="Times New Roman"/>
          <w:sz w:val="22"/>
          <w:szCs w:val="22"/>
        </w:rPr>
        <w:t xml:space="preserve"> 2 were non-compliant and 1 died of an unrelated cause. The rest (94</w:t>
      </w:r>
      <w:r w:rsidR="00871223" w:rsidRPr="005737A0">
        <w:rPr>
          <w:rFonts w:ascii="Times New Roman" w:hAnsi="Times New Roman" w:cs="Times New Roman"/>
          <w:sz w:val="22"/>
          <w:szCs w:val="22"/>
        </w:rPr>
        <w:t>%) have continued on treatment. Most patients had one or m</w:t>
      </w:r>
      <w:r w:rsidR="005E1BC6">
        <w:rPr>
          <w:rFonts w:ascii="Times New Roman" w:hAnsi="Times New Roman" w:cs="Times New Roman"/>
          <w:sz w:val="22"/>
          <w:szCs w:val="22"/>
        </w:rPr>
        <w:t xml:space="preserve">ore adverse events including; mouth ulcers (35), infection (6), acne / rash (5), dyspepsia (2), and one each of anorexia, menorrhagia, epistaxis and hyophosphataemia. 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 Serious AEs were rare and included</w:t>
      </w:r>
      <w:r w:rsidR="005E1BC6">
        <w:rPr>
          <w:rFonts w:ascii="Times New Roman" w:hAnsi="Times New Roman" w:cs="Times New Roman"/>
          <w:sz w:val="22"/>
          <w:szCs w:val="22"/>
        </w:rPr>
        <w:t xml:space="preserve"> pyelonephritis and cellulitis.</w:t>
      </w:r>
      <w:r w:rsidR="00C14AB4">
        <w:rPr>
          <w:rFonts w:ascii="Times New Roman" w:hAnsi="Times New Roman" w:cs="Times New Roman"/>
          <w:sz w:val="22"/>
          <w:szCs w:val="22"/>
        </w:rPr>
        <w:t xml:space="preserve"> Hyperlipidaemia and intermittent proteinuria were also common.</w:t>
      </w:r>
      <w:r w:rsidR="00871223" w:rsidRPr="005737A0">
        <w:rPr>
          <w:rFonts w:ascii="Times New Roman" w:hAnsi="Times New Roman" w:cs="Times New Roman"/>
          <w:sz w:val="22"/>
          <w:szCs w:val="22"/>
        </w:rPr>
        <w:t xml:space="preserve"> In most patients side effects were successfully managed by temporary reduction or withdrawal of drug. Recurrent or serious side effects were managed with permanent dose reduction. </w:t>
      </w:r>
    </w:p>
    <w:p w14:paraId="00C1165F" w14:textId="00E162B7" w:rsidR="00871223" w:rsidRPr="005737A0" w:rsidRDefault="00871223" w:rsidP="00C427AF">
      <w:pPr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The primary aim of halting disease progress and preventing new complications was achieved in all patients who continued on therapy</w:t>
      </w:r>
      <w:r w:rsidR="005E1BC6">
        <w:rPr>
          <w:rFonts w:ascii="Times New Roman" w:hAnsi="Times New Roman" w:cs="Times New Roman"/>
          <w:sz w:val="22"/>
          <w:szCs w:val="22"/>
        </w:rPr>
        <w:t xml:space="preserve"> for &gt; 6 months</w:t>
      </w:r>
      <w:r w:rsidRPr="005737A0">
        <w:rPr>
          <w:rFonts w:ascii="Times New Roman" w:hAnsi="Times New Roman" w:cs="Times New Roman"/>
          <w:sz w:val="22"/>
          <w:szCs w:val="22"/>
        </w:rPr>
        <w:t>.</w:t>
      </w:r>
    </w:p>
    <w:p w14:paraId="0A83DEDB" w14:textId="77777777" w:rsidR="00CB2CB8" w:rsidRPr="005737A0" w:rsidRDefault="00CB2CB8" w:rsidP="00C427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092EB6" w14:textId="77777777" w:rsidR="00DB2C41" w:rsidRPr="005737A0" w:rsidRDefault="00DB2C41" w:rsidP="00C427AF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5737A0">
        <w:rPr>
          <w:rFonts w:ascii="Times New Roman" w:hAnsi="Times New Roman" w:cs="Times New Roman"/>
          <w:b/>
          <w:sz w:val="22"/>
          <w:szCs w:val="22"/>
        </w:rPr>
        <w:t>Conclusion</w:t>
      </w:r>
    </w:p>
    <w:p w14:paraId="7B51AF1A" w14:textId="77777777" w:rsidR="00DB2C41" w:rsidRPr="005737A0" w:rsidRDefault="00871223" w:rsidP="00C427AF">
      <w:p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737A0">
        <w:rPr>
          <w:rFonts w:ascii="Times New Roman" w:hAnsi="Times New Roman" w:cs="Times New Roman"/>
          <w:sz w:val="22"/>
          <w:szCs w:val="22"/>
        </w:rPr>
        <w:t>mTOR</w:t>
      </w:r>
      <w:proofErr w:type="gramEnd"/>
      <w:r w:rsidRPr="005737A0">
        <w:rPr>
          <w:rFonts w:ascii="Times New Roman" w:hAnsi="Times New Roman" w:cs="Times New Roman"/>
          <w:sz w:val="22"/>
          <w:szCs w:val="22"/>
        </w:rPr>
        <w:t xml:space="preserve"> inhibitors have a much more benign side effect profile when used as monotherapy for TSC if they are actively managed with dose alterations. </w:t>
      </w:r>
    </w:p>
    <w:p w14:paraId="07B77CBD" w14:textId="77777777" w:rsidR="001F4F72" w:rsidRPr="005737A0" w:rsidRDefault="001F4F72" w:rsidP="00C427AF">
      <w:pPr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Everolimus is now licensed for treatment of AML, SEGA and refractory epilepsy in TSC and Sirolimus for LAM. Nephrologists will receive increasing referral for advice about these patients.</w:t>
      </w:r>
    </w:p>
    <w:p w14:paraId="2539009B" w14:textId="77777777" w:rsidR="00DB2C41" w:rsidRPr="005737A0" w:rsidRDefault="00DB2C41" w:rsidP="00C427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6D8F8A7" w14:textId="2F7A1CC2" w:rsidR="004F2BD4" w:rsidRPr="005737A0" w:rsidRDefault="004F2BD4" w:rsidP="005737A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 xml:space="preserve">Bissler JJ, Kingswood JC,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Radzikowska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E,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Zonnenberg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B</w:t>
      </w:r>
      <w:r w:rsidR="00196499">
        <w:rPr>
          <w:rFonts w:ascii="Times New Roman" w:hAnsi="Times New Roman" w:cs="Times New Roman"/>
          <w:sz w:val="22"/>
          <w:szCs w:val="22"/>
        </w:rPr>
        <w:t>A, Belousova E, Frost MD, et al</w:t>
      </w:r>
      <w:r w:rsidRPr="005737A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One. 2017</w:t>
      </w:r>
      <w:proofErr w:type="gramStart"/>
      <w:r w:rsidRPr="005737A0">
        <w:rPr>
          <w:rFonts w:ascii="Times New Roman" w:hAnsi="Times New Roman" w:cs="Times New Roman"/>
          <w:sz w:val="22"/>
          <w:szCs w:val="22"/>
        </w:rPr>
        <w:t>;12</w:t>
      </w:r>
      <w:proofErr w:type="gramEnd"/>
      <w:r w:rsidRPr="005737A0">
        <w:rPr>
          <w:rFonts w:ascii="Times New Roman" w:hAnsi="Times New Roman" w:cs="Times New Roman"/>
          <w:sz w:val="22"/>
          <w:szCs w:val="22"/>
        </w:rPr>
        <w:t>(8):e0180939.</w:t>
      </w:r>
    </w:p>
    <w:p w14:paraId="1CC7D6F1" w14:textId="48627C7D" w:rsidR="004F2BD4" w:rsidRPr="005737A0" w:rsidRDefault="004F2BD4" w:rsidP="005737A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 xml:space="preserve">Franz DN,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Belousova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E,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Sparagana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S,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Bebin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EM, Frost MD,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Kuperman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R, et al.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One. 2016</w:t>
      </w:r>
      <w:proofErr w:type="gramStart"/>
      <w:r w:rsidRPr="005737A0">
        <w:rPr>
          <w:rFonts w:ascii="Times New Roman" w:hAnsi="Times New Roman" w:cs="Times New Roman"/>
          <w:sz w:val="22"/>
          <w:szCs w:val="22"/>
        </w:rPr>
        <w:t>;11</w:t>
      </w:r>
      <w:proofErr w:type="gramEnd"/>
      <w:r w:rsidRPr="005737A0">
        <w:rPr>
          <w:rFonts w:ascii="Times New Roman" w:hAnsi="Times New Roman" w:cs="Times New Roman"/>
          <w:sz w:val="22"/>
          <w:szCs w:val="22"/>
        </w:rPr>
        <w:t>(6):e0158476.</w:t>
      </w:r>
    </w:p>
    <w:p w14:paraId="398D9ED6" w14:textId="0ACBDDDF" w:rsidR="004F2BD4" w:rsidRPr="005737A0" w:rsidRDefault="004F2BD4" w:rsidP="005737A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>McCormack FX, Inoue Y, Moss J, Singer LG, Strange C, Nakata K, et al. The New England journal of medicine. 2011</w:t>
      </w:r>
      <w:proofErr w:type="gramStart"/>
      <w:r w:rsidRPr="005737A0">
        <w:rPr>
          <w:rFonts w:ascii="Times New Roman" w:hAnsi="Times New Roman" w:cs="Times New Roman"/>
          <w:sz w:val="22"/>
          <w:szCs w:val="22"/>
        </w:rPr>
        <w:t>;364</w:t>
      </w:r>
      <w:proofErr w:type="gramEnd"/>
      <w:r w:rsidRPr="005737A0">
        <w:rPr>
          <w:rFonts w:ascii="Times New Roman" w:hAnsi="Times New Roman" w:cs="Times New Roman"/>
          <w:sz w:val="22"/>
          <w:szCs w:val="22"/>
        </w:rPr>
        <w:t>(17):1595-606.</w:t>
      </w:r>
    </w:p>
    <w:p w14:paraId="091355EE" w14:textId="0250A130" w:rsidR="004F2BD4" w:rsidRPr="005737A0" w:rsidRDefault="004F2BD4" w:rsidP="005737A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 xml:space="preserve">French JA, Lawson JA,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Yapici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Z, Ikeda H,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Polster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T,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Nabbout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R, et al. Lancet. 2016.</w:t>
      </w:r>
    </w:p>
    <w:p w14:paraId="45D44B4D" w14:textId="116C4A0C" w:rsidR="004F2BD4" w:rsidRPr="005737A0" w:rsidRDefault="004F2BD4" w:rsidP="005737A0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 xml:space="preserve">Bissler JJ, Kingswood JC,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Radzikowska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E,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Zonnenberg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BA, Frost M, Belousova E, et al. Lancet. 2013</w:t>
      </w:r>
      <w:proofErr w:type="gramStart"/>
      <w:r w:rsidRPr="005737A0">
        <w:rPr>
          <w:rFonts w:ascii="Times New Roman" w:hAnsi="Times New Roman" w:cs="Times New Roman"/>
          <w:sz w:val="22"/>
          <w:szCs w:val="22"/>
        </w:rPr>
        <w:t>;381</w:t>
      </w:r>
      <w:proofErr w:type="gramEnd"/>
      <w:r w:rsidRPr="005737A0">
        <w:rPr>
          <w:rFonts w:ascii="Times New Roman" w:hAnsi="Times New Roman" w:cs="Times New Roman"/>
          <w:sz w:val="22"/>
          <w:szCs w:val="22"/>
        </w:rPr>
        <w:t>(9869):817-24.</w:t>
      </w:r>
    </w:p>
    <w:p w14:paraId="14636746" w14:textId="14A3B932" w:rsidR="004F2BD4" w:rsidRPr="00A5269E" w:rsidRDefault="004F2BD4" w:rsidP="00C427AF">
      <w:pPr>
        <w:pStyle w:val="ListParagraph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737A0">
        <w:rPr>
          <w:rFonts w:ascii="Times New Roman" w:hAnsi="Times New Roman" w:cs="Times New Roman"/>
          <w:sz w:val="22"/>
          <w:szCs w:val="22"/>
        </w:rPr>
        <w:t xml:space="preserve">Davies M,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Saxena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A, Kingswood JC. </w:t>
      </w:r>
      <w:proofErr w:type="spellStart"/>
      <w:r w:rsidRPr="005737A0">
        <w:rPr>
          <w:rFonts w:ascii="Times New Roman" w:hAnsi="Times New Roman" w:cs="Times New Roman"/>
          <w:sz w:val="22"/>
          <w:szCs w:val="22"/>
        </w:rPr>
        <w:t>Orphanet</w:t>
      </w:r>
      <w:proofErr w:type="spellEnd"/>
      <w:r w:rsidRPr="005737A0">
        <w:rPr>
          <w:rFonts w:ascii="Times New Roman" w:hAnsi="Times New Roman" w:cs="Times New Roman"/>
          <w:sz w:val="22"/>
          <w:szCs w:val="22"/>
        </w:rPr>
        <w:t xml:space="preserve"> J Rare Dis. 2017;12(1):35.</w:t>
      </w:r>
    </w:p>
    <w:sectPr w:rsidR="004F2BD4" w:rsidRPr="00A5269E" w:rsidSect="00C427AF">
      <w:pgSz w:w="11900" w:h="16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7171"/>
    <w:multiLevelType w:val="hybridMultilevel"/>
    <w:tmpl w:val="B61CE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1A63"/>
    <w:multiLevelType w:val="hybridMultilevel"/>
    <w:tmpl w:val="76F06CC4"/>
    <w:lvl w:ilvl="0" w:tplc="1A78B6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41"/>
    <w:rsid w:val="00134CCC"/>
    <w:rsid w:val="00196499"/>
    <w:rsid w:val="001F4F72"/>
    <w:rsid w:val="002023BD"/>
    <w:rsid w:val="004109D7"/>
    <w:rsid w:val="004F2BD4"/>
    <w:rsid w:val="004F4154"/>
    <w:rsid w:val="005737A0"/>
    <w:rsid w:val="005E1BC6"/>
    <w:rsid w:val="00767B31"/>
    <w:rsid w:val="008144C3"/>
    <w:rsid w:val="00871223"/>
    <w:rsid w:val="00A5269E"/>
    <w:rsid w:val="00C14AB4"/>
    <w:rsid w:val="00C427AF"/>
    <w:rsid w:val="00CB2CB8"/>
    <w:rsid w:val="00D3741A"/>
    <w:rsid w:val="00DB2C41"/>
    <w:rsid w:val="00DC79B9"/>
    <w:rsid w:val="00EB344A"/>
    <w:rsid w:val="00F73193"/>
    <w:rsid w:val="00FC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ED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Kingswood</dc:creator>
  <cp:lastModifiedBy>Nicholas Annear</cp:lastModifiedBy>
  <cp:revision>3</cp:revision>
  <dcterms:created xsi:type="dcterms:W3CDTF">2018-01-31T22:59:00Z</dcterms:created>
  <dcterms:modified xsi:type="dcterms:W3CDTF">2018-01-31T22:59:00Z</dcterms:modified>
</cp:coreProperties>
</file>