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37FDD" w14:textId="77777777" w:rsidR="000136CE" w:rsidRPr="000136CE" w:rsidRDefault="000136CE" w:rsidP="000136CE">
      <w:pPr>
        <w:pStyle w:val="normal0"/>
        <w:jc w:val="both"/>
        <w:rPr>
          <w:rFonts w:ascii="Times New Roman" w:hAnsi="Times New Roman" w:cs="Times New Roman"/>
          <w:sz w:val="24"/>
          <w:szCs w:val="24"/>
        </w:rPr>
      </w:pPr>
      <w:r w:rsidRPr="000136CE">
        <w:rPr>
          <w:rFonts w:ascii="Times New Roman" w:hAnsi="Times New Roman" w:cs="Times New Roman"/>
          <w:b/>
          <w:sz w:val="24"/>
          <w:szCs w:val="24"/>
        </w:rPr>
        <w:t>Background:</w:t>
      </w:r>
      <w:r w:rsidRPr="000136CE">
        <w:rPr>
          <w:rFonts w:ascii="Times New Roman" w:hAnsi="Times New Roman" w:cs="Times New Roman"/>
          <w:sz w:val="24"/>
          <w:szCs w:val="24"/>
        </w:rPr>
        <w:t xml:space="preserve"> Sepsis and Acute Kidney Injury (AKI) are two major health </w:t>
      </w:r>
      <w:proofErr w:type="gramStart"/>
      <w:r w:rsidRPr="000136CE">
        <w:rPr>
          <w:rFonts w:ascii="Times New Roman" w:hAnsi="Times New Roman" w:cs="Times New Roman"/>
          <w:sz w:val="24"/>
          <w:szCs w:val="24"/>
        </w:rPr>
        <w:t>problems,</w:t>
      </w:r>
      <w:proofErr w:type="gramEnd"/>
      <w:r w:rsidRPr="000136CE">
        <w:rPr>
          <w:rFonts w:ascii="Times New Roman" w:hAnsi="Times New Roman" w:cs="Times New Roman"/>
          <w:sz w:val="24"/>
          <w:szCs w:val="24"/>
        </w:rPr>
        <w:t xml:space="preserve"> both arising primarily in the community and their coexistence is associated with high morbidity and mortality, especially in the elderly population. Recent NICE guidance dictates that AKI detection in the context of suspected infection presenting to hospital identifies </w:t>
      </w:r>
      <w:proofErr w:type="gramStart"/>
      <w:r w:rsidRPr="000136CE">
        <w:rPr>
          <w:rFonts w:ascii="Times New Roman" w:hAnsi="Times New Roman" w:cs="Times New Roman"/>
          <w:sz w:val="24"/>
          <w:szCs w:val="24"/>
        </w:rPr>
        <w:t>high risk</w:t>
      </w:r>
      <w:proofErr w:type="gramEnd"/>
      <w:r w:rsidRPr="000136CE">
        <w:rPr>
          <w:rFonts w:ascii="Times New Roman" w:hAnsi="Times New Roman" w:cs="Times New Roman"/>
          <w:sz w:val="24"/>
          <w:szCs w:val="24"/>
        </w:rPr>
        <w:t xml:space="preserve"> individuals requiring sepsis bundle and antibiotics within 1 hour. However such laboratory assistance for risk stratification is lacking in primary care. </w:t>
      </w:r>
    </w:p>
    <w:p w14:paraId="00CD2F0F" w14:textId="77777777" w:rsidR="000136CE" w:rsidRPr="000136CE" w:rsidRDefault="000136CE" w:rsidP="000136CE">
      <w:pPr>
        <w:pStyle w:val="normal0"/>
        <w:jc w:val="both"/>
        <w:rPr>
          <w:rFonts w:ascii="Times New Roman" w:hAnsi="Times New Roman" w:cs="Times New Roman"/>
          <w:sz w:val="24"/>
          <w:szCs w:val="24"/>
        </w:rPr>
      </w:pPr>
    </w:p>
    <w:p w14:paraId="5A9309E5" w14:textId="77777777" w:rsidR="000136CE" w:rsidRPr="000136CE" w:rsidRDefault="000136CE" w:rsidP="000136CE">
      <w:pPr>
        <w:pStyle w:val="normal0"/>
        <w:jc w:val="both"/>
        <w:rPr>
          <w:rFonts w:ascii="Times New Roman" w:hAnsi="Times New Roman" w:cs="Times New Roman"/>
          <w:sz w:val="24"/>
          <w:szCs w:val="24"/>
        </w:rPr>
      </w:pPr>
      <w:r w:rsidRPr="000136CE">
        <w:rPr>
          <w:rFonts w:ascii="Times New Roman" w:hAnsi="Times New Roman" w:cs="Times New Roman"/>
          <w:b/>
          <w:sz w:val="24"/>
          <w:szCs w:val="24"/>
        </w:rPr>
        <w:t>Aim:</w:t>
      </w:r>
      <w:r w:rsidRPr="000136CE">
        <w:rPr>
          <w:rFonts w:ascii="Times New Roman" w:hAnsi="Times New Roman" w:cs="Times New Roman"/>
          <w:sz w:val="24"/>
          <w:szCs w:val="24"/>
        </w:rPr>
        <w:t xml:space="preserve"> This is a pilot project at 1200 nursing home residents covered by a single GP practice (Salford Care Homes) evaluating the use of Point of Care (POC)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testing with handheld devices for real time diagnosis of AKI to support clinical </w:t>
      </w:r>
      <w:proofErr w:type="gramStart"/>
      <w:r w:rsidRPr="000136CE">
        <w:rPr>
          <w:rFonts w:ascii="Times New Roman" w:hAnsi="Times New Roman" w:cs="Times New Roman"/>
          <w:sz w:val="24"/>
          <w:szCs w:val="24"/>
        </w:rPr>
        <w:t>decision making</w:t>
      </w:r>
      <w:proofErr w:type="gramEnd"/>
      <w:r w:rsidRPr="000136CE">
        <w:rPr>
          <w:rFonts w:ascii="Times New Roman" w:hAnsi="Times New Roman" w:cs="Times New Roman"/>
          <w:sz w:val="24"/>
          <w:szCs w:val="24"/>
        </w:rPr>
        <w:t>.</w:t>
      </w:r>
    </w:p>
    <w:p w14:paraId="55EF7FEA" w14:textId="77777777" w:rsidR="000136CE" w:rsidRPr="000136CE" w:rsidRDefault="000136CE" w:rsidP="000136CE">
      <w:pPr>
        <w:pStyle w:val="normal0"/>
        <w:jc w:val="both"/>
        <w:rPr>
          <w:rFonts w:ascii="Times New Roman" w:hAnsi="Times New Roman" w:cs="Times New Roman"/>
          <w:sz w:val="24"/>
          <w:szCs w:val="24"/>
        </w:rPr>
      </w:pPr>
    </w:p>
    <w:p w14:paraId="600B24A0" w14:textId="77777777" w:rsidR="000136CE" w:rsidRPr="000136CE" w:rsidRDefault="000136CE" w:rsidP="000136CE">
      <w:pPr>
        <w:pStyle w:val="normal0"/>
        <w:jc w:val="both"/>
        <w:rPr>
          <w:rFonts w:ascii="Times New Roman" w:hAnsi="Times New Roman" w:cs="Times New Roman"/>
          <w:sz w:val="24"/>
          <w:szCs w:val="24"/>
        </w:rPr>
      </w:pPr>
      <w:r w:rsidRPr="000136CE">
        <w:rPr>
          <w:rFonts w:ascii="Times New Roman" w:hAnsi="Times New Roman" w:cs="Times New Roman"/>
          <w:b/>
          <w:sz w:val="24"/>
          <w:szCs w:val="24"/>
        </w:rPr>
        <w:t>Methods:</w:t>
      </w:r>
      <w:r w:rsidRPr="000136CE">
        <w:rPr>
          <w:rFonts w:ascii="Times New Roman" w:hAnsi="Times New Roman" w:cs="Times New Roman"/>
          <w:sz w:val="24"/>
          <w:szCs w:val="24"/>
        </w:rPr>
        <w:t xml:space="preserve"> To evaluate the technology we obtained concurrent POC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values from </w:t>
      </w:r>
      <w:proofErr w:type="spellStart"/>
      <w:r w:rsidRPr="000136CE">
        <w:rPr>
          <w:rFonts w:ascii="Times New Roman" w:hAnsi="Times New Roman" w:cs="Times New Roman"/>
          <w:sz w:val="24"/>
          <w:szCs w:val="24"/>
        </w:rPr>
        <w:t>fingerstick</w:t>
      </w:r>
      <w:proofErr w:type="spellEnd"/>
      <w:r w:rsidRPr="000136CE">
        <w:rPr>
          <w:rFonts w:ascii="Times New Roman" w:hAnsi="Times New Roman" w:cs="Times New Roman"/>
          <w:sz w:val="24"/>
          <w:szCs w:val="24"/>
        </w:rPr>
        <w:t xml:space="preserve"> capillary samples using </w:t>
      </w:r>
      <w:proofErr w:type="spellStart"/>
      <w:r w:rsidRPr="000136CE">
        <w:rPr>
          <w:rFonts w:ascii="Times New Roman" w:hAnsi="Times New Roman" w:cs="Times New Roman"/>
          <w:sz w:val="24"/>
          <w:szCs w:val="24"/>
        </w:rPr>
        <w:t>StatSensor</w:t>
      </w:r>
      <w:proofErr w:type="spellEnd"/>
      <w:r w:rsidRPr="000136CE">
        <w:rPr>
          <w:rFonts w:ascii="Times New Roman" w:hAnsi="Times New Roman" w:cs="Times New Roman"/>
          <w:sz w:val="24"/>
          <w:szCs w:val="24"/>
        </w:rPr>
        <w:t xml:space="preserve"> (NOVA) handheld </w:t>
      </w:r>
      <w:proofErr w:type="spellStart"/>
      <w:r w:rsidRPr="000136CE">
        <w:rPr>
          <w:rFonts w:ascii="Times New Roman" w:hAnsi="Times New Roman" w:cs="Times New Roman"/>
          <w:sz w:val="24"/>
          <w:szCs w:val="24"/>
        </w:rPr>
        <w:t>analyzer</w:t>
      </w:r>
      <w:proofErr w:type="spellEnd"/>
      <w:r w:rsidRPr="000136CE">
        <w:rPr>
          <w:rFonts w:ascii="Times New Roman" w:hAnsi="Times New Roman" w:cs="Times New Roman"/>
          <w:sz w:val="24"/>
          <w:szCs w:val="24"/>
        </w:rPr>
        <w:t xml:space="preserve"> and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values from serum samples measured by Siemens </w:t>
      </w:r>
      <w:proofErr w:type="spellStart"/>
      <w:r w:rsidRPr="000136CE">
        <w:rPr>
          <w:rFonts w:ascii="Times New Roman" w:hAnsi="Times New Roman" w:cs="Times New Roman"/>
          <w:sz w:val="24"/>
          <w:szCs w:val="24"/>
        </w:rPr>
        <w:t>Advia</w:t>
      </w:r>
      <w:proofErr w:type="spellEnd"/>
      <w:r w:rsidRPr="000136CE">
        <w:rPr>
          <w:rFonts w:ascii="Times New Roman" w:hAnsi="Times New Roman" w:cs="Times New Roman"/>
          <w:sz w:val="24"/>
          <w:szCs w:val="24"/>
        </w:rPr>
        <w:t xml:space="preserve"> 2400 Jaffe in our laboratory from patients presenting to A&amp;E, and also nursing home residents. Pearson’s correlation coefficient was used to test the correlation between capillary POC and serum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levels. Agreement between the two methods was assessed with Bland Altman plot. A clinical group of primary and secondary physicians reviewed the results with a view to designing a clinically meaningful algorithm to be used in nursing homes.</w:t>
      </w:r>
    </w:p>
    <w:p w14:paraId="2688E831" w14:textId="77777777" w:rsidR="000136CE" w:rsidRPr="000136CE" w:rsidRDefault="000136CE" w:rsidP="000136CE">
      <w:pPr>
        <w:pStyle w:val="normal0"/>
        <w:jc w:val="both"/>
        <w:rPr>
          <w:rFonts w:ascii="Times New Roman" w:hAnsi="Times New Roman" w:cs="Times New Roman"/>
          <w:sz w:val="24"/>
          <w:szCs w:val="24"/>
        </w:rPr>
      </w:pPr>
    </w:p>
    <w:p w14:paraId="6D406003" w14:textId="77777777" w:rsidR="000136CE" w:rsidRPr="000136CE" w:rsidRDefault="000136CE" w:rsidP="000136CE">
      <w:pPr>
        <w:pStyle w:val="normal0"/>
        <w:jc w:val="both"/>
        <w:rPr>
          <w:rFonts w:ascii="Times New Roman" w:hAnsi="Times New Roman" w:cs="Times New Roman"/>
          <w:sz w:val="24"/>
          <w:szCs w:val="24"/>
        </w:rPr>
      </w:pPr>
      <w:r w:rsidRPr="000136CE">
        <w:rPr>
          <w:rFonts w:ascii="Times New Roman" w:hAnsi="Times New Roman" w:cs="Times New Roman"/>
          <w:b/>
          <w:sz w:val="24"/>
          <w:szCs w:val="24"/>
        </w:rPr>
        <w:t>Results:</w:t>
      </w:r>
      <w:r w:rsidRPr="000136CE">
        <w:rPr>
          <w:rFonts w:ascii="Times New Roman" w:hAnsi="Times New Roman" w:cs="Times New Roman"/>
          <w:sz w:val="24"/>
          <w:szCs w:val="24"/>
        </w:rPr>
        <w:t xml:space="preserve"> In total </w:t>
      </w:r>
      <w:proofErr w:type="gramStart"/>
      <w:r w:rsidRPr="000136CE">
        <w:rPr>
          <w:rFonts w:ascii="Times New Roman" w:hAnsi="Times New Roman" w:cs="Times New Roman"/>
          <w:sz w:val="24"/>
          <w:szCs w:val="24"/>
        </w:rPr>
        <w:t>59 paired</w:t>
      </w:r>
      <w:proofErr w:type="gramEnd"/>
      <w:r w:rsidRPr="000136CE">
        <w:rPr>
          <w:rFonts w:ascii="Times New Roman" w:hAnsi="Times New Roman" w:cs="Times New Roman"/>
          <w:sz w:val="24"/>
          <w:szCs w:val="24"/>
        </w:rPr>
        <w:t xml:space="preserve"> samples from 57 patients were obtained. Mean age was 76.6 years and 29 were female. Mean serum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was 95.03 ±43.5µmol/L (range 18- 228) and </w:t>
      </w:r>
      <w:proofErr w:type="gramStart"/>
      <w:r w:rsidRPr="000136CE">
        <w:rPr>
          <w:rFonts w:ascii="Times New Roman" w:hAnsi="Times New Roman" w:cs="Times New Roman"/>
          <w:sz w:val="24"/>
          <w:szCs w:val="24"/>
        </w:rPr>
        <w:t>mean  POC</w:t>
      </w:r>
      <w:proofErr w:type="gramEnd"/>
      <w:r w:rsidRPr="000136CE">
        <w:rPr>
          <w:rFonts w:ascii="Times New Roman" w:hAnsi="Times New Roman" w:cs="Times New Roman"/>
          <w:sz w:val="24"/>
          <w:szCs w:val="24"/>
        </w:rPr>
        <w:t xml:space="preserve">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was 117.59±68.6µmol/L (range 44- 336). There was a very good correlation between POC and serum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values (r= 0.812, p&lt;0.001, Figure 1A). Agreement analysis showed that overall the 95% limits of agreement contained 93% (55/59) of the difference scores and 3 out of the 4 values outside the limits of agreement were observed in mean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values above 200µmol/L. POC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was higher than serum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in 85% (50/59) of the cases. Mean difference between POC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and serum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was 32.5µmol/L (Figure 1B). Based on the results an algorithm (Figure 2) was agreed by clinicians in primary and secondary care.</w:t>
      </w:r>
    </w:p>
    <w:p w14:paraId="59B0467A" w14:textId="77777777" w:rsidR="000136CE" w:rsidRPr="000136CE" w:rsidRDefault="000136CE" w:rsidP="000136CE">
      <w:pPr>
        <w:pStyle w:val="normal0"/>
        <w:jc w:val="both"/>
        <w:rPr>
          <w:rFonts w:ascii="Times New Roman" w:hAnsi="Times New Roman" w:cs="Times New Roman"/>
          <w:sz w:val="24"/>
          <w:szCs w:val="24"/>
        </w:rPr>
      </w:pPr>
    </w:p>
    <w:p w14:paraId="5A8CAC08" w14:textId="77777777" w:rsidR="000136CE" w:rsidRPr="000136CE" w:rsidRDefault="000136CE" w:rsidP="000136CE">
      <w:pPr>
        <w:pStyle w:val="normal0"/>
        <w:jc w:val="both"/>
        <w:rPr>
          <w:rFonts w:ascii="Times New Roman" w:hAnsi="Times New Roman" w:cs="Times New Roman"/>
          <w:sz w:val="24"/>
          <w:szCs w:val="24"/>
        </w:rPr>
      </w:pPr>
      <w:r w:rsidRPr="000136CE">
        <w:rPr>
          <w:rFonts w:ascii="Times New Roman" w:hAnsi="Times New Roman" w:cs="Times New Roman"/>
          <w:b/>
          <w:sz w:val="24"/>
          <w:szCs w:val="24"/>
        </w:rPr>
        <w:t>Conclusion:</w:t>
      </w:r>
      <w:r w:rsidRPr="000136CE">
        <w:rPr>
          <w:rFonts w:ascii="Times New Roman" w:hAnsi="Times New Roman" w:cs="Times New Roman"/>
          <w:sz w:val="24"/>
          <w:szCs w:val="24"/>
        </w:rPr>
        <w:t xml:space="preserve"> POC showed reasonable agreement with laboratory assays to detect normal and abnormal </w:t>
      </w:r>
      <w:proofErr w:type="spellStart"/>
      <w:r w:rsidRPr="000136CE">
        <w:rPr>
          <w:rFonts w:ascii="Times New Roman" w:hAnsi="Times New Roman" w:cs="Times New Roman"/>
          <w:sz w:val="24"/>
          <w:szCs w:val="24"/>
        </w:rPr>
        <w:t>creatinine</w:t>
      </w:r>
      <w:proofErr w:type="spellEnd"/>
      <w:r w:rsidRPr="000136CE">
        <w:rPr>
          <w:rFonts w:ascii="Times New Roman" w:hAnsi="Times New Roman" w:cs="Times New Roman"/>
          <w:sz w:val="24"/>
          <w:szCs w:val="24"/>
        </w:rPr>
        <w:t xml:space="preserve"> values and can be used as a rule-in rule-out real time diagnostic tool for AKI in the community.  This 6 month pilot project will incorporate the use of POC testing in the assessment of suspected infection in nursing homes. The aim is to assist primary care physicians in deciding if patients with suspected infection require urgent admission to hospital, if they can be managed in the community or if discussions about ceiling of care or end of life care should take place. Data will be collected prospectively to assess:</w:t>
      </w:r>
    </w:p>
    <w:p w14:paraId="61B09675" w14:textId="77777777" w:rsidR="000136CE" w:rsidRPr="000136CE" w:rsidRDefault="000136CE" w:rsidP="000136CE">
      <w:pPr>
        <w:pStyle w:val="normal0"/>
        <w:numPr>
          <w:ilvl w:val="0"/>
          <w:numId w:val="2"/>
        </w:numPr>
        <w:contextualSpacing/>
        <w:jc w:val="both"/>
        <w:rPr>
          <w:rFonts w:ascii="Times New Roman" w:hAnsi="Times New Roman" w:cs="Times New Roman"/>
          <w:sz w:val="24"/>
          <w:szCs w:val="24"/>
        </w:rPr>
      </w:pPr>
      <w:r w:rsidRPr="000136CE">
        <w:rPr>
          <w:rFonts w:ascii="Times New Roman" w:hAnsi="Times New Roman" w:cs="Times New Roman"/>
          <w:sz w:val="24"/>
          <w:szCs w:val="24"/>
        </w:rPr>
        <w:t>Adoption of technology. Measure: number of POC use (fortnightly)</w:t>
      </w:r>
    </w:p>
    <w:p w14:paraId="4E88E164" w14:textId="77777777" w:rsidR="000136CE" w:rsidRPr="000136CE" w:rsidRDefault="000136CE" w:rsidP="000136CE">
      <w:pPr>
        <w:pStyle w:val="normal0"/>
        <w:numPr>
          <w:ilvl w:val="0"/>
          <w:numId w:val="2"/>
        </w:numPr>
        <w:contextualSpacing/>
        <w:jc w:val="both"/>
        <w:rPr>
          <w:rFonts w:ascii="Times New Roman" w:hAnsi="Times New Roman" w:cs="Times New Roman"/>
          <w:sz w:val="24"/>
          <w:szCs w:val="24"/>
        </w:rPr>
      </w:pPr>
      <w:r w:rsidRPr="000136CE">
        <w:rPr>
          <w:rFonts w:ascii="Times New Roman" w:hAnsi="Times New Roman" w:cs="Times New Roman"/>
          <w:sz w:val="24"/>
          <w:szCs w:val="24"/>
        </w:rPr>
        <w:t xml:space="preserve">If POC </w:t>
      </w:r>
      <w:proofErr w:type="gramStart"/>
      <w:r w:rsidRPr="000136CE">
        <w:rPr>
          <w:rFonts w:ascii="Times New Roman" w:hAnsi="Times New Roman" w:cs="Times New Roman"/>
          <w:sz w:val="24"/>
          <w:szCs w:val="24"/>
        </w:rPr>
        <w:t>test</w:t>
      </w:r>
      <w:proofErr w:type="gramEnd"/>
      <w:r w:rsidRPr="000136CE">
        <w:rPr>
          <w:rFonts w:ascii="Times New Roman" w:hAnsi="Times New Roman" w:cs="Times New Roman"/>
          <w:sz w:val="24"/>
          <w:szCs w:val="24"/>
        </w:rPr>
        <w:t xml:space="preserve"> result affects decision making. Measure: number of POC tests affecting decision/total of POC tests</w:t>
      </w:r>
    </w:p>
    <w:p w14:paraId="743B9FD4" w14:textId="77777777" w:rsidR="000136CE" w:rsidRPr="000136CE" w:rsidRDefault="000136CE" w:rsidP="000136CE">
      <w:pPr>
        <w:pStyle w:val="normal0"/>
        <w:numPr>
          <w:ilvl w:val="0"/>
          <w:numId w:val="2"/>
        </w:numPr>
        <w:contextualSpacing/>
        <w:jc w:val="both"/>
        <w:rPr>
          <w:rFonts w:ascii="Times New Roman" w:hAnsi="Times New Roman" w:cs="Times New Roman"/>
          <w:sz w:val="24"/>
          <w:szCs w:val="24"/>
        </w:rPr>
      </w:pPr>
      <w:r w:rsidRPr="000136CE">
        <w:rPr>
          <w:rFonts w:ascii="Times New Roman" w:hAnsi="Times New Roman" w:cs="Times New Roman"/>
          <w:sz w:val="24"/>
          <w:szCs w:val="24"/>
        </w:rPr>
        <w:t>Impact on Length of Stay, ICU admission rates and 30 day mortality in sepsis-associated community acquired AKI (case studies)</w:t>
      </w:r>
    </w:p>
    <w:p w14:paraId="2E6F7470" w14:textId="77777777" w:rsidR="000136CE" w:rsidRPr="000136CE" w:rsidRDefault="000136CE" w:rsidP="000136CE">
      <w:pPr>
        <w:pStyle w:val="normal0"/>
        <w:numPr>
          <w:ilvl w:val="0"/>
          <w:numId w:val="2"/>
        </w:numPr>
        <w:contextualSpacing/>
        <w:jc w:val="both"/>
        <w:rPr>
          <w:rFonts w:ascii="Times New Roman" w:hAnsi="Times New Roman" w:cs="Times New Roman"/>
          <w:sz w:val="24"/>
          <w:szCs w:val="24"/>
        </w:rPr>
      </w:pPr>
      <w:r w:rsidRPr="000136CE">
        <w:rPr>
          <w:rFonts w:ascii="Times New Roman" w:hAnsi="Times New Roman" w:cs="Times New Roman"/>
          <w:sz w:val="24"/>
          <w:szCs w:val="24"/>
        </w:rPr>
        <w:t>Reduction in unnecessary referrals to A&amp;E. Measure: number of patients with suspected infection discharged from A&amp;E within 24 hours</w:t>
      </w:r>
    </w:p>
    <w:p w14:paraId="04D2C03D" w14:textId="77777777" w:rsidR="0080124E" w:rsidRDefault="0080124E" w:rsidP="000136CE">
      <w:pPr>
        <w:jc w:val="center"/>
      </w:pPr>
      <w:r>
        <w:t xml:space="preserve"> </w:t>
      </w:r>
    </w:p>
    <w:p w14:paraId="24258595" w14:textId="77777777" w:rsidR="0080124E" w:rsidRDefault="0080124E" w:rsidP="0080124E">
      <w:pPr>
        <w:pStyle w:val="ListParagraph"/>
        <w:jc w:val="both"/>
      </w:pPr>
    </w:p>
    <w:p w14:paraId="4E82590E" w14:textId="77777777" w:rsidR="0080124E" w:rsidRDefault="0080124E" w:rsidP="0080124E">
      <w:pPr>
        <w:pStyle w:val="ListParagraph"/>
        <w:jc w:val="both"/>
      </w:pPr>
    </w:p>
    <w:p w14:paraId="799F4334" w14:textId="77777777" w:rsidR="0080124E" w:rsidRDefault="0080124E" w:rsidP="0080124E">
      <w:pPr>
        <w:pStyle w:val="ListParagraph"/>
        <w:jc w:val="both"/>
      </w:pPr>
    </w:p>
    <w:p w14:paraId="6DE208EA" w14:textId="77777777" w:rsidR="0080124E" w:rsidRDefault="0080124E" w:rsidP="0080124E">
      <w:pPr>
        <w:pStyle w:val="ListParagraph"/>
        <w:jc w:val="both"/>
      </w:pPr>
    </w:p>
    <w:p w14:paraId="137CEFEC" w14:textId="77777777" w:rsidR="0080124E" w:rsidRDefault="0080124E" w:rsidP="0080124E">
      <w:pPr>
        <w:pStyle w:val="ListParagraph"/>
        <w:jc w:val="both"/>
      </w:pPr>
    </w:p>
    <w:p w14:paraId="3B0CEE67" w14:textId="77777777" w:rsidR="008821D7" w:rsidRPr="000136CE" w:rsidRDefault="008821D7" w:rsidP="008821D7">
      <w:pPr>
        <w:pStyle w:val="Caption"/>
        <w:keepNext/>
        <w:jc w:val="both"/>
        <w:rPr>
          <w:sz w:val="24"/>
          <w:szCs w:val="24"/>
        </w:rPr>
      </w:pPr>
      <w:r w:rsidRPr="000136CE">
        <w:rPr>
          <w:sz w:val="24"/>
          <w:szCs w:val="24"/>
        </w:rPr>
        <w:lastRenderedPageBreak/>
        <w:t xml:space="preserve">Figure </w:t>
      </w:r>
      <w:r w:rsidR="000136CE" w:rsidRPr="000136CE">
        <w:rPr>
          <w:sz w:val="24"/>
          <w:szCs w:val="24"/>
        </w:rPr>
        <w:fldChar w:fldCharType="begin"/>
      </w:r>
      <w:r w:rsidR="000136CE" w:rsidRPr="000136CE">
        <w:rPr>
          <w:sz w:val="24"/>
          <w:szCs w:val="24"/>
        </w:rPr>
        <w:instrText xml:space="preserve"> SEQ Figure \* ARABIC </w:instrText>
      </w:r>
      <w:r w:rsidR="000136CE" w:rsidRPr="000136CE">
        <w:rPr>
          <w:sz w:val="24"/>
          <w:szCs w:val="24"/>
        </w:rPr>
        <w:fldChar w:fldCharType="separate"/>
      </w:r>
      <w:r w:rsidRPr="000136CE">
        <w:rPr>
          <w:noProof/>
          <w:sz w:val="24"/>
          <w:szCs w:val="24"/>
        </w:rPr>
        <w:t>1</w:t>
      </w:r>
      <w:r w:rsidR="000136CE" w:rsidRPr="000136CE">
        <w:rPr>
          <w:noProof/>
          <w:sz w:val="24"/>
          <w:szCs w:val="24"/>
        </w:rPr>
        <w:fldChar w:fldCharType="end"/>
      </w:r>
    </w:p>
    <w:p w14:paraId="7A22ABB3" w14:textId="77777777" w:rsidR="008821D7" w:rsidRDefault="008821D7" w:rsidP="008821D7">
      <w:pPr>
        <w:ind w:left="-993"/>
        <w:jc w:val="both"/>
      </w:pPr>
      <w:r>
        <w:rPr>
          <w:noProof/>
          <w:lang w:val="en-US"/>
        </w:rPr>
        <w:drawing>
          <wp:inline distT="0" distB="0" distL="0" distR="0" wp14:anchorId="546044BF" wp14:editId="0C3A31CD">
            <wp:extent cx="7362000" cy="34272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jpg"/>
                    <pic:cNvPicPr/>
                  </pic:nvPicPr>
                  <pic:blipFill>
                    <a:blip r:embed="rId6">
                      <a:extLst>
                        <a:ext uri="{28A0092B-C50C-407E-A947-70E740481C1C}">
                          <a14:useLocalDpi xmlns:a14="http://schemas.microsoft.com/office/drawing/2010/main" val="0"/>
                        </a:ext>
                      </a:extLst>
                    </a:blip>
                    <a:stretch>
                      <a:fillRect/>
                    </a:stretch>
                  </pic:blipFill>
                  <pic:spPr>
                    <a:xfrm>
                      <a:off x="0" y="0"/>
                      <a:ext cx="7362000" cy="3427200"/>
                    </a:xfrm>
                    <a:prstGeom prst="rect">
                      <a:avLst/>
                    </a:prstGeom>
                  </pic:spPr>
                </pic:pic>
              </a:graphicData>
            </a:graphic>
          </wp:inline>
        </w:drawing>
      </w:r>
    </w:p>
    <w:p w14:paraId="1F21DA68" w14:textId="77777777" w:rsidR="008821D7" w:rsidRDefault="008821D7" w:rsidP="008821D7"/>
    <w:p w14:paraId="70C47C4E" w14:textId="77777777" w:rsidR="000136CE" w:rsidRDefault="000136CE" w:rsidP="008821D7"/>
    <w:p w14:paraId="3CE1A2D7" w14:textId="77777777" w:rsidR="000136CE" w:rsidRPr="008821D7" w:rsidRDefault="000136CE" w:rsidP="008821D7"/>
    <w:p w14:paraId="3730D82A" w14:textId="77777777" w:rsidR="008821D7" w:rsidRPr="000136CE" w:rsidRDefault="000136CE" w:rsidP="000136CE">
      <w:pPr>
        <w:pStyle w:val="Caption"/>
        <w:keepNext/>
        <w:jc w:val="both"/>
        <w:rPr>
          <w:sz w:val="24"/>
          <w:szCs w:val="24"/>
        </w:rPr>
      </w:pPr>
      <w:r w:rsidRPr="000136CE">
        <w:rPr>
          <w:sz w:val="24"/>
          <w:szCs w:val="24"/>
        </w:rPr>
        <w:t xml:space="preserve">Figure </w:t>
      </w:r>
      <w:r w:rsidRPr="000136CE">
        <w:rPr>
          <w:sz w:val="24"/>
          <w:szCs w:val="24"/>
        </w:rPr>
        <w:fldChar w:fldCharType="begin"/>
      </w:r>
      <w:r w:rsidRPr="000136CE">
        <w:rPr>
          <w:sz w:val="24"/>
          <w:szCs w:val="24"/>
        </w:rPr>
        <w:instrText xml:space="preserve"> SEQ Figure \* ARABIC </w:instrText>
      </w:r>
      <w:r w:rsidRPr="000136CE">
        <w:rPr>
          <w:sz w:val="24"/>
          <w:szCs w:val="24"/>
        </w:rPr>
        <w:fldChar w:fldCharType="separate"/>
      </w:r>
      <w:r w:rsidRPr="000136CE">
        <w:rPr>
          <w:noProof/>
          <w:sz w:val="24"/>
          <w:szCs w:val="24"/>
        </w:rPr>
        <w:t>2</w:t>
      </w:r>
      <w:r w:rsidRPr="000136CE">
        <w:rPr>
          <w:noProof/>
          <w:sz w:val="24"/>
          <w:szCs w:val="24"/>
        </w:rPr>
        <w:fldChar w:fldCharType="end"/>
      </w:r>
    </w:p>
    <w:p w14:paraId="67E196BA" w14:textId="77777777" w:rsidR="008821D7" w:rsidRPr="008821D7" w:rsidRDefault="008821D7" w:rsidP="008821D7">
      <w:pPr>
        <w:tabs>
          <w:tab w:val="left" w:pos="1002"/>
        </w:tabs>
      </w:pPr>
      <w:r>
        <w:tab/>
      </w:r>
      <w:bookmarkStart w:id="0" w:name="_GoBack"/>
      <w:r>
        <w:rPr>
          <w:noProof/>
          <w:lang w:val="en-US"/>
        </w:rPr>
        <w:drawing>
          <wp:inline distT="0" distB="0" distL="0" distR="0" wp14:anchorId="2F9533DB" wp14:editId="09F31CBF">
            <wp:extent cx="5731510" cy="4142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hm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142740"/>
                    </a:xfrm>
                    <a:prstGeom prst="rect">
                      <a:avLst/>
                    </a:prstGeom>
                  </pic:spPr>
                </pic:pic>
              </a:graphicData>
            </a:graphic>
          </wp:inline>
        </w:drawing>
      </w:r>
      <w:bookmarkEnd w:id="0"/>
    </w:p>
    <w:sectPr w:rsidR="008821D7" w:rsidRPr="008821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altName w:val="Arial"/>
    <w:panose1 w:val="020F0502020204030204"/>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A7636"/>
    <w:multiLevelType w:val="multilevel"/>
    <w:tmpl w:val="9F8651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7200F51"/>
    <w:multiLevelType w:val="hybridMultilevel"/>
    <w:tmpl w:val="65F038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E88"/>
    <w:rsid w:val="000136CE"/>
    <w:rsid w:val="000A2935"/>
    <w:rsid w:val="000F2E88"/>
    <w:rsid w:val="004A7A93"/>
    <w:rsid w:val="0080124E"/>
    <w:rsid w:val="008821D7"/>
    <w:rsid w:val="0089376C"/>
    <w:rsid w:val="00FA63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98E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E8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24E"/>
    <w:pPr>
      <w:ind w:left="720"/>
      <w:contextualSpacing/>
    </w:pPr>
  </w:style>
  <w:style w:type="paragraph" w:styleId="BalloonText">
    <w:name w:val="Balloon Text"/>
    <w:basedOn w:val="Normal"/>
    <w:link w:val="BalloonTextChar"/>
    <w:uiPriority w:val="99"/>
    <w:semiHidden/>
    <w:unhideWhenUsed/>
    <w:rsid w:val="008821D7"/>
    <w:rPr>
      <w:rFonts w:ascii="Tahoma" w:hAnsi="Tahoma" w:cs="Tahoma"/>
      <w:sz w:val="16"/>
      <w:szCs w:val="16"/>
    </w:rPr>
  </w:style>
  <w:style w:type="character" w:customStyle="1" w:styleId="BalloonTextChar">
    <w:name w:val="Balloon Text Char"/>
    <w:basedOn w:val="DefaultParagraphFont"/>
    <w:link w:val="BalloonText"/>
    <w:uiPriority w:val="99"/>
    <w:semiHidden/>
    <w:rsid w:val="008821D7"/>
    <w:rPr>
      <w:rFonts w:ascii="Tahoma" w:hAnsi="Tahoma" w:cs="Tahoma"/>
      <w:sz w:val="16"/>
      <w:szCs w:val="16"/>
    </w:rPr>
  </w:style>
  <w:style w:type="paragraph" w:styleId="Caption">
    <w:name w:val="caption"/>
    <w:basedOn w:val="Normal"/>
    <w:next w:val="Normal"/>
    <w:uiPriority w:val="35"/>
    <w:unhideWhenUsed/>
    <w:qFormat/>
    <w:rsid w:val="008821D7"/>
    <w:pPr>
      <w:spacing w:after="200"/>
    </w:pPr>
    <w:rPr>
      <w:b/>
      <w:bCs/>
      <w:color w:val="4F81BD" w:themeColor="accent1"/>
      <w:sz w:val="18"/>
      <w:szCs w:val="18"/>
    </w:rPr>
  </w:style>
  <w:style w:type="paragraph" w:customStyle="1" w:styleId="normal0">
    <w:name w:val="normal"/>
    <w:rsid w:val="000136CE"/>
    <w:pPr>
      <w:pBdr>
        <w:top w:val="nil"/>
        <w:left w:val="nil"/>
        <w:bottom w:val="nil"/>
        <w:right w:val="nil"/>
        <w:between w:val="nil"/>
      </w:pBdr>
      <w:spacing w:after="0" w:line="240" w:lineRule="auto"/>
    </w:pPr>
    <w:rPr>
      <w:rFonts w:ascii="Calibri" w:eastAsia="Calibri" w:hAnsi="Calibri" w:cs="Calibri"/>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E8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24E"/>
    <w:pPr>
      <w:ind w:left="720"/>
      <w:contextualSpacing/>
    </w:pPr>
  </w:style>
  <w:style w:type="paragraph" w:styleId="BalloonText">
    <w:name w:val="Balloon Text"/>
    <w:basedOn w:val="Normal"/>
    <w:link w:val="BalloonTextChar"/>
    <w:uiPriority w:val="99"/>
    <w:semiHidden/>
    <w:unhideWhenUsed/>
    <w:rsid w:val="008821D7"/>
    <w:rPr>
      <w:rFonts w:ascii="Tahoma" w:hAnsi="Tahoma" w:cs="Tahoma"/>
      <w:sz w:val="16"/>
      <w:szCs w:val="16"/>
    </w:rPr>
  </w:style>
  <w:style w:type="character" w:customStyle="1" w:styleId="BalloonTextChar">
    <w:name w:val="Balloon Text Char"/>
    <w:basedOn w:val="DefaultParagraphFont"/>
    <w:link w:val="BalloonText"/>
    <w:uiPriority w:val="99"/>
    <w:semiHidden/>
    <w:rsid w:val="008821D7"/>
    <w:rPr>
      <w:rFonts w:ascii="Tahoma" w:hAnsi="Tahoma" w:cs="Tahoma"/>
      <w:sz w:val="16"/>
      <w:szCs w:val="16"/>
    </w:rPr>
  </w:style>
  <w:style w:type="paragraph" w:styleId="Caption">
    <w:name w:val="caption"/>
    <w:basedOn w:val="Normal"/>
    <w:next w:val="Normal"/>
    <w:uiPriority w:val="35"/>
    <w:unhideWhenUsed/>
    <w:qFormat/>
    <w:rsid w:val="008821D7"/>
    <w:pPr>
      <w:spacing w:after="200"/>
    </w:pPr>
    <w:rPr>
      <w:b/>
      <w:bCs/>
      <w:color w:val="4F81BD" w:themeColor="accent1"/>
      <w:sz w:val="18"/>
      <w:szCs w:val="18"/>
    </w:rPr>
  </w:style>
  <w:style w:type="paragraph" w:customStyle="1" w:styleId="normal0">
    <w:name w:val="normal"/>
    <w:rsid w:val="000136CE"/>
    <w:pPr>
      <w:pBdr>
        <w:top w:val="nil"/>
        <w:left w:val="nil"/>
        <w:bottom w:val="nil"/>
        <w:right w:val="nil"/>
        <w:between w:val="nil"/>
      </w:pBd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82467">
      <w:bodyDiv w:val="1"/>
      <w:marLeft w:val="0"/>
      <w:marRight w:val="0"/>
      <w:marTop w:val="0"/>
      <w:marBottom w:val="0"/>
      <w:divBdr>
        <w:top w:val="none" w:sz="0" w:space="0" w:color="auto"/>
        <w:left w:val="none" w:sz="0" w:space="0" w:color="auto"/>
        <w:bottom w:val="none" w:sz="0" w:space="0" w:color="auto"/>
        <w:right w:val="none" w:sz="0" w:space="0" w:color="auto"/>
      </w:divBdr>
    </w:div>
    <w:div w:id="1323241845">
      <w:bodyDiv w:val="1"/>
      <w:marLeft w:val="0"/>
      <w:marRight w:val="0"/>
      <w:marTop w:val="0"/>
      <w:marBottom w:val="0"/>
      <w:divBdr>
        <w:top w:val="none" w:sz="0" w:space="0" w:color="auto"/>
        <w:left w:val="none" w:sz="0" w:space="0" w:color="auto"/>
        <w:bottom w:val="none" w:sz="0" w:space="0" w:color="auto"/>
        <w:right w:val="none" w:sz="0" w:space="0" w:color="auto"/>
      </w:divBdr>
    </w:div>
    <w:div w:id="1465584300">
      <w:bodyDiv w:val="1"/>
      <w:marLeft w:val="0"/>
      <w:marRight w:val="0"/>
      <w:marTop w:val="0"/>
      <w:marBottom w:val="0"/>
      <w:divBdr>
        <w:top w:val="none" w:sz="0" w:space="0" w:color="auto"/>
        <w:left w:val="none" w:sz="0" w:space="0" w:color="auto"/>
        <w:bottom w:val="none" w:sz="0" w:space="0" w:color="auto"/>
        <w:right w:val="none" w:sz="0" w:space="0" w:color="auto"/>
      </w:divBdr>
    </w:div>
    <w:div w:id="1998609773">
      <w:bodyDiv w:val="1"/>
      <w:marLeft w:val="0"/>
      <w:marRight w:val="0"/>
      <w:marTop w:val="0"/>
      <w:marBottom w:val="0"/>
      <w:divBdr>
        <w:top w:val="none" w:sz="0" w:space="0" w:color="auto"/>
        <w:left w:val="none" w:sz="0" w:space="0" w:color="auto"/>
        <w:bottom w:val="none" w:sz="0" w:space="0" w:color="auto"/>
        <w:right w:val="none" w:sz="0" w:space="0" w:color="auto"/>
      </w:divBdr>
    </w:div>
    <w:div w:id="2085881855">
      <w:bodyDiv w:val="1"/>
      <w:marLeft w:val="0"/>
      <w:marRight w:val="0"/>
      <w:marTop w:val="0"/>
      <w:marBottom w:val="0"/>
      <w:divBdr>
        <w:top w:val="none" w:sz="0" w:space="0" w:color="auto"/>
        <w:left w:val="none" w:sz="0" w:space="0" w:color="auto"/>
        <w:bottom w:val="none" w:sz="0" w:space="0" w:color="auto"/>
        <w:right w:val="none" w:sz="0" w:space="0" w:color="auto"/>
      </w:divBdr>
    </w:div>
    <w:div w:id="209774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513</Words>
  <Characters>2926</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Poulikakos Dimitrios</dc:creator>
  <cp:lastModifiedBy>Lauren Kerzin-Storrar</cp:lastModifiedBy>
  <cp:revision>3</cp:revision>
  <dcterms:created xsi:type="dcterms:W3CDTF">2018-02-05T22:12:00Z</dcterms:created>
  <dcterms:modified xsi:type="dcterms:W3CDTF">2018-02-05T22:15:00Z</dcterms:modified>
</cp:coreProperties>
</file>