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CD" w:rsidRPr="00915B75" w:rsidRDefault="00247280">
      <w:pPr>
        <w:rPr>
          <w:rFonts w:ascii="Times New Roman" w:hAnsi="Times New Roman" w:cs="Times New Roman"/>
          <w:b/>
          <w:u w:val="single"/>
        </w:rPr>
      </w:pPr>
      <w:r w:rsidRPr="00915B75">
        <w:rPr>
          <w:rFonts w:ascii="Times New Roman" w:hAnsi="Times New Roman" w:cs="Times New Roman"/>
          <w:b/>
          <w:u w:val="single"/>
        </w:rPr>
        <w:t>Abstract for British Renal Society Conference</w:t>
      </w:r>
    </w:p>
    <w:p w:rsidR="00247280" w:rsidRPr="00915B75" w:rsidRDefault="00247280">
      <w:pPr>
        <w:rPr>
          <w:rFonts w:ascii="Times New Roman" w:hAnsi="Times New Roman" w:cs="Times New Roman"/>
        </w:rPr>
      </w:pPr>
      <w:r w:rsidRPr="00915B75">
        <w:rPr>
          <w:rFonts w:ascii="Times New Roman" w:hAnsi="Times New Roman" w:cs="Times New Roman"/>
          <w:b/>
        </w:rPr>
        <w:t>Title:</w:t>
      </w:r>
      <w:r w:rsidRPr="00915B75">
        <w:rPr>
          <w:rFonts w:ascii="Times New Roman" w:hAnsi="Times New Roman" w:cs="Times New Roman"/>
        </w:rPr>
        <w:t xml:space="preserve"> A quality improvement project to improve the recognition and basic management of Acute Kidney Injury (AKI)</w:t>
      </w:r>
    </w:p>
    <w:p w:rsidR="00247280" w:rsidRPr="00915B75" w:rsidRDefault="00247280">
      <w:pPr>
        <w:rPr>
          <w:rFonts w:ascii="Times New Roman" w:hAnsi="Times New Roman" w:cs="Times New Roman"/>
        </w:rPr>
      </w:pPr>
      <w:r w:rsidRPr="00915B75">
        <w:rPr>
          <w:rFonts w:ascii="Times New Roman" w:hAnsi="Times New Roman" w:cs="Times New Roman"/>
          <w:b/>
        </w:rPr>
        <w:t>Aim:</w:t>
      </w:r>
      <w:r w:rsidRPr="00915B75">
        <w:rPr>
          <w:rFonts w:ascii="Times New Roman" w:hAnsi="Times New Roman" w:cs="Times New Roman"/>
        </w:rPr>
        <w:t xml:space="preserve"> to improve the diagnosis of AKI during the acute medical take and to improve the multidisciplinary approach to the basic management of AKI.</w:t>
      </w:r>
    </w:p>
    <w:p w:rsidR="00247280" w:rsidRPr="00915B75" w:rsidRDefault="00247280">
      <w:pPr>
        <w:rPr>
          <w:rFonts w:ascii="Times New Roman" w:hAnsi="Times New Roman" w:cs="Times New Roman"/>
        </w:rPr>
      </w:pPr>
      <w:r w:rsidRPr="00915B75">
        <w:rPr>
          <w:rFonts w:ascii="Times New Roman" w:hAnsi="Times New Roman" w:cs="Times New Roman"/>
          <w:b/>
        </w:rPr>
        <w:t>Background:</w:t>
      </w:r>
      <w:r w:rsidRPr="00915B75">
        <w:rPr>
          <w:rFonts w:ascii="Times New Roman" w:hAnsi="Times New Roman" w:cs="Times New Roman"/>
        </w:rPr>
        <w:t xml:space="preserve"> Acute kidney injury (AKI) is associated with an increased patient morbidity and mortality. The NCEPOD study also showed that AKI was both inadequately investigated and managed. Currently, it costs the NHS £690 million a year to treat AKI which represents 1% of the NHS budget. It is thought that improving the current standards of care could save the NHS £150 m</w:t>
      </w:r>
      <w:r w:rsidR="00915B75">
        <w:rPr>
          <w:rFonts w:ascii="Times New Roman" w:hAnsi="Times New Roman" w:cs="Times New Roman"/>
        </w:rPr>
        <w:t>illion a year</w:t>
      </w:r>
      <w:r w:rsidRPr="00915B75">
        <w:rPr>
          <w:rFonts w:ascii="Times New Roman" w:hAnsi="Times New Roman" w:cs="Times New Roman"/>
        </w:rPr>
        <w:t>.</w:t>
      </w:r>
    </w:p>
    <w:p w:rsidR="00247280" w:rsidRPr="00915B75" w:rsidRDefault="00247280">
      <w:pPr>
        <w:rPr>
          <w:rFonts w:ascii="Times New Roman" w:hAnsi="Times New Roman" w:cs="Times New Roman"/>
        </w:rPr>
      </w:pPr>
      <w:r w:rsidRPr="00915B75">
        <w:rPr>
          <w:rFonts w:ascii="Times New Roman" w:hAnsi="Times New Roman" w:cs="Times New Roman"/>
          <w:b/>
        </w:rPr>
        <w:t>Methodology:</w:t>
      </w:r>
      <w:r w:rsidRPr="00915B75">
        <w:rPr>
          <w:rFonts w:ascii="Times New Roman" w:hAnsi="Times New Roman" w:cs="Times New Roman"/>
        </w:rPr>
        <w:t xml:space="preserve"> A basic audit was carried out at the beginning of the project to determine how well AKI is recognised and whether basic management processes suggested by NICE </w:t>
      </w:r>
      <w:proofErr w:type="gramStart"/>
      <w:r w:rsidRPr="00915B75">
        <w:rPr>
          <w:rFonts w:ascii="Times New Roman" w:hAnsi="Times New Roman" w:cs="Times New Roman"/>
        </w:rPr>
        <w:t>guidance</w:t>
      </w:r>
      <w:r w:rsidR="00915B75" w:rsidRPr="00915B75">
        <w:rPr>
          <w:rFonts w:ascii="Times New Roman" w:hAnsi="Times New Roman" w:cs="Times New Roman"/>
          <w:vertAlign w:val="superscript"/>
        </w:rPr>
        <w:t>(</w:t>
      </w:r>
      <w:proofErr w:type="gramEnd"/>
      <w:r w:rsidR="00915B75" w:rsidRPr="00915B75">
        <w:rPr>
          <w:rFonts w:ascii="Times New Roman" w:hAnsi="Times New Roman" w:cs="Times New Roman"/>
          <w:vertAlign w:val="superscript"/>
        </w:rPr>
        <w:t>1)</w:t>
      </w:r>
      <w:r w:rsidRPr="00915B75">
        <w:rPr>
          <w:rFonts w:ascii="Times New Roman" w:hAnsi="Times New Roman" w:cs="Times New Roman"/>
        </w:rPr>
        <w:t xml:space="preserve"> are carried out. This highlighted areas which require improvement. A driver diagram was created to emphasise the areas of development. For example, initially 56% of AKIs were recognised. In order to improve this PDSA cycles were created</w:t>
      </w:r>
      <w:r w:rsidR="00915B75">
        <w:rPr>
          <w:rFonts w:ascii="Times New Roman" w:hAnsi="Times New Roman" w:cs="Times New Roman"/>
        </w:rPr>
        <w:t>,</w:t>
      </w:r>
      <w:r w:rsidRPr="00915B75">
        <w:rPr>
          <w:rFonts w:ascii="Times New Roman" w:hAnsi="Times New Roman" w:cs="Times New Roman"/>
        </w:rPr>
        <w:t xml:space="preserve"> which included teaching from a renal physician and development of a poster for education. </w:t>
      </w:r>
      <w:r w:rsidR="00915B75" w:rsidRPr="00915B75">
        <w:rPr>
          <w:rFonts w:ascii="Times New Roman" w:hAnsi="Times New Roman" w:cs="Times New Roman"/>
        </w:rPr>
        <w:t>Every time</w:t>
      </w:r>
      <w:r w:rsidRPr="00915B75">
        <w:rPr>
          <w:rFonts w:ascii="Times New Roman" w:hAnsi="Times New Roman" w:cs="Times New Roman"/>
        </w:rPr>
        <w:t xml:space="preserve"> </w:t>
      </w:r>
      <w:r w:rsidR="00143852" w:rsidRPr="00915B75">
        <w:rPr>
          <w:rFonts w:ascii="Times New Roman" w:hAnsi="Times New Roman" w:cs="Times New Roman"/>
        </w:rPr>
        <w:t>a</w:t>
      </w:r>
      <w:r w:rsidRPr="00915B75">
        <w:rPr>
          <w:rFonts w:ascii="Times New Roman" w:hAnsi="Times New Roman" w:cs="Times New Roman"/>
        </w:rPr>
        <w:t xml:space="preserve"> PDSA cycle was created, a re- audit took place- through </w:t>
      </w:r>
      <w:r w:rsidR="00915B75">
        <w:rPr>
          <w:rFonts w:ascii="Times New Roman" w:hAnsi="Times New Roman" w:cs="Times New Roman"/>
        </w:rPr>
        <w:t xml:space="preserve">which </w:t>
      </w:r>
      <w:r w:rsidRPr="00915B75">
        <w:rPr>
          <w:rFonts w:ascii="Times New Roman" w:hAnsi="Times New Roman" w:cs="Times New Roman"/>
        </w:rPr>
        <w:t xml:space="preserve">10 days worth of acute take patients were reviewed prospectively. The audit data included: demographics, diagnosis, staging of AKI, urine dipstick, IV fluid prescription, fluid balance, recognition and withholding </w:t>
      </w:r>
      <w:proofErr w:type="spellStart"/>
      <w:r w:rsidRPr="00915B75">
        <w:rPr>
          <w:rFonts w:ascii="Times New Roman" w:hAnsi="Times New Roman" w:cs="Times New Roman"/>
        </w:rPr>
        <w:t>nephrotoxics</w:t>
      </w:r>
      <w:proofErr w:type="spellEnd"/>
      <w:r w:rsidRPr="00915B75">
        <w:rPr>
          <w:rFonts w:ascii="Times New Roman" w:hAnsi="Times New Roman" w:cs="Times New Roman"/>
        </w:rPr>
        <w:t xml:space="preserve"> and re- assessing renal function in 48hours. </w:t>
      </w:r>
    </w:p>
    <w:p w:rsidR="00143852" w:rsidRPr="00915B75" w:rsidRDefault="00143852">
      <w:pPr>
        <w:rPr>
          <w:rFonts w:ascii="Times New Roman" w:hAnsi="Times New Roman" w:cs="Times New Roman"/>
        </w:rPr>
      </w:pPr>
      <w:r w:rsidRPr="00915B75">
        <w:rPr>
          <w:rFonts w:ascii="Times New Roman" w:hAnsi="Times New Roman" w:cs="Times New Roman"/>
          <w:b/>
        </w:rPr>
        <w:t>Results:</w:t>
      </w:r>
      <w:r w:rsidRPr="00915B75">
        <w:rPr>
          <w:rFonts w:ascii="Times New Roman" w:hAnsi="Times New Roman" w:cs="Times New Roman"/>
        </w:rPr>
        <w:t xml:space="preserve"> We have conducted 3 PDSA cycles so far and have 3 sets of data available. Please see table below: </w:t>
      </w:r>
    </w:p>
    <w:tbl>
      <w:tblPr>
        <w:tblStyle w:val="TableGrid"/>
        <w:tblW w:w="0" w:type="auto"/>
        <w:tblLook w:val="04A0"/>
      </w:tblPr>
      <w:tblGrid>
        <w:gridCol w:w="1415"/>
        <w:gridCol w:w="1432"/>
        <w:gridCol w:w="1196"/>
        <w:gridCol w:w="1439"/>
        <w:gridCol w:w="1281"/>
        <w:gridCol w:w="1485"/>
        <w:gridCol w:w="994"/>
      </w:tblGrid>
      <w:tr w:rsidR="00143852" w:rsidRPr="00915B75" w:rsidTr="00715D8B">
        <w:tc>
          <w:tcPr>
            <w:tcW w:w="1415"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PDSA Cycle</w:t>
            </w:r>
          </w:p>
        </w:tc>
        <w:tc>
          <w:tcPr>
            <w:tcW w:w="1432"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Recognition of AKI</w:t>
            </w:r>
          </w:p>
        </w:tc>
        <w:tc>
          <w:tcPr>
            <w:tcW w:w="1196"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Urine Dip</w:t>
            </w:r>
          </w:p>
        </w:tc>
        <w:tc>
          <w:tcPr>
            <w:tcW w:w="1439"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IV Fluids prescription</w:t>
            </w:r>
          </w:p>
        </w:tc>
        <w:tc>
          <w:tcPr>
            <w:tcW w:w="1281"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Fluid Balance</w:t>
            </w:r>
          </w:p>
        </w:tc>
        <w:tc>
          <w:tcPr>
            <w:tcW w:w="1485" w:type="dxa"/>
          </w:tcPr>
          <w:p w:rsidR="00143852" w:rsidRPr="00915B75" w:rsidRDefault="00143852" w:rsidP="00715D8B">
            <w:pPr>
              <w:rPr>
                <w:rFonts w:ascii="Times New Roman" w:hAnsi="Times New Roman" w:cs="Times New Roman"/>
              </w:rPr>
            </w:pPr>
            <w:proofErr w:type="spellStart"/>
            <w:r w:rsidRPr="00915B75">
              <w:rPr>
                <w:rFonts w:ascii="Times New Roman" w:hAnsi="Times New Roman" w:cs="Times New Roman"/>
              </w:rPr>
              <w:t>Nephrotoxics</w:t>
            </w:r>
            <w:proofErr w:type="spellEnd"/>
            <w:r w:rsidRPr="00915B75">
              <w:rPr>
                <w:rFonts w:ascii="Times New Roman" w:hAnsi="Times New Roman" w:cs="Times New Roman"/>
              </w:rPr>
              <w:t xml:space="preserve"> Stopped</w:t>
            </w:r>
          </w:p>
        </w:tc>
        <w:tc>
          <w:tcPr>
            <w:tcW w:w="994"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48hour review</w:t>
            </w:r>
          </w:p>
        </w:tc>
      </w:tr>
      <w:tr w:rsidR="00143852" w:rsidRPr="00915B75" w:rsidTr="00715D8B">
        <w:tc>
          <w:tcPr>
            <w:tcW w:w="1415"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Preliminary audit</w:t>
            </w:r>
          </w:p>
        </w:tc>
        <w:tc>
          <w:tcPr>
            <w:tcW w:w="1432"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56%</w:t>
            </w:r>
          </w:p>
        </w:tc>
        <w:tc>
          <w:tcPr>
            <w:tcW w:w="1196"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35%</w:t>
            </w:r>
          </w:p>
        </w:tc>
        <w:tc>
          <w:tcPr>
            <w:tcW w:w="1439"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45%</w:t>
            </w:r>
          </w:p>
        </w:tc>
        <w:tc>
          <w:tcPr>
            <w:tcW w:w="1281"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30%</w:t>
            </w:r>
          </w:p>
        </w:tc>
        <w:tc>
          <w:tcPr>
            <w:tcW w:w="1485"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33%</w:t>
            </w:r>
          </w:p>
        </w:tc>
        <w:tc>
          <w:tcPr>
            <w:tcW w:w="994"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55%</w:t>
            </w:r>
          </w:p>
        </w:tc>
      </w:tr>
      <w:tr w:rsidR="00143852" w:rsidRPr="00915B75" w:rsidTr="00715D8B">
        <w:tc>
          <w:tcPr>
            <w:tcW w:w="1415"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Cycle 2</w:t>
            </w:r>
          </w:p>
          <w:p w:rsidR="00143852" w:rsidRPr="00915B75" w:rsidRDefault="00143852" w:rsidP="00715D8B">
            <w:pPr>
              <w:rPr>
                <w:rFonts w:ascii="Times New Roman" w:hAnsi="Times New Roman" w:cs="Times New Roman"/>
              </w:rPr>
            </w:pPr>
          </w:p>
        </w:tc>
        <w:tc>
          <w:tcPr>
            <w:tcW w:w="1432"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94%</w:t>
            </w:r>
          </w:p>
        </w:tc>
        <w:tc>
          <w:tcPr>
            <w:tcW w:w="1196"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67%</w:t>
            </w:r>
          </w:p>
        </w:tc>
        <w:tc>
          <w:tcPr>
            <w:tcW w:w="1439"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100%</w:t>
            </w:r>
          </w:p>
        </w:tc>
        <w:tc>
          <w:tcPr>
            <w:tcW w:w="1281"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50%</w:t>
            </w:r>
          </w:p>
        </w:tc>
        <w:tc>
          <w:tcPr>
            <w:tcW w:w="1485"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0%</w:t>
            </w:r>
          </w:p>
        </w:tc>
        <w:tc>
          <w:tcPr>
            <w:tcW w:w="994"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100%</w:t>
            </w:r>
          </w:p>
        </w:tc>
      </w:tr>
      <w:tr w:rsidR="00143852" w:rsidRPr="00915B75" w:rsidTr="00715D8B">
        <w:tc>
          <w:tcPr>
            <w:tcW w:w="1415"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Cycle3</w:t>
            </w:r>
          </w:p>
          <w:p w:rsidR="00143852" w:rsidRPr="00915B75" w:rsidRDefault="00143852" w:rsidP="00715D8B">
            <w:pPr>
              <w:rPr>
                <w:rFonts w:ascii="Times New Roman" w:hAnsi="Times New Roman" w:cs="Times New Roman"/>
              </w:rPr>
            </w:pPr>
          </w:p>
        </w:tc>
        <w:tc>
          <w:tcPr>
            <w:tcW w:w="1432"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86%</w:t>
            </w:r>
          </w:p>
        </w:tc>
        <w:tc>
          <w:tcPr>
            <w:tcW w:w="1196"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50%</w:t>
            </w:r>
          </w:p>
        </w:tc>
        <w:tc>
          <w:tcPr>
            <w:tcW w:w="1439"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93%</w:t>
            </w:r>
          </w:p>
        </w:tc>
        <w:tc>
          <w:tcPr>
            <w:tcW w:w="1281"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64%</w:t>
            </w:r>
          </w:p>
        </w:tc>
        <w:tc>
          <w:tcPr>
            <w:tcW w:w="1485"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50%</w:t>
            </w:r>
          </w:p>
        </w:tc>
        <w:tc>
          <w:tcPr>
            <w:tcW w:w="994" w:type="dxa"/>
          </w:tcPr>
          <w:p w:rsidR="00143852" w:rsidRPr="00915B75" w:rsidRDefault="00143852" w:rsidP="00715D8B">
            <w:pPr>
              <w:rPr>
                <w:rFonts w:ascii="Times New Roman" w:hAnsi="Times New Roman" w:cs="Times New Roman"/>
              </w:rPr>
            </w:pPr>
            <w:r w:rsidRPr="00915B75">
              <w:rPr>
                <w:rFonts w:ascii="Times New Roman" w:hAnsi="Times New Roman" w:cs="Times New Roman"/>
              </w:rPr>
              <w:t>82%</w:t>
            </w:r>
          </w:p>
        </w:tc>
      </w:tr>
    </w:tbl>
    <w:p w:rsidR="00143852" w:rsidRDefault="00915B75">
      <w:pPr>
        <w:rPr>
          <w:rFonts w:ascii="Times New Roman" w:hAnsi="Times New Roman" w:cs="Times New Roman"/>
        </w:rPr>
      </w:pPr>
      <w:r w:rsidRPr="00915B75">
        <w:rPr>
          <w:rFonts w:ascii="Times New Roman" w:hAnsi="Times New Roman" w:cs="Times New Roman"/>
          <w:b/>
        </w:rPr>
        <w:t>R</w:t>
      </w:r>
      <w:r w:rsidR="00143852" w:rsidRPr="00915B75">
        <w:rPr>
          <w:rFonts w:ascii="Times New Roman" w:hAnsi="Times New Roman" w:cs="Times New Roman"/>
          <w:b/>
        </w:rPr>
        <w:t>ecommendations:</w:t>
      </w:r>
      <w:r w:rsidR="00143852" w:rsidRPr="00915B75">
        <w:rPr>
          <w:rFonts w:ascii="Times New Roman" w:hAnsi="Times New Roman" w:cs="Times New Roman"/>
        </w:rPr>
        <w:t xml:space="preserve"> In conclusion, there is a lot more work that needs to conducted in order to meet targets. We have managed to improve recognition and fluid balance; through education. However, we are still failing to conduct and document a urine dipstick in half the patients. Also, </w:t>
      </w:r>
      <w:proofErr w:type="spellStart"/>
      <w:r w:rsidR="0064572E">
        <w:rPr>
          <w:rFonts w:ascii="Times New Roman" w:hAnsi="Times New Roman" w:cs="Times New Roman"/>
        </w:rPr>
        <w:t>nephrotoxics</w:t>
      </w:r>
      <w:proofErr w:type="spellEnd"/>
      <w:r w:rsidR="0064572E">
        <w:rPr>
          <w:rFonts w:ascii="Times New Roman" w:hAnsi="Times New Roman" w:cs="Times New Roman"/>
        </w:rPr>
        <w:t xml:space="preserve"> are not being held. </w:t>
      </w:r>
      <w:r w:rsidR="00143852" w:rsidRPr="00915B75">
        <w:rPr>
          <w:rFonts w:ascii="Times New Roman" w:hAnsi="Times New Roman" w:cs="Times New Roman"/>
        </w:rPr>
        <w:t>In order</w:t>
      </w:r>
      <w:r>
        <w:rPr>
          <w:rFonts w:ascii="Times New Roman" w:hAnsi="Times New Roman" w:cs="Times New Roman"/>
        </w:rPr>
        <w:t xml:space="preserve"> to enhance improvements</w:t>
      </w:r>
      <w:r w:rsidR="00143852" w:rsidRPr="00915B75">
        <w:rPr>
          <w:rFonts w:ascii="Times New Roman" w:hAnsi="Times New Roman" w:cs="Times New Roman"/>
        </w:rPr>
        <w:t xml:space="preserve">, we have developed an AKI </w:t>
      </w:r>
      <w:proofErr w:type="spellStart"/>
      <w:r w:rsidR="00143852" w:rsidRPr="00915B75">
        <w:rPr>
          <w:rFonts w:ascii="Times New Roman" w:hAnsi="Times New Roman" w:cs="Times New Roman"/>
        </w:rPr>
        <w:t>proforma</w:t>
      </w:r>
      <w:proofErr w:type="spellEnd"/>
      <w:r w:rsidR="00143852" w:rsidRPr="00915B75">
        <w:rPr>
          <w:rFonts w:ascii="Times New Roman" w:hAnsi="Times New Roman" w:cs="Times New Roman"/>
        </w:rPr>
        <w:t xml:space="preserve"> sticker. This will be a checklist</w:t>
      </w:r>
      <w:r>
        <w:rPr>
          <w:rFonts w:ascii="Times New Roman" w:hAnsi="Times New Roman" w:cs="Times New Roman"/>
        </w:rPr>
        <w:t>, which needs</w:t>
      </w:r>
      <w:r w:rsidR="00143852" w:rsidRPr="00915B75">
        <w:rPr>
          <w:rFonts w:ascii="Times New Roman" w:hAnsi="Times New Roman" w:cs="Times New Roman"/>
        </w:rPr>
        <w:t xml:space="preserve"> to be completed and placed in the patients</w:t>
      </w:r>
      <w:r>
        <w:rPr>
          <w:rFonts w:ascii="Times New Roman" w:hAnsi="Times New Roman" w:cs="Times New Roman"/>
        </w:rPr>
        <w:t>’</w:t>
      </w:r>
      <w:r w:rsidR="00143852" w:rsidRPr="00915B75">
        <w:rPr>
          <w:rFonts w:ascii="Times New Roman" w:hAnsi="Times New Roman" w:cs="Times New Roman"/>
        </w:rPr>
        <w:t xml:space="preserve"> notes once the AKI is recognised. The role of the </w:t>
      </w:r>
      <w:proofErr w:type="spellStart"/>
      <w:r w:rsidR="00143852" w:rsidRPr="00915B75">
        <w:rPr>
          <w:rFonts w:ascii="Times New Roman" w:hAnsi="Times New Roman" w:cs="Times New Roman"/>
        </w:rPr>
        <w:t>proforma</w:t>
      </w:r>
      <w:proofErr w:type="spellEnd"/>
      <w:r w:rsidR="00143852" w:rsidRPr="00915B75">
        <w:rPr>
          <w:rFonts w:ascii="Times New Roman" w:hAnsi="Times New Roman" w:cs="Times New Roman"/>
        </w:rPr>
        <w:t xml:space="preserve"> is very similar to the sepsis </w:t>
      </w:r>
      <w:proofErr w:type="spellStart"/>
      <w:r w:rsidR="00143852" w:rsidRPr="00915B75">
        <w:rPr>
          <w:rFonts w:ascii="Times New Roman" w:hAnsi="Times New Roman" w:cs="Times New Roman"/>
        </w:rPr>
        <w:t>proforma</w:t>
      </w:r>
      <w:proofErr w:type="spellEnd"/>
      <w:r w:rsidR="00143852" w:rsidRPr="00915B75">
        <w:rPr>
          <w:rFonts w:ascii="Times New Roman" w:hAnsi="Times New Roman" w:cs="Times New Roman"/>
        </w:rPr>
        <w:t xml:space="preserve">; whereby it acts as a form of communication and gives each </w:t>
      </w:r>
      <w:r>
        <w:rPr>
          <w:rFonts w:ascii="Times New Roman" w:hAnsi="Times New Roman" w:cs="Times New Roman"/>
        </w:rPr>
        <w:t>team member a role. We</w:t>
      </w:r>
      <w:r w:rsidR="00143852" w:rsidRPr="00915B75">
        <w:rPr>
          <w:rFonts w:ascii="Times New Roman" w:hAnsi="Times New Roman" w:cs="Times New Roman"/>
        </w:rPr>
        <w:t xml:space="preserve"> </w:t>
      </w:r>
      <w:r>
        <w:rPr>
          <w:rFonts w:ascii="Times New Roman" w:hAnsi="Times New Roman" w:cs="Times New Roman"/>
        </w:rPr>
        <w:t xml:space="preserve">have also </w:t>
      </w:r>
      <w:r w:rsidR="00143852" w:rsidRPr="00915B75">
        <w:rPr>
          <w:rFonts w:ascii="Times New Roman" w:hAnsi="Times New Roman" w:cs="Times New Roman"/>
        </w:rPr>
        <w:t>develop</w:t>
      </w:r>
      <w:r>
        <w:rPr>
          <w:rFonts w:ascii="Times New Roman" w:hAnsi="Times New Roman" w:cs="Times New Roman"/>
        </w:rPr>
        <w:t>ed</w:t>
      </w:r>
      <w:r w:rsidR="00143852" w:rsidRPr="00915B75">
        <w:rPr>
          <w:rFonts w:ascii="Times New Roman" w:hAnsi="Times New Roman" w:cs="Times New Roman"/>
        </w:rPr>
        <w:t xml:space="preserve"> a list of </w:t>
      </w:r>
      <w:proofErr w:type="spellStart"/>
      <w:r w:rsidR="00143852" w:rsidRPr="00915B75">
        <w:rPr>
          <w:rFonts w:ascii="Times New Roman" w:hAnsi="Times New Roman" w:cs="Times New Roman"/>
        </w:rPr>
        <w:t>nephrotoxic</w:t>
      </w:r>
      <w:proofErr w:type="spellEnd"/>
      <w:r w:rsidR="00143852" w:rsidRPr="00915B75">
        <w:rPr>
          <w:rFonts w:ascii="Times New Roman" w:hAnsi="Times New Roman" w:cs="Times New Roman"/>
        </w:rPr>
        <w:t xml:space="preserve"> medications and </w:t>
      </w:r>
      <w:r>
        <w:rPr>
          <w:rFonts w:ascii="Times New Roman" w:hAnsi="Times New Roman" w:cs="Times New Roman"/>
        </w:rPr>
        <w:t xml:space="preserve">will </w:t>
      </w:r>
      <w:r w:rsidR="00143852" w:rsidRPr="00915B75">
        <w:rPr>
          <w:rFonts w:ascii="Times New Roman" w:hAnsi="Times New Roman" w:cs="Times New Roman"/>
        </w:rPr>
        <w:t xml:space="preserve">display it on the nurses’ drug trolley once </w:t>
      </w:r>
      <w:r>
        <w:rPr>
          <w:rFonts w:ascii="Times New Roman" w:hAnsi="Times New Roman" w:cs="Times New Roman"/>
        </w:rPr>
        <w:t xml:space="preserve">it is </w:t>
      </w:r>
      <w:r w:rsidR="00143852" w:rsidRPr="00915B75">
        <w:rPr>
          <w:rFonts w:ascii="Times New Roman" w:hAnsi="Times New Roman" w:cs="Times New Roman"/>
        </w:rPr>
        <w:t>approved by the renal team and pharmacist. This will give the nurses more confidence</w:t>
      </w:r>
      <w:r w:rsidRPr="00915B75">
        <w:rPr>
          <w:rFonts w:ascii="Times New Roman" w:hAnsi="Times New Roman" w:cs="Times New Roman"/>
        </w:rPr>
        <w:t xml:space="preserve"> to question certain prescriptions. We also aim to provide catheter teaching to all the </w:t>
      </w:r>
      <w:r>
        <w:rPr>
          <w:rFonts w:ascii="Times New Roman" w:hAnsi="Times New Roman" w:cs="Times New Roman"/>
        </w:rPr>
        <w:t xml:space="preserve">senior </w:t>
      </w:r>
      <w:r w:rsidRPr="00915B75">
        <w:rPr>
          <w:rFonts w:ascii="Times New Roman" w:hAnsi="Times New Roman" w:cs="Times New Roman"/>
        </w:rPr>
        <w:t xml:space="preserve">nursing staff, which will allow incontinent patients to have urine dipsticks conducted. Teamwork and enthusiasm will help us improve the recognition and management of AKI. </w:t>
      </w:r>
    </w:p>
    <w:p w:rsidR="00000000" w:rsidRPr="00915B75" w:rsidRDefault="00915B75" w:rsidP="00915B75">
      <w:pPr>
        <w:rPr>
          <w:rFonts w:ascii="Times New Roman" w:hAnsi="Times New Roman" w:cs="Times New Roman"/>
        </w:rPr>
      </w:pPr>
      <w:r w:rsidRPr="00915B75">
        <w:rPr>
          <w:rFonts w:ascii="Times New Roman" w:hAnsi="Times New Roman" w:cs="Times New Roman"/>
        </w:rPr>
        <w:t xml:space="preserve">Reference: 1. </w:t>
      </w:r>
      <w:r w:rsidR="0064572E" w:rsidRPr="00915B75">
        <w:rPr>
          <w:rFonts w:ascii="Times New Roman" w:hAnsi="Times New Roman" w:cs="Times New Roman"/>
        </w:rPr>
        <w:t>NICE GUID</w:t>
      </w:r>
      <w:r>
        <w:rPr>
          <w:rFonts w:ascii="Times New Roman" w:hAnsi="Times New Roman" w:cs="Times New Roman"/>
        </w:rPr>
        <w:t>E</w:t>
      </w:r>
      <w:r w:rsidR="0064572E" w:rsidRPr="00915B75">
        <w:rPr>
          <w:rFonts w:ascii="Times New Roman" w:hAnsi="Times New Roman" w:cs="Times New Roman"/>
        </w:rPr>
        <w:t>LINES: https://www.nice.org.uk/guidance/cg169/chapter/1-Recommendations</w:t>
      </w:r>
    </w:p>
    <w:p w:rsidR="00915B75" w:rsidRDefault="00915B75">
      <w:pPr>
        <w:rPr>
          <w:rFonts w:ascii="Times New Roman" w:hAnsi="Times New Roman" w:cs="Times New Roman"/>
        </w:rPr>
      </w:pPr>
    </w:p>
    <w:p w:rsidR="00915B75" w:rsidRDefault="00915B75">
      <w:pPr>
        <w:rPr>
          <w:rFonts w:ascii="Times New Roman" w:hAnsi="Times New Roman" w:cs="Times New Roman"/>
        </w:rPr>
      </w:pPr>
    </w:p>
    <w:p w:rsidR="00915B75" w:rsidRPr="00915B75" w:rsidRDefault="00915B75">
      <w:pPr>
        <w:rPr>
          <w:rFonts w:ascii="Times New Roman" w:hAnsi="Times New Roman" w:cs="Times New Roman"/>
        </w:rPr>
      </w:pPr>
    </w:p>
    <w:sectPr w:rsidR="00915B75" w:rsidRPr="00915B75" w:rsidSect="008533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1C6A"/>
    <w:multiLevelType w:val="hybridMultilevel"/>
    <w:tmpl w:val="8A4603D0"/>
    <w:lvl w:ilvl="0" w:tplc="BF385BC2">
      <w:start w:val="1"/>
      <w:numFmt w:val="bullet"/>
      <w:lvlText w:val=""/>
      <w:lvlJc w:val="left"/>
      <w:pPr>
        <w:tabs>
          <w:tab w:val="num" w:pos="720"/>
        </w:tabs>
        <w:ind w:left="720" w:hanging="360"/>
      </w:pPr>
      <w:rPr>
        <w:rFonts w:ascii="Wingdings" w:hAnsi="Wingdings" w:hint="default"/>
      </w:rPr>
    </w:lvl>
    <w:lvl w:ilvl="1" w:tplc="89A29732" w:tentative="1">
      <w:start w:val="1"/>
      <w:numFmt w:val="bullet"/>
      <w:lvlText w:val=""/>
      <w:lvlJc w:val="left"/>
      <w:pPr>
        <w:tabs>
          <w:tab w:val="num" w:pos="1440"/>
        </w:tabs>
        <w:ind w:left="1440" w:hanging="360"/>
      </w:pPr>
      <w:rPr>
        <w:rFonts w:ascii="Wingdings" w:hAnsi="Wingdings" w:hint="default"/>
      </w:rPr>
    </w:lvl>
    <w:lvl w:ilvl="2" w:tplc="EEA279C8" w:tentative="1">
      <w:start w:val="1"/>
      <w:numFmt w:val="bullet"/>
      <w:lvlText w:val=""/>
      <w:lvlJc w:val="left"/>
      <w:pPr>
        <w:tabs>
          <w:tab w:val="num" w:pos="2160"/>
        </w:tabs>
        <w:ind w:left="2160" w:hanging="360"/>
      </w:pPr>
      <w:rPr>
        <w:rFonts w:ascii="Wingdings" w:hAnsi="Wingdings" w:hint="default"/>
      </w:rPr>
    </w:lvl>
    <w:lvl w:ilvl="3" w:tplc="78862448" w:tentative="1">
      <w:start w:val="1"/>
      <w:numFmt w:val="bullet"/>
      <w:lvlText w:val=""/>
      <w:lvlJc w:val="left"/>
      <w:pPr>
        <w:tabs>
          <w:tab w:val="num" w:pos="2880"/>
        </w:tabs>
        <w:ind w:left="2880" w:hanging="360"/>
      </w:pPr>
      <w:rPr>
        <w:rFonts w:ascii="Wingdings" w:hAnsi="Wingdings" w:hint="default"/>
      </w:rPr>
    </w:lvl>
    <w:lvl w:ilvl="4" w:tplc="41887F46" w:tentative="1">
      <w:start w:val="1"/>
      <w:numFmt w:val="bullet"/>
      <w:lvlText w:val=""/>
      <w:lvlJc w:val="left"/>
      <w:pPr>
        <w:tabs>
          <w:tab w:val="num" w:pos="3600"/>
        </w:tabs>
        <w:ind w:left="3600" w:hanging="360"/>
      </w:pPr>
      <w:rPr>
        <w:rFonts w:ascii="Wingdings" w:hAnsi="Wingdings" w:hint="default"/>
      </w:rPr>
    </w:lvl>
    <w:lvl w:ilvl="5" w:tplc="262A9608" w:tentative="1">
      <w:start w:val="1"/>
      <w:numFmt w:val="bullet"/>
      <w:lvlText w:val=""/>
      <w:lvlJc w:val="left"/>
      <w:pPr>
        <w:tabs>
          <w:tab w:val="num" w:pos="4320"/>
        </w:tabs>
        <w:ind w:left="4320" w:hanging="360"/>
      </w:pPr>
      <w:rPr>
        <w:rFonts w:ascii="Wingdings" w:hAnsi="Wingdings" w:hint="default"/>
      </w:rPr>
    </w:lvl>
    <w:lvl w:ilvl="6" w:tplc="301A9DF2" w:tentative="1">
      <w:start w:val="1"/>
      <w:numFmt w:val="bullet"/>
      <w:lvlText w:val=""/>
      <w:lvlJc w:val="left"/>
      <w:pPr>
        <w:tabs>
          <w:tab w:val="num" w:pos="5040"/>
        </w:tabs>
        <w:ind w:left="5040" w:hanging="360"/>
      </w:pPr>
      <w:rPr>
        <w:rFonts w:ascii="Wingdings" w:hAnsi="Wingdings" w:hint="default"/>
      </w:rPr>
    </w:lvl>
    <w:lvl w:ilvl="7" w:tplc="F8E641B4" w:tentative="1">
      <w:start w:val="1"/>
      <w:numFmt w:val="bullet"/>
      <w:lvlText w:val=""/>
      <w:lvlJc w:val="left"/>
      <w:pPr>
        <w:tabs>
          <w:tab w:val="num" w:pos="5760"/>
        </w:tabs>
        <w:ind w:left="5760" w:hanging="360"/>
      </w:pPr>
      <w:rPr>
        <w:rFonts w:ascii="Wingdings" w:hAnsi="Wingdings" w:hint="default"/>
      </w:rPr>
    </w:lvl>
    <w:lvl w:ilvl="8" w:tplc="0842052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47280"/>
    <w:rsid w:val="00143852"/>
    <w:rsid w:val="00247280"/>
    <w:rsid w:val="0064572E"/>
    <w:rsid w:val="008533CD"/>
    <w:rsid w:val="00915B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C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5B7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07385408">
      <w:bodyDiv w:val="1"/>
      <w:marLeft w:val="0"/>
      <w:marRight w:val="0"/>
      <w:marTop w:val="0"/>
      <w:marBottom w:val="0"/>
      <w:divBdr>
        <w:top w:val="none" w:sz="0" w:space="0" w:color="auto"/>
        <w:left w:val="none" w:sz="0" w:space="0" w:color="auto"/>
        <w:bottom w:val="none" w:sz="0" w:space="0" w:color="auto"/>
        <w:right w:val="none" w:sz="0" w:space="0" w:color="auto"/>
      </w:divBdr>
      <w:divsChild>
        <w:div w:id="177146850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2018-01-06T16:46:00Z</dcterms:created>
  <dcterms:modified xsi:type="dcterms:W3CDTF">2018-01-06T17:18:00Z</dcterms:modified>
</cp:coreProperties>
</file>