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134" w:rsidRPr="006C2D8A" w:rsidRDefault="00D47D63" w:rsidP="001417EA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 retrospective audit examining </w:t>
      </w:r>
      <w:r w:rsidR="00CC3134" w:rsidRPr="006C2D8A">
        <w:rPr>
          <w:rFonts w:ascii="Times New Roman" w:hAnsi="Times New Roman" w:cs="Times New Roman"/>
          <w:b/>
          <w:u w:val="single"/>
        </w:rPr>
        <w:t xml:space="preserve">bone parameters in haemodialysis </w:t>
      </w:r>
      <w:r w:rsidR="002A5821">
        <w:rPr>
          <w:rFonts w:ascii="Times New Roman" w:hAnsi="Times New Roman" w:cs="Times New Roman"/>
          <w:b/>
          <w:u w:val="single"/>
        </w:rPr>
        <w:t xml:space="preserve">patients </w:t>
      </w:r>
      <w:r w:rsidR="00054A02">
        <w:rPr>
          <w:rFonts w:ascii="Times New Roman" w:hAnsi="Times New Roman" w:cs="Times New Roman"/>
          <w:b/>
          <w:u w:val="single"/>
        </w:rPr>
        <w:t xml:space="preserve">in relation to </w:t>
      </w:r>
      <w:r w:rsidR="00BE73F2">
        <w:rPr>
          <w:rFonts w:ascii="Times New Roman" w:hAnsi="Times New Roman" w:cs="Times New Roman"/>
          <w:b/>
          <w:u w:val="single"/>
        </w:rPr>
        <w:t xml:space="preserve">prescribed phosphate binders and </w:t>
      </w:r>
      <w:r w:rsidR="002A5821">
        <w:rPr>
          <w:rFonts w:ascii="Times New Roman" w:hAnsi="Times New Roman" w:cs="Times New Roman"/>
          <w:b/>
          <w:u w:val="single"/>
        </w:rPr>
        <w:t xml:space="preserve">active </w:t>
      </w:r>
      <w:r w:rsidR="00BE73F2">
        <w:rPr>
          <w:rFonts w:ascii="Times New Roman" w:hAnsi="Times New Roman" w:cs="Times New Roman"/>
          <w:b/>
          <w:u w:val="single"/>
        </w:rPr>
        <w:t>vitamin D analogues</w:t>
      </w:r>
    </w:p>
    <w:p w:rsidR="00335125" w:rsidRDefault="00CC3134" w:rsidP="0033512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417EA">
        <w:rPr>
          <w:rFonts w:ascii="Times New Roman" w:hAnsi="Times New Roman" w:cs="Times New Roman"/>
          <w:b/>
        </w:rPr>
        <w:t>Background</w:t>
      </w:r>
      <w:r w:rsidR="001417EA">
        <w:rPr>
          <w:rFonts w:ascii="Times New Roman" w:hAnsi="Times New Roman" w:cs="Times New Roman"/>
          <w:b/>
        </w:rPr>
        <w:t xml:space="preserve"> </w:t>
      </w:r>
    </w:p>
    <w:p w:rsidR="00324F24" w:rsidRDefault="00324F24" w:rsidP="003351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</w:t>
      </w:r>
      <w:r w:rsidR="006C2D8A" w:rsidRPr="006C2D8A">
        <w:rPr>
          <w:rFonts w:ascii="Times New Roman" w:hAnsi="Times New Roman" w:cs="Times New Roman"/>
        </w:rPr>
        <w:t xml:space="preserve"> renal multi-disciplinary team</w:t>
      </w:r>
      <w:r w:rsidR="00335125">
        <w:rPr>
          <w:rFonts w:ascii="Times New Roman" w:hAnsi="Times New Roman" w:cs="Times New Roman"/>
        </w:rPr>
        <w:t xml:space="preserve"> (MDT)</w:t>
      </w:r>
      <w:r w:rsidR="006C2D8A" w:rsidRPr="006C2D8A">
        <w:rPr>
          <w:rFonts w:ascii="Times New Roman" w:hAnsi="Times New Roman" w:cs="Times New Roman"/>
        </w:rPr>
        <w:t xml:space="preserve"> </w:t>
      </w:r>
      <w:r w:rsidR="000D278D">
        <w:rPr>
          <w:rFonts w:ascii="Times New Roman" w:hAnsi="Times New Roman" w:cs="Times New Roman"/>
        </w:rPr>
        <w:t>monitor</w:t>
      </w:r>
      <w:r w:rsidR="000D278D" w:rsidRPr="006C2D8A">
        <w:rPr>
          <w:rFonts w:ascii="Times New Roman" w:hAnsi="Times New Roman" w:cs="Times New Roman"/>
        </w:rPr>
        <w:t xml:space="preserve"> </w:t>
      </w:r>
      <w:r w:rsidR="00CC3134" w:rsidRPr="006C2D8A">
        <w:rPr>
          <w:rFonts w:ascii="Times New Roman" w:hAnsi="Times New Roman" w:cs="Times New Roman"/>
        </w:rPr>
        <w:t xml:space="preserve">pre-dialysis calcium, phosphate &amp; parathyroid levels (PTH) quarterly in all our haemodialysis </w:t>
      </w:r>
      <w:r>
        <w:rPr>
          <w:rFonts w:ascii="Times New Roman" w:hAnsi="Times New Roman" w:cs="Times New Roman"/>
        </w:rPr>
        <w:t xml:space="preserve">(HD) </w:t>
      </w:r>
      <w:r w:rsidR="00CC3134" w:rsidRPr="006C2D8A">
        <w:rPr>
          <w:rFonts w:ascii="Times New Roman" w:hAnsi="Times New Roman" w:cs="Times New Roman"/>
        </w:rPr>
        <w:t xml:space="preserve">patients and </w:t>
      </w:r>
      <w:r>
        <w:rPr>
          <w:rFonts w:ascii="Times New Roman" w:hAnsi="Times New Roman" w:cs="Times New Roman"/>
        </w:rPr>
        <w:t>assess</w:t>
      </w:r>
      <w:r w:rsidR="00CC3134" w:rsidRPr="006C2D8A">
        <w:rPr>
          <w:rFonts w:ascii="Times New Roman" w:hAnsi="Times New Roman" w:cs="Times New Roman"/>
        </w:rPr>
        <w:t xml:space="preserve"> these </w:t>
      </w:r>
      <w:r>
        <w:rPr>
          <w:rFonts w:ascii="Times New Roman" w:hAnsi="Times New Roman" w:cs="Times New Roman"/>
        </w:rPr>
        <w:t>against</w:t>
      </w:r>
      <w:r w:rsidR="0009693C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 xml:space="preserve">2010 </w:t>
      </w:r>
      <w:r w:rsidR="00BE73F2">
        <w:rPr>
          <w:rFonts w:ascii="Times New Roman" w:hAnsi="Times New Roman" w:cs="Times New Roman"/>
        </w:rPr>
        <w:t>Renal Association</w:t>
      </w:r>
      <w:r>
        <w:rPr>
          <w:rFonts w:ascii="Times New Roman" w:hAnsi="Times New Roman" w:cs="Times New Roman"/>
        </w:rPr>
        <w:t xml:space="preserve"> (RA)</w:t>
      </w:r>
      <w:r w:rsidR="00BE73F2">
        <w:rPr>
          <w:rFonts w:ascii="Times New Roman" w:hAnsi="Times New Roman" w:cs="Times New Roman"/>
        </w:rPr>
        <w:t xml:space="preserve"> Chronic Kidney Disease </w:t>
      </w:r>
      <w:hyperlink r:id="rId4" w:history="1">
        <w:r w:rsidR="00BE73F2" w:rsidRPr="00324F24">
          <w:rPr>
            <w:rStyle w:val="Hyperlink"/>
            <w:rFonts w:ascii="Roboto" w:hAnsi="Roboto"/>
            <w:color w:val="auto"/>
          </w:rPr>
          <w:t>- Mineral and Bone Disorders (CKD-MBD)</w:t>
        </w:r>
      </w:hyperlink>
      <w:r w:rsidR="00E20908" w:rsidRPr="00324F24">
        <w:rPr>
          <w:rFonts w:ascii="Times New Roman" w:hAnsi="Times New Roman" w:cs="Times New Roman"/>
        </w:rPr>
        <w:t xml:space="preserve"> </w:t>
      </w:r>
      <w:r w:rsidR="00BE73F2">
        <w:rPr>
          <w:rFonts w:ascii="Times New Roman" w:hAnsi="Times New Roman" w:cs="Times New Roman"/>
        </w:rPr>
        <w:t>guidelines</w:t>
      </w:r>
      <w:r w:rsidR="00CC3134" w:rsidRPr="006C2D8A">
        <w:rPr>
          <w:rFonts w:ascii="Times New Roman" w:hAnsi="Times New Roman" w:cs="Times New Roman"/>
        </w:rPr>
        <w:t xml:space="preserve">. </w:t>
      </w:r>
      <w:r w:rsidR="00BE73F2">
        <w:rPr>
          <w:rFonts w:ascii="Times New Roman" w:hAnsi="Times New Roman" w:cs="Times New Roman"/>
        </w:rPr>
        <w:t xml:space="preserve">The audit presented here </w:t>
      </w:r>
      <w:r w:rsidR="00D47D63">
        <w:rPr>
          <w:rFonts w:ascii="Times New Roman" w:hAnsi="Times New Roman" w:cs="Times New Roman"/>
        </w:rPr>
        <w:t>focus</w:t>
      </w:r>
      <w:r w:rsidR="0005320D">
        <w:rPr>
          <w:rFonts w:ascii="Times New Roman" w:hAnsi="Times New Roman" w:cs="Times New Roman"/>
        </w:rPr>
        <w:t>ed</w:t>
      </w:r>
      <w:r w:rsidR="00D47D63">
        <w:rPr>
          <w:rFonts w:ascii="Times New Roman" w:hAnsi="Times New Roman" w:cs="Times New Roman"/>
        </w:rPr>
        <w:t xml:space="preserve"> on </w:t>
      </w:r>
      <w:r w:rsidR="00D47D63" w:rsidRPr="00D47D63">
        <w:rPr>
          <w:rFonts w:ascii="Times New Roman" w:hAnsi="Times New Roman" w:cs="Times New Roman"/>
        </w:rPr>
        <w:t>a sub-group of satellite dialysis patients</w:t>
      </w:r>
      <w:r w:rsidR="000F29CB">
        <w:rPr>
          <w:rFonts w:ascii="Times New Roman" w:hAnsi="Times New Roman" w:cs="Times New Roman"/>
        </w:rPr>
        <w:t xml:space="preserve"> </w:t>
      </w:r>
      <w:r w:rsidR="000F29CB" w:rsidRPr="000F29CB">
        <w:rPr>
          <w:rFonts w:ascii="Times New Roman" w:hAnsi="Times New Roman" w:cs="Times New Roman"/>
        </w:rPr>
        <w:t>(n = 75)</w:t>
      </w:r>
      <w:r w:rsidR="0005320D" w:rsidRPr="000F29CB">
        <w:rPr>
          <w:rFonts w:ascii="Times New Roman" w:hAnsi="Times New Roman" w:cs="Times New Roman"/>
        </w:rPr>
        <w:t xml:space="preserve">, </w:t>
      </w:r>
      <w:r w:rsidR="00BE73F2">
        <w:rPr>
          <w:rFonts w:ascii="Times New Roman" w:hAnsi="Times New Roman" w:cs="Times New Roman"/>
        </w:rPr>
        <w:t xml:space="preserve">and </w:t>
      </w:r>
      <w:r w:rsidR="00E45C1E">
        <w:rPr>
          <w:rFonts w:ascii="Times New Roman" w:hAnsi="Times New Roman" w:cs="Times New Roman"/>
        </w:rPr>
        <w:t>examine</w:t>
      </w:r>
      <w:r w:rsidR="00BE73F2">
        <w:rPr>
          <w:rFonts w:ascii="Times New Roman" w:hAnsi="Times New Roman" w:cs="Times New Roman"/>
        </w:rPr>
        <w:t>s</w:t>
      </w:r>
      <w:r w:rsidR="00E45C1E">
        <w:rPr>
          <w:rFonts w:ascii="Times New Roman" w:hAnsi="Times New Roman" w:cs="Times New Roman"/>
        </w:rPr>
        <w:t xml:space="preserve"> correlations between bone parameter levels, </w:t>
      </w:r>
      <w:r w:rsidR="00BE73F2">
        <w:rPr>
          <w:rFonts w:ascii="Times New Roman" w:hAnsi="Times New Roman" w:cs="Times New Roman"/>
        </w:rPr>
        <w:t xml:space="preserve">and </w:t>
      </w:r>
      <w:r w:rsidR="00E45C1E">
        <w:rPr>
          <w:rFonts w:ascii="Times New Roman" w:hAnsi="Times New Roman" w:cs="Times New Roman"/>
        </w:rPr>
        <w:t>phosphate binder</w:t>
      </w:r>
      <w:r w:rsidR="00BE73F2">
        <w:rPr>
          <w:rFonts w:ascii="Times New Roman" w:hAnsi="Times New Roman" w:cs="Times New Roman"/>
        </w:rPr>
        <w:t>/</w:t>
      </w:r>
      <w:r w:rsidR="00E45C1E">
        <w:rPr>
          <w:rFonts w:ascii="Times New Roman" w:hAnsi="Times New Roman" w:cs="Times New Roman"/>
        </w:rPr>
        <w:t xml:space="preserve">vitamin D </w:t>
      </w:r>
      <w:r w:rsidR="00335125">
        <w:rPr>
          <w:rFonts w:ascii="Times New Roman" w:hAnsi="Times New Roman" w:cs="Times New Roman"/>
        </w:rPr>
        <w:t>receptor activators (paricalcitol, calcitriol, and alfacalcidol) (VDRa)</w:t>
      </w:r>
      <w:r w:rsidR="00E45C1E">
        <w:rPr>
          <w:rFonts w:ascii="Times New Roman" w:hAnsi="Times New Roman" w:cs="Times New Roman"/>
        </w:rPr>
        <w:t xml:space="preserve"> use</w:t>
      </w:r>
      <w:r w:rsidR="00BE73F2">
        <w:rPr>
          <w:rFonts w:ascii="Times New Roman" w:hAnsi="Times New Roman" w:cs="Times New Roman"/>
        </w:rPr>
        <w:t xml:space="preserve">. </w:t>
      </w:r>
    </w:p>
    <w:p w:rsidR="000F29CB" w:rsidRDefault="00324F24" w:rsidP="000F29C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F29CB">
        <w:rPr>
          <w:rFonts w:ascii="Times New Roman" w:hAnsi="Times New Roman" w:cs="Times New Roman"/>
          <w:b/>
        </w:rPr>
        <w:t xml:space="preserve">Aims: </w:t>
      </w:r>
    </w:p>
    <w:p w:rsidR="00324F24" w:rsidRDefault="00324F24" w:rsidP="000F29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To assess serum phosphate, corrected calcium and intact parathyroid levels in relation to phosphate binder and </w:t>
      </w:r>
      <w:r w:rsidR="00335125">
        <w:rPr>
          <w:rFonts w:ascii="Times New Roman" w:hAnsi="Times New Roman" w:cs="Times New Roman"/>
        </w:rPr>
        <w:t>VDRa</w:t>
      </w:r>
      <w:r>
        <w:rPr>
          <w:rFonts w:ascii="Times New Roman" w:hAnsi="Times New Roman" w:cs="Times New Roman"/>
        </w:rPr>
        <w:t xml:space="preserve"> use</w:t>
      </w:r>
    </w:p>
    <w:p w:rsidR="00D56512" w:rsidRDefault="00324F24" w:rsidP="00D565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To investigate whether</w:t>
      </w:r>
      <w:r w:rsidR="00E45C1E">
        <w:rPr>
          <w:rFonts w:ascii="Times New Roman" w:hAnsi="Times New Roman" w:cs="Times New Roman"/>
        </w:rPr>
        <w:t xml:space="preserve"> potential changes in practice could improve performance against </w:t>
      </w:r>
      <w:r>
        <w:rPr>
          <w:rFonts w:ascii="Times New Roman" w:hAnsi="Times New Roman" w:cs="Times New Roman"/>
        </w:rPr>
        <w:t xml:space="preserve">RA CKD-MBD </w:t>
      </w:r>
      <w:r w:rsidR="00E45C1E">
        <w:rPr>
          <w:rFonts w:ascii="Times New Roman" w:hAnsi="Times New Roman" w:cs="Times New Roman"/>
        </w:rPr>
        <w:t>guidelines.</w:t>
      </w:r>
    </w:p>
    <w:p w:rsidR="001417EA" w:rsidRDefault="00CC3134" w:rsidP="00D5651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417EA">
        <w:rPr>
          <w:rFonts w:ascii="Times New Roman" w:hAnsi="Times New Roman" w:cs="Times New Roman"/>
          <w:b/>
        </w:rPr>
        <w:t>Method</w:t>
      </w:r>
    </w:p>
    <w:p w:rsidR="00CC3134" w:rsidRPr="000F29CB" w:rsidRDefault="00324F24" w:rsidP="00D5651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F29CB">
        <w:rPr>
          <w:rFonts w:ascii="Times New Roman" w:hAnsi="Times New Roman" w:cs="Times New Roman"/>
        </w:rPr>
        <w:t>R</w:t>
      </w:r>
      <w:r w:rsidR="00CC3134" w:rsidRPr="000F29CB">
        <w:rPr>
          <w:rFonts w:ascii="Times New Roman" w:hAnsi="Times New Roman" w:cs="Times New Roman"/>
        </w:rPr>
        <w:t>etrospective</w:t>
      </w:r>
      <w:r w:rsidRPr="000F29CB">
        <w:rPr>
          <w:rFonts w:ascii="Times New Roman" w:hAnsi="Times New Roman" w:cs="Times New Roman"/>
        </w:rPr>
        <w:t xml:space="preserve"> data looking at </w:t>
      </w:r>
      <w:r w:rsidR="000F29CB">
        <w:rPr>
          <w:rFonts w:ascii="Times New Roman" w:hAnsi="Times New Roman" w:cs="Times New Roman"/>
        </w:rPr>
        <w:t xml:space="preserve">75 satellite HD </w:t>
      </w:r>
      <w:r w:rsidR="000F29CB" w:rsidRPr="000F29CB">
        <w:rPr>
          <w:rFonts w:ascii="Times New Roman" w:hAnsi="Times New Roman" w:cs="Times New Roman"/>
        </w:rPr>
        <w:t>patient’s</w:t>
      </w:r>
      <w:r w:rsidR="000F29CB">
        <w:rPr>
          <w:rFonts w:ascii="Times New Roman" w:hAnsi="Times New Roman" w:cs="Times New Roman"/>
        </w:rPr>
        <w:t xml:space="preserve"> bone parameters from May 2017 (</w:t>
      </w:r>
      <w:r w:rsidRPr="000F29CB">
        <w:rPr>
          <w:rFonts w:ascii="Times New Roman" w:hAnsi="Times New Roman" w:cs="Times New Roman"/>
        </w:rPr>
        <w:t>serum phosphate</w:t>
      </w:r>
      <w:r w:rsidR="000F29CB" w:rsidRPr="000F29CB">
        <w:rPr>
          <w:rFonts w:ascii="Times New Roman" w:hAnsi="Times New Roman" w:cs="Times New Roman"/>
        </w:rPr>
        <w:t xml:space="preserve"> (PO4)</w:t>
      </w:r>
      <w:r w:rsidRPr="000F29CB">
        <w:rPr>
          <w:rFonts w:ascii="Times New Roman" w:hAnsi="Times New Roman" w:cs="Times New Roman"/>
        </w:rPr>
        <w:t>, corrected calcium</w:t>
      </w:r>
      <w:r w:rsidR="000F29CB" w:rsidRPr="000F29CB">
        <w:rPr>
          <w:rFonts w:ascii="Times New Roman" w:hAnsi="Times New Roman" w:cs="Times New Roman"/>
        </w:rPr>
        <w:t xml:space="preserve"> (Ca+)</w:t>
      </w:r>
      <w:r w:rsidRPr="000F29CB">
        <w:rPr>
          <w:rFonts w:ascii="Times New Roman" w:hAnsi="Times New Roman" w:cs="Times New Roman"/>
        </w:rPr>
        <w:t xml:space="preserve"> and intact parathyroid</w:t>
      </w:r>
      <w:r w:rsidR="000F29CB" w:rsidRPr="000F29CB">
        <w:rPr>
          <w:rFonts w:ascii="Times New Roman" w:hAnsi="Times New Roman" w:cs="Times New Roman"/>
        </w:rPr>
        <w:t xml:space="preserve"> (iPTH)</w:t>
      </w:r>
      <w:r w:rsidRPr="000F29CB">
        <w:rPr>
          <w:rFonts w:ascii="Times New Roman" w:hAnsi="Times New Roman" w:cs="Times New Roman"/>
        </w:rPr>
        <w:t xml:space="preserve"> levels</w:t>
      </w:r>
      <w:r w:rsidR="000F29CB">
        <w:rPr>
          <w:rFonts w:ascii="Times New Roman" w:hAnsi="Times New Roman" w:cs="Times New Roman"/>
        </w:rPr>
        <w:t>)</w:t>
      </w:r>
      <w:r w:rsidRPr="000F29CB">
        <w:rPr>
          <w:rFonts w:ascii="Times New Roman" w:hAnsi="Times New Roman" w:cs="Times New Roman"/>
        </w:rPr>
        <w:t xml:space="preserve"> </w:t>
      </w:r>
      <w:r w:rsidR="000F29CB" w:rsidRPr="000F29CB">
        <w:rPr>
          <w:rFonts w:ascii="Times New Roman" w:hAnsi="Times New Roman" w:cs="Times New Roman"/>
        </w:rPr>
        <w:t xml:space="preserve">was extracted from </w:t>
      </w:r>
      <w:r w:rsidR="000F29CB">
        <w:rPr>
          <w:rFonts w:ascii="Times New Roman" w:hAnsi="Times New Roman" w:cs="Times New Roman"/>
        </w:rPr>
        <w:t>the Trust’s</w:t>
      </w:r>
      <w:r w:rsidR="000F29CB" w:rsidRPr="000F29CB">
        <w:rPr>
          <w:rFonts w:ascii="Times New Roman" w:hAnsi="Times New Roman" w:cs="Times New Roman"/>
        </w:rPr>
        <w:t xml:space="preserve"> clinical reporting systems</w:t>
      </w:r>
      <w:r w:rsidR="000F29CB">
        <w:rPr>
          <w:rFonts w:ascii="Times New Roman" w:hAnsi="Times New Roman" w:cs="Times New Roman"/>
        </w:rPr>
        <w:t xml:space="preserve">. </w:t>
      </w:r>
      <w:r w:rsidR="00002BB5" w:rsidRPr="000F29CB">
        <w:rPr>
          <w:rFonts w:ascii="Times New Roman" w:hAnsi="Times New Roman" w:cs="Times New Roman"/>
        </w:rPr>
        <w:t>T</w:t>
      </w:r>
      <w:r w:rsidR="00CC3134" w:rsidRPr="000F29CB">
        <w:rPr>
          <w:rFonts w:ascii="Times New Roman" w:hAnsi="Times New Roman" w:cs="Times New Roman"/>
        </w:rPr>
        <w:t>he typ</w:t>
      </w:r>
      <w:r w:rsidR="00002BB5" w:rsidRPr="000F29CB">
        <w:rPr>
          <w:rFonts w:ascii="Times New Roman" w:hAnsi="Times New Roman" w:cs="Times New Roman"/>
        </w:rPr>
        <w:t xml:space="preserve">e and dose of </w:t>
      </w:r>
      <w:r w:rsidR="00650671">
        <w:rPr>
          <w:rFonts w:ascii="Times New Roman" w:hAnsi="Times New Roman" w:cs="Times New Roman"/>
        </w:rPr>
        <w:t xml:space="preserve">the patients’ prescribed </w:t>
      </w:r>
      <w:r w:rsidR="00002BB5" w:rsidRPr="000F29CB">
        <w:rPr>
          <w:rFonts w:ascii="Times New Roman" w:hAnsi="Times New Roman" w:cs="Times New Roman"/>
        </w:rPr>
        <w:t>phosphate binders</w:t>
      </w:r>
      <w:r w:rsidR="00650671">
        <w:rPr>
          <w:rFonts w:ascii="Times New Roman" w:hAnsi="Times New Roman" w:cs="Times New Roman"/>
        </w:rPr>
        <w:t xml:space="preserve"> </w:t>
      </w:r>
      <w:r w:rsidR="00002BB5" w:rsidRPr="000F29CB">
        <w:rPr>
          <w:rFonts w:ascii="Times New Roman" w:hAnsi="Times New Roman" w:cs="Times New Roman"/>
        </w:rPr>
        <w:t>and</w:t>
      </w:r>
      <w:r w:rsidR="00CC3134" w:rsidRPr="000F29CB">
        <w:rPr>
          <w:rFonts w:ascii="Times New Roman" w:hAnsi="Times New Roman" w:cs="Times New Roman"/>
        </w:rPr>
        <w:t xml:space="preserve"> </w:t>
      </w:r>
      <w:r w:rsidR="00335125">
        <w:rPr>
          <w:rFonts w:ascii="Times New Roman" w:hAnsi="Times New Roman" w:cs="Times New Roman"/>
        </w:rPr>
        <w:t>VDRa</w:t>
      </w:r>
      <w:r w:rsidR="00002BB5" w:rsidRPr="000F29CB">
        <w:rPr>
          <w:rFonts w:ascii="Times New Roman" w:hAnsi="Times New Roman" w:cs="Times New Roman"/>
        </w:rPr>
        <w:t xml:space="preserve"> </w:t>
      </w:r>
      <w:r w:rsidR="00650671">
        <w:rPr>
          <w:rFonts w:ascii="Times New Roman" w:hAnsi="Times New Roman" w:cs="Times New Roman"/>
        </w:rPr>
        <w:t>were recorded.</w:t>
      </w:r>
    </w:p>
    <w:p w:rsidR="00002BB5" w:rsidRPr="006C2D8A" w:rsidRDefault="005857AA" w:rsidP="00324F2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F29CB">
        <w:rPr>
          <w:rFonts w:ascii="Times New Roman" w:hAnsi="Times New Roman" w:cs="Times New Roman"/>
          <w:b/>
        </w:rPr>
        <w:t>Results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22"/>
        <w:gridCol w:w="1385"/>
        <w:gridCol w:w="1814"/>
        <w:gridCol w:w="1902"/>
        <w:gridCol w:w="2089"/>
      </w:tblGrid>
      <w:tr w:rsidR="00650671" w:rsidRPr="006C2D8A" w:rsidTr="00650671">
        <w:tc>
          <w:tcPr>
            <w:tcW w:w="1422" w:type="dxa"/>
          </w:tcPr>
          <w:p w:rsidR="00650671" w:rsidRPr="006C2D8A" w:rsidRDefault="00650671" w:rsidP="006506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D8A">
              <w:rPr>
                <w:rFonts w:ascii="Times New Roman" w:hAnsi="Times New Roman" w:cs="Times New Roman"/>
                <w:b/>
              </w:rPr>
              <w:t>Bone parameter</w:t>
            </w:r>
          </w:p>
        </w:tc>
        <w:tc>
          <w:tcPr>
            <w:tcW w:w="1385" w:type="dxa"/>
          </w:tcPr>
          <w:p w:rsidR="00650671" w:rsidRPr="006C2D8A" w:rsidRDefault="00650671" w:rsidP="006506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Target range</w:t>
            </w:r>
          </w:p>
        </w:tc>
        <w:tc>
          <w:tcPr>
            <w:tcW w:w="1814" w:type="dxa"/>
          </w:tcPr>
          <w:p w:rsidR="00650671" w:rsidRPr="006C2D8A" w:rsidRDefault="00650671" w:rsidP="006506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Below target range</w:t>
            </w:r>
          </w:p>
        </w:tc>
        <w:tc>
          <w:tcPr>
            <w:tcW w:w="1902" w:type="dxa"/>
          </w:tcPr>
          <w:p w:rsidR="00650671" w:rsidRPr="006C2D8A" w:rsidRDefault="00650671" w:rsidP="006506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D8A">
              <w:rPr>
                <w:rFonts w:ascii="Times New Roman" w:hAnsi="Times New Roman" w:cs="Times New Roman"/>
                <w:b/>
              </w:rPr>
              <w:t xml:space="preserve">Within </w:t>
            </w:r>
            <w:r>
              <w:rPr>
                <w:rFonts w:ascii="Times New Roman" w:hAnsi="Times New Roman" w:cs="Times New Roman"/>
                <w:b/>
              </w:rPr>
              <w:t xml:space="preserve">target </w:t>
            </w:r>
            <w:r w:rsidRPr="006C2D8A">
              <w:rPr>
                <w:rFonts w:ascii="Times New Roman" w:hAnsi="Times New Roman" w:cs="Times New Roman"/>
                <w:b/>
              </w:rPr>
              <w:t>range</w:t>
            </w:r>
          </w:p>
        </w:tc>
        <w:tc>
          <w:tcPr>
            <w:tcW w:w="2089" w:type="dxa"/>
          </w:tcPr>
          <w:p w:rsidR="00650671" w:rsidRPr="006C2D8A" w:rsidRDefault="00650671" w:rsidP="006506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Above target range</w:t>
            </w:r>
          </w:p>
        </w:tc>
      </w:tr>
      <w:tr w:rsidR="00650671" w:rsidRPr="006C2D8A" w:rsidTr="00650671">
        <w:trPr>
          <w:trHeight w:val="304"/>
        </w:trPr>
        <w:tc>
          <w:tcPr>
            <w:tcW w:w="1422" w:type="dxa"/>
          </w:tcPr>
          <w:p w:rsidR="00650671" w:rsidRPr="00650671" w:rsidRDefault="00650671" w:rsidP="006506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671">
              <w:rPr>
                <w:rFonts w:ascii="Times New Roman" w:hAnsi="Times New Roman" w:cs="Times New Roman"/>
                <w:b/>
              </w:rPr>
              <w:t>Ca+</w:t>
            </w:r>
          </w:p>
          <w:p w:rsidR="00650671" w:rsidRPr="00650671" w:rsidRDefault="00650671" w:rsidP="006506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671">
              <w:rPr>
                <w:rFonts w:ascii="Times New Roman" w:hAnsi="Times New Roman" w:cs="Times New Roman"/>
                <w:b/>
              </w:rPr>
              <w:t>(mmol/L)</w:t>
            </w:r>
          </w:p>
        </w:tc>
        <w:tc>
          <w:tcPr>
            <w:tcW w:w="1385" w:type="dxa"/>
          </w:tcPr>
          <w:p w:rsidR="00650671" w:rsidRPr="00194E69" w:rsidRDefault="00650671" w:rsidP="006506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4E69">
              <w:rPr>
                <w:rFonts w:ascii="Times New Roman" w:hAnsi="Times New Roman" w:cs="Times New Roman"/>
                <w:b/>
              </w:rPr>
              <w:t>2.2-2.5</w:t>
            </w:r>
          </w:p>
          <w:p w:rsidR="00650671" w:rsidRPr="00194E69" w:rsidRDefault="00650671" w:rsidP="006506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4" w:type="dxa"/>
          </w:tcPr>
          <w:p w:rsidR="00650671" w:rsidRPr="00650671" w:rsidRDefault="00650671" w:rsidP="00650671">
            <w:pPr>
              <w:jc w:val="center"/>
              <w:rPr>
                <w:rFonts w:ascii="Times New Roman" w:hAnsi="Times New Roman" w:cs="Times New Roman"/>
              </w:rPr>
            </w:pPr>
            <w:r w:rsidRPr="00650671">
              <w:rPr>
                <w:rFonts w:ascii="Times New Roman" w:hAnsi="Times New Roman" w:cs="Times New Roman"/>
              </w:rPr>
              <w:t>23% (n = 17)</w:t>
            </w:r>
          </w:p>
        </w:tc>
        <w:tc>
          <w:tcPr>
            <w:tcW w:w="1902" w:type="dxa"/>
          </w:tcPr>
          <w:p w:rsidR="00650671" w:rsidRPr="00650671" w:rsidRDefault="00650671" w:rsidP="00650671">
            <w:pPr>
              <w:jc w:val="center"/>
              <w:rPr>
                <w:rFonts w:ascii="Times New Roman" w:hAnsi="Times New Roman" w:cs="Times New Roman"/>
              </w:rPr>
            </w:pPr>
            <w:r w:rsidRPr="00650671">
              <w:rPr>
                <w:rFonts w:ascii="Times New Roman" w:hAnsi="Times New Roman" w:cs="Times New Roman"/>
              </w:rPr>
              <w:t>76% (n = 57)</w:t>
            </w:r>
          </w:p>
        </w:tc>
        <w:tc>
          <w:tcPr>
            <w:tcW w:w="2089" w:type="dxa"/>
          </w:tcPr>
          <w:p w:rsidR="00650671" w:rsidRPr="00650671" w:rsidRDefault="00650671" w:rsidP="00650671">
            <w:pPr>
              <w:jc w:val="center"/>
              <w:rPr>
                <w:rFonts w:ascii="Times New Roman" w:hAnsi="Times New Roman" w:cs="Times New Roman"/>
              </w:rPr>
            </w:pPr>
            <w:r w:rsidRPr="00650671">
              <w:rPr>
                <w:rFonts w:ascii="Times New Roman" w:hAnsi="Times New Roman" w:cs="Times New Roman"/>
              </w:rPr>
              <w:t>1% (n = 1)</w:t>
            </w:r>
          </w:p>
          <w:p w:rsidR="00650671" w:rsidRPr="00650671" w:rsidRDefault="00650671" w:rsidP="00650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671" w:rsidRPr="006C2D8A" w:rsidTr="00650671">
        <w:tc>
          <w:tcPr>
            <w:tcW w:w="1422" w:type="dxa"/>
          </w:tcPr>
          <w:p w:rsidR="00650671" w:rsidRPr="00650671" w:rsidRDefault="00650671" w:rsidP="006506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671">
              <w:rPr>
                <w:rFonts w:ascii="Times New Roman" w:hAnsi="Times New Roman" w:cs="Times New Roman"/>
                <w:b/>
              </w:rPr>
              <w:t>PO4</w:t>
            </w:r>
          </w:p>
          <w:p w:rsidR="00650671" w:rsidRPr="00650671" w:rsidRDefault="00650671" w:rsidP="006506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671">
              <w:rPr>
                <w:rFonts w:ascii="Times New Roman" w:hAnsi="Times New Roman" w:cs="Times New Roman"/>
                <w:b/>
              </w:rPr>
              <w:t>(mmol/L)</w:t>
            </w:r>
          </w:p>
        </w:tc>
        <w:tc>
          <w:tcPr>
            <w:tcW w:w="1385" w:type="dxa"/>
          </w:tcPr>
          <w:p w:rsidR="00650671" w:rsidRPr="00194E69" w:rsidRDefault="00650671" w:rsidP="006506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4E69">
              <w:rPr>
                <w:rFonts w:ascii="Times New Roman" w:hAnsi="Times New Roman" w:cs="Times New Roman"/>
                <w:b/>
              </w:rPr>
              <w:t>1.1-1.7</w:t>
            </w:r>
          </w:p>
          <w:p w:rsidR="00650671" w:rsidRPr="00194E69" w:rsidRDefault="00650671" w:rsidP="006506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4" w:type="dxa"/>
          </w:tcPr>
          <w:p w:rsidR="00650671" w:rsidRPr="00650671" w:rsidRDefault="00650671" w:rsidP="00650671">
            <w:pPr>
              <w:jc w:val="center"/>
              <w:rPr>
                <w:rFonts w:ascii="Times New Roman" w:hAnsi="Times New Roman" w:cs="Times New Roman"/>
              </w:rPr>
            </w:pPr>
            <w:r w:rsidRPr="00650671">
              <w:rPr>
                <w:rFonts w:ascii="Times New Roman" w:hAnsi="Times New Roman" w:cs="Times New Roman"/>
              </w:rPr>
              <w:t>1</w:t>
            </w:r>
            <w:r w:rsidR="00026D65">
              <w:rPr>
                <w:rFonts w:ascii="Times New Roman" w:hAnsi="Times New Roman" w:cs="Times New Roman"/>
              </w:rPr>
              <w:t>2</w:t>
            </w:r>
            <w:r w:rsidRPr="00650671">
              <w:rPr>
                <w:rFonts w:ascii="Times New Roman" w:hAnsi="Times New Roman" w:cs="Times New Roman"/>
              </w:rPr>
              <w:t xml:space="preserve">% (n = </w:t>
            </w:r>
            <w:r w:rsidR="00026D65">
              <w:rPr>
                <w:rFonts w:ascii="Times New Roman" w:hAnsi="Times New Roman" w:cs="Times New Roman"/>
              </w:rPr>
              <w:t>9</w:t>
            </w:r>
            <w:r w:rsidRPr="006506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2" w:type="dxa"/>
          </w:tcPr>
          <w:p w:rsidR="00650671" w:rsidRPr="00650671" w:rsidRDefault="00026D65" w:rsidP="00650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650671" w:rsidRPr="00650671">
              <w:rPr>
                <w:rFonts w:ascii="Times New Roman" w:hAnsi="Times New Roman" w:cs="Times New Roman"/>
              </w:rPr>
              <w:t xml:space="preserve">% (n = </w:t>
            </w:r>
            <w:r>
              <w:rPr>
                <w:rFonts w:ascii="Times New Roman" w:hAnsi="Times New Roman" w:cs="Times New Roman"/>
              </w:rPr>
              <w:t>41</w:t>
            </w:r>
            <w:r w:rsidR="00650671" w:rsidRPr="006506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9" w:type="dxa"/>
          </w:tcPr>
          <w:p w:rsidR="00650671" w:rsidRPr="00650671" w:rsidRDefault="00650671" w:rsidP="00650671">
            <w:pPr>
              <w:jc w:val="center"/>
              <w:rPr>
                <w:rFonts w:ascii="Times New Roman" w:hAnsi="Times New Roman" w:cs="Times New Roman"/>
              </w:rPr>
            </w:pPr>
            <w:r w:rsidRPr="00650671">
              <w:rPr>
                <w:rFonts w:ascii="Times New Roman" w:hAnsi="Times New Roman" w:cs="Times New Roman"/>
              </w:rPr>
              <w:t>3</w:t>
            </w:r>
            <w:r w:rsidR="00026D65">
              <w:rPr>
                <w:rFonts w:ascii="Times New Roman" w:hAnsi="Times New Roman" w:cs="Times New Roman"/>
              </w:rPr>
              <w:t>3</w:t>
            </w:r>
            <w:r w:rsidRPr="00650671">
              <w:rPr>
                <w:rFonts w:ascii="Times New Roman" w:hAnsi="Times New Roman" w:cs="Times New Roman"/>
              </w:rPr>
              <w:t>% (n = 2</w:t>
            </w:r>
            <w:r w:rsidR="00026D65">
              <w:rPr>
                <w:rFonts w:ascii="Times New Roman" w:hAnsi="Times New Roman" w:cs="Times New Roman"/>
              </w:rPr>
              <w:t>5</w:t>
            </w:r>
            <w:r w:rsidRPr="00650671">
              <w:rPr>
                <w:rFonts w:ascii="Times New Roman" w:hAnsi="Times New Roman" w:cs="Times New Roman"/>
              </w:rPr>
              <w:t>)</w:t>
            </w:r>
          </w:p>
        </w:tc>
      </w:tr>
      <w:tr w:rsidR="00650671" w:rsidRPr="006C2D8A" w:rsidTr="00650671">
        <w:tc>
          <w:tcPr>
            <w:tcW w:w="1422" w:type="dxa"/>
          </w:tcPr>
          <w:p w:rsidR="00650671" w:rsidRPr="00650671" w:rsidRDefault="00650671" w:rsidP="006506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671">
              <w:rPr>
                <w:rFonts w:ascii="Times New Roman" w:hAnsi="Times New Roman" w:cs="Times New Roman"/>
                <w:b/>
              </w:rPr>
              <w:t>iPTH</w:t>
            </w:r>
          </w:p>
          <w:p w:rsidR="00650671" w:rsidRPr="00650671" w:rsidRDefault="00650671" w:rsidP="006506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671">
              <w:rPr>
                <w:rFonts w:ascii="Times New Roman" w:hAnsi="Times New Roman" w:cs="Times New Roman"/>
                <w:b/>
              </w:rPr>
              <w:t>(pm</w:t>
            </w:r>
            <w:bookmarkStart w:id="0" w:name="_GoBack"/>
            <w:bookmarkEnd w:id="0"/>
            <w:r w:rsidRPr="00650671">
              <w:rPr>
                <w:rFonts w:ascii="Times New Roman" w:hAnsi="Times New Roman" w:cs="Times New Roman"/>
                <w:b/>
              </w:rPr>
              <w:t>ol/L)</w:t>
            </w:r>
          </w:p>
        </w:tc>
        <w:tc>
          <w:tcPr>
            <w:tcW w:w="1385" w:type="dxa"/>
          </w:tcPr>
          <w:p w:rsidR="00650671" w:rsidRPr="00194E69" w:rsidRDefault="00650671" w:rsidP="006506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4E69">
              <w:rPr>
                <w:rFonts w:ascii="Times New Roman" w:hAnsi="Times New Roman" w:cs="Times New Roman"/>
                <w:b/>
              </w:rPr>
              <w:t>8-38</w:t>
            </w:r>
          </w:p>
          <w:p w:rsidR="00650671" w:rsidRPr="00194E69" w:rsidRDefault="00650671" w:rsidP="006506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4" w:type="dxa"/>
          </w:tcPr>
          <w:p w:rsidR="00650671" w:rsidRPr="00650671" w:rsidRDefault="00650671" w:rsidP="00650671">
            <w:pPr>
              <w:jc w:val="center"/>
              <w:rPr>
                <w:rFonts w:ascii="Times New Roman" w:hAnsi="Times New Roman" w:cs="Times New Roman"/>
              </w:rPr>
            </w:pPr>
            <w:r w:rsidRPr="00650671">
              <w:rPr>
                <w:rFonts w:ascii="Times New Roman" w:hAnsi="Times New Roman" w:cs="Times New Roman"/>
              </w:rPr>
              <w:t>11% (n = 8)</w:t>
            </w:r>
          </w:p>
        </w:tc>
        <w:tc>
          <w:tcPr>
            <w:tcW w:w="1902" w:type="dxa"/>
          </w:tcPr>
          <w:p w:rsidR="00650671" w:rsidRPr="00650671" w:rsidRDefault="00650671" w:rsidP="00650671">
            <w:pPr>
              <w:jc w:val="center"/>
              <w:rPr>
                <w:rFonts w:ascii="Times New Roman" w:hAnsi="Times New Roman" w:cs="Times New Roman"/>
              </w:rPr>
            </w:pPr>
            <w:r w:rsidRPr="00650671">
              <w:rPr>
                <w:rFonts w:ascii="Times New Roman" w:hAnsi="Times New Roman" w:cs="Times New Roman"/>
              </w:rPr>
              <w:t>60% (n = 45)</w:t>
            </w:r>
          </w:p>
        </w:tc>
        <w:tc>
          <w:tcPr>
            <w:tcW w:w="2089" w:type="dxa"/>
          </w:tcPr>
          <w:p w:rsidR="00650671" w:rsidRPr="00650671" w:rsidRDefault="00650671" w:rsidP="00650671">
            <w:pPr>
              <w:jc w:val="center"/>
              <w:rPr>
                <w:rFonts w:ascii="Times New Roman" w:hAnsi="Times New Roman" w:cs="Times New Roman"/>
              </w:rPr>
            </w:pPr>
            <w:r w:rsidRPr="00650671">
              <w:rPr>
                <w:rFonts w:ascii="Times New Roman" w:hAnsi="Times New Roman" w:cs="Times New Roman"/>
              </w:rPr>
              <w:t>29% (n = 22)</w:t>
            </w:r>
          </w:p>
        </w:tc>
      </w:tr>
    </w:tbl>
    <w:p w:rsidR="00E45C1E" w:rsidRPr="00D56512" w:rsidRDefault="00650671" w:rsidP="00324F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en-GB"/>
        </w:rPr>
      </w:pPr>
      <w:r w:rsidRPr="00D56512">
        <w:rPr>
          <w:rFonts w:ascii="Times New Roman" w:eastAsia="Times New Roman" w:hAnsi="Times New Roman" w:cs="Times New Roman"/>
          <w:i/>
          <w:color w:val="000000"/>
          <w:lang w:eastAsia="en-GB"/>
        </w:rPr>
        <w:t xml:space="preserve">Table 1. Summary of patients’ bone parameters in relation to </w:t>
      </w:r>
      <w:r w:rsidR="000A5822" w:rsidRPr="00D56512">
        <w:rPr>
          <w:rFonts w:ascii="Times New Roman" w:eastAsia="Times New Roman" w:hAnsi="Times New Roman" w:cs="Times New Roman"/>
          <w:i/>
          <w:color w:val="000000"/>
          <w:lang w:eastAsia="en-GB"/>
        </w:rPr>
        <w:t xml:space="preserve">the 2010 </w:t>
      </w:r>
      <w:r w:rsidRPr="00D56512">
        <w:rPr>
          <w:rFonts w:ascii="Times New Roman" w:eastAsia="Times New Roman" w:hAnsi="Times New Roman" w:cs="Times New Roman"/>
          <w:i/>
          <w:color w:val="000000"/>
          <w:lang w:eastAsia="en-GB"/>
        </w:rPr>
        <w:t>RA CKD</w:t>
      </w:r>
      <w:r w:rsidR="000A5822" w:rsidRPr="00D56512">
        <w:rPr>
          <w:rFonts w:ascii="Times New Roman" w:eastAsia="Times New Roman" w:hAnsi="Times New Roman" w:cs="Times New Roman"/>
          <w:i/>
          <w:color w:val="000000"/>
          <w:lang w:eastAsia="en-GB"/>
        </w:rPr>
        <w:t>-</w:t>
      </w:r>
      <w:r w:rsidRPr="00D56512">
        <w:rPr>
          <w:rFonts w:ascii="Times New Roman" w:eastAsia="Times New Roman" w:hAnsi="Times New Roman" w:cs="Times New Roman"/>
          <w:i/>
          <w:color w:val="000000"/>
          <w:lang w:eastAsia="en-GB"/>
        </w:rPr>
        <w:t>MBD guidelin</w:t>
      </w:r>
      <w:r w:rsidR="000A5822" w:rsidRPr="00D56512">
        <w:rPr>
          <w:rFonts w:ascii="Times New Roman" w:eastAsia="Times New Roman" w:hAnsi="Times New Roman" w:cs="Times New Roman"/>
          <w:i/>
          <w:color w:val="000000"/>
          <w:lang w:eastAsia="en-GB"/>
        </w:rPr>
        <w:t>es. Results reported as percentage and number of patients.</w:t>
      </w:r>
    </w:p>
    <w:p w:rsidR="00650671" w:rsidRDefault="00650671" w:rsidP="00324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n-GB"/>
        </w:rPr>
      </w:pPr>
    </w:p>
    <w:p w:rsidR="00E20908" w:rsidRPr="004B0D79" w:rsidRDefault="00EA199C" w:rsidP="00EA1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36%</w:t>
      </w:r>
      <w:r w:rsidR="00D56512">
        <w:rPr>
          <w:rFonts w:ascii="Times New Roman" w:eastAsia="Times New Roman" w:hAnsi="Times New Roman" w:cs="Times New Roman"/>
          <w:color w:val="000000"/>
          <w:lang w:eastAsia="en-GB"/>
        </w:rPr>
        <w:t xml:space="preserve"> (n = 27)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of patients had a PO4 level above the upper RA target of 1.7mmol/L</w:t>
      </w:r>
      <w:r w:rsidR="00335125">
        <w:rPr>
          <w:rFonts w:ascii="Times New Roman" w:eastAsia="Times New Roman" w:hAnsi="Times New Roman" w:cs="Times New Roman"/>
          <w:color w:val="000000"/>
          <w:lang w:eastAsia="en-GB"/>
        </w:rPr>
        <w:t xml:space="preserve"> in May 2017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. </w:t>
      </w:r>
      <w:r w:rsidR="00E45C1E">
        <w:rPr>
          <w:rFonts w:ascii="Times New Roman" w:eastAsia="Times New Roman" w:hAnsi="Times New Roman" w:cs="Times New Roman"/>
          <w:color w:val="000000"/>
          <w:lang w:eastAsia="en-GB"/>
        </w:rPr>
        <w:t>2</w:t>
      </w:r>
      <w:r w:rsidR="00CC3134" w:rsidRPr="006C2D8A">
        <w:rPr>
          <w:rFonts w:ascii="Times New Roman" w:eastAsia="Times New Roman" w:hAnsi="Times New Roman" w:cs="Times New Roman"/>
          <w:color w:val="000000"/>
          <w:lang w:eastAsia="en-GB"/>
        </w:rPr>
        <w:t>4% of the patients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with </w:t>
      </w:r>
      <w:r w:rsidR="00702095">
        <w:rPr>
          <w:rFonts w:ascii="Times New Roman" w:eastAsia="Times New Roman" w:hAnsi="Times New Roman" w:cs="Times New Roman"/>
          <w:color w:val="000000"/>
          <w:lang w:eastAsia="en-GB"/>
        </w:rPr>
        <w:t>hyperphosphataemia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were not prescribed a</w:t>
      </w:r>
      <w:r w:rsidR="00CC3134" w:rsidRPr="006C2D8A">
        <w:rPr>
          <w:rFonts w:ascii="Times New Roman" w:eastAsia="Times New Roman" w:hAnsi="Times New Roman" w:cs="Times New Roman"/>
          <w:color w:val="000000"/>
          <w:lang w:eastAsia="en-GB"/>
        </w:rPr>
        <w:t xml:space="preserve"> phosphate binder</w:t>
      </w:r>
      <w:r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="004B0D7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CC3134" w:rsidRPr="006C2D8A">
        <w:rPr>
          <w:rFonts w:ascii="Times New Roman" w:eastAsia="Times New Roman" w:hAnsi="Times New Roman" w:cs="Times New Roman"/>
          <w:color w:val="000000"/>
          <w:lang w:eastAsia="en-GB"/>
        </w:rPr>
        <w:t>50% of patients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that were prescribed a </w:t>
      </w:r>
      <w:r w:rsidR="00CC3134" w:rsidRPr="006C2D8A">
        <w:rPr>
          <w:rFonts w:ascii="Times New Roman" w:eastAsia="Times New Roman" w:hAnsi="Times New Roman" w:cs="Times New Roman"/>
          <w:color w:val="000000"/>
          <w:lang w:eastAsia="en-GB"/>
        </w:rPr>
        <w:t xml:space="preserve">calcium 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containing </w:t>
      </w:r>
      <w:r w:rsidR="00CC3134" w:rsidRPr="006C2D8A">
        <w:rPr>
          <w:rFonts w:ascii="Times New Roman" w:eastAsia="Times New Roman" w:hAnsi="Times New Roman" w:cs="Times New Roman"/>
          <w:color w:val="000000"/>
          <w:lang w:eastAsia="en-GB"/>
        </w:rPr>
        <w:t>phosphate binder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702095">
        <w:rPr>
          <w:rFonts w:ascii="Times New Roman" w:eastAsia="Times New Roman" w:hAnsi="Times New Roman" w:cs="Times New Roman"/>
          <w:color w:val="000000"/>
          <w:lang w:eastAsia="en-GB"/>
        </w:rPr>
        <w:t>(n =</w:t>
      </w:r>
      <w:r w:rsidR="00026D65" w:rsidRPr="00702095">
        <w:rPr>
          <w:rFonts w:ascii="Times New Roman" w:eastAsia="Times New Roman" w:hAnsi="Times New Roman" w:cs="Times New Roman"/>
          <w:color w:val="000000"/>
          <w:lang w:eastAsia="en-GB"/>
        </w:rPr>
        <w:t>17</w:t>
      </w:r>
      <w:r w:rsidRPr="00702095">
        <w:rPr>
          <w:rFonts w:ascii="Times New Roman" w:eastAsia="Times New Roman" w:hAnsi="Times New Roman" w:cs="Times New Roman"/>
          <w:color w:val="000000"/>
          <w:lang w:eastAsia="en-GB"/>
        </w:rPr>
        <w:t>)</w:t>
      </w:r>
      <w:r w:rsidR="00934210" w:rsidRPr="007020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="00CC3134" w:rsidRPr="006C2D8A">
        <w:rPr>
          <w:rFonts w:ascii="Times New Roman" w:eastAsia="Times New Roman" w:hAnsi="Times New Roman" w:cs="Times New Roman"/>
          <w:color w:val="000000"/>
          <w:lang w:eastAsia="en-GB"/>
        </w:rPr>
        <w:t xml:space="preserve"> and 24% </w:t>
      </w:r>
      <w:r w:rsidRPr="006C2D8A">
        <w:rPr>
          <w:rFonts w:ascii="Times New Roman" w:eastAsia="Times New Roman" w:hAnsi="Times New Roman" w:cs="Times New Roman"/>
          <w:color w:val="000000"/>
          <w:lang w:eastAsia="en-GB"/>
        </w:rPr>
        <w:t>of the patients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that were prescribed a non-</w:t>
      </w:r>
      <w:r w:rsidRPr="006C2D8A">
        <w:rPr>
          <w:rFonts w:ascii="Times New Roman" w:eastAsia="Times New Roman" w:hAnsi="Times New Roman" w:cs="Times New Roman"/>
          <w:color w:val="000000"/>
          <w:lang w:eastAsia="en-GB"/>
        </w:rPr>
        <w:t xml:space="preserve">calcium 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containing </w:t>
      </w:r>
      <w:r w:rsidRPr="006C2D8A">
        <w:rPr>
          <w:rFonts w:ascii="Times New Roman" w:eastAsia="Times New Roman" w:hAnsi="Times New Roman" w:cs="Times New Roman"/>
          <w:color w:val="000000"/>
          <w:lang w:eastAsia="en-GB"/>
        </w:rPr>
        <w:t xml:space="preserve">phosphate binder </w:t>
      </w:r>
      <w:r w:rsidRPr="00702095">
        <w:rPr>
          <w:rFonts w:ascii="Times New Roman" w:eastAsia="Times New Roman" w:hAnsi="Times New Roman" w:cs="Times New Roman"/>
          <w:color w:val="000000"/>
          <w:lang w:eastAsia="en-GB"/>
        </w:rPr>
        <w:t>(n =</w:t>
      </w:r>
      <w:r w:rsidR="00026D65" w:rsidRPr="00702095">
        <w:rPr>
          <w:rFonts w:ascii="Times New Roman" w:eastAsia="Times New Roman" w:hAnsi="Times New Roman" w:cs="Times New Roman"/>
          <w:color w:val="000000"/>
          <w:lang w:eastAsia="en-GB"/>
        </w:rPr>
        <w:t>3</w:t>
      </w:r>
      <w:r w:rsidRPr="00702095">
        <w:rPr>
          <w:rFonts w:ascii="Times New Roman" w:eastAsia="Times New Roman" w:hAnsi="Times New Roman" w:cs="Times New Roman"/>
          <w:color w:val="000000"/>
          <w:lang w:eastAsia="en-GB"/>
        </w:rPr>
        <w:t>)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had a serum PO4</w:t>
      </w:r>
      <w:r w:rsidR="00CC3134" w:rsidRPr="006C2D8A">
        <w:rPr>
          <w:rFonts w:ascii="Times New Roman" w:eastAsia="Times New Roman" w:hAnsi="Times New Roman" w:cs="Times New Roman"/>
          <w:color w:val="000000"/>
          <w:lang w:eastAsia="en-GB"/>
        </w:rPr>
        <w:t xml:space="preserve"> phosphate level gr</w:t>
      </w:r>
      <w:r w:rsidR="006C2D8A" w:rsidRPr="006C2D8A">
        <w:rPr>
          <w:rFonts w:ascii="Times New Roman" w:eastAsia="Times New Roman" w:hAnsi="Times New Roman" w:cs="Times New Roman"/>
          <w:color w:val="000000"/>
          <w:lang w:eastAsia="en-GB"/>
        </w:rPr>
        <w:t>eater than 1.7mmol/L</w:t>
      </w:r>
      <w:r w:rsidR="00934210" w:rsidRPr="006C2D8A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68%</w:t>
      </w:r>
      <w:r w:rsidR="00D5651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D56512" w:rsidRPr="00702095">
        <w:rPr>
          <w:rFonts w:ascii="Times New Roman" w:eastAsia="Times New Roman" w:hAnsi="Times New Roman" w:cs="Times New Roman"/>
          <w:color w:val="000000"/>
          <w:lang w:eastAsia="en-GB"/>
        </w:rPr>
        <w:t>(n =</w:t>
      </w:r>
      <w:r w:rsidR="00026D65" w:rsidRPr="00702095">
        <w:rPr>
          <w:rFonts w:ascii="Times New Roman" w:eastAsia="Times New Roman" w:hAnsi="Times New Roman" w:cs="Times New Roman"/>
          <w:color w:val="000000"/>
          <w:lang w:eastAsia="en-GB"/>
        </w:rPr>
        <w:t>15</w:t>
      </w:r>
      <w:r w:rsidR="00D56512" w:rsidRPr="00702095">
        <w:rPr>
          <w:rFonts w:ascii="Times New Roman" w:eastAsia="Times New Roman" w:hAnsi="Times New Roman" w:cs="Times New Roman"/>
          <w:color w:val="000000"/>
          <w:lang w:eastAsia="en-GB"/>
        </w:rPr>
        <w:t>)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of patients with a</w:t>
      </w:r>
      <w:r w:rsidR="00E2090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serum</w:t>
      </w:r>
      <w:r w:rsidR="00002BB5" w:rsidRPr="006C2D8A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i</w:t>
      </w:r>
      <w:r w:rsidR="00002BB5" w:rsidRPr="006C2D8A">
        <w:rPr>
          <w:rFonts w:ascii="Times New Roman" w:eastAsia="Times New Roman" w:hAnsi="Times New Roman" w:cs="Times New Roman"/>
          <w:color w:val="000000"/>
          <w:lang w:eastAsia="en-GB"/>
        </w:rPr>
        <w:t>PTH</w:t>
      </w:r>
      <w:r w:rsidR="00E2090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above the RA target (2-9 times the upper local laboratory range)</w:t>
      </w:r>
      <w:r w:rsidR="00E20908">
        <w:rPr>
          <w:rFonts w:ascii="Times New Roman" w:eastAsia="Times New Roman" w:hAnsi="Times New Roman" w:cs="Times New Roman"/>
          <w:color w:val="000000"/>
          <w:lang w:eastAsia="en-GB"/>
        </w:rPr>
        <w:t xml:space="preserve">, had </w:t>
      </w:r>
      <w:r w:rsidR="00E20908" w:rsidRPr="006C2D8A">
        <w:rPr>
          <w:rFonts w:ascii="Times New Roman" w:eastAsia="Times New Roman" w:hAnsi="Times New Roman" w:cs="Times New Roman"/>
          <w:color w:val="000000"/>
          <w:lang w:eastAsia="en-GB"/>
        </w:rPr>
        <w:t>low</w:t>
      </w:r>
      <w:r w:rsidR="00002BB5" w:rsidRPr="006C2D8A">
        <w:rPr>
          <w:rFonts w:ascii="Times New Roman" w:eastAsia="Times New Roman" w:hAnsi="Times New Roman" w:cs="Times New Roman"/>
          <w:color w:val="000000"/>
          <w:lang w:eastAsia="en-GB"/>
        </w:rPr>
        <w:t xml:space="preserve"> or well controlled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Ca+</w:t>
      </w:r>
      <w:r w:rsidR="00002BB5" w:rsidRPr="006C2D8A">
        <w:rPr>
          <w:rFonts w:ascii="Times New Roman" w:eastAsia="Times New Roman" w:hAnsi="Times New Roman" w:cs="Times New Roman"/>
          <w:color w:val="000000"/>
          <w:lang w:eastAsia="en-GB"/>
        </w:rPr>
        <w:t xml:space="preserve"> levels </w:t>
      </w:r>
      <w:r w:rsidR="00335125">
        <w:rPr>
          <w:rFonts w:ascii="Times New Roman" w:eastAsia="Times New Roman" w:hAnsi="Times New Roman" w:cs="Times New Roman"/>
          <w:color w:val="000000"/>
          <w:lang w:eastAsia="en-GB"/>
        </w:rPr>
        <w:t>suggesting an increase in VDRa is needed</w:t>
      </w:r>
      <w:r w:rsidR="00002BB5" w:rsidRPr="006C2D8A">
        <w:rPr>
          <w:rFonts w:ascii="Times New Roman" w:eastAsia="Times New Roman" w:hAnsi="Times New Roman" w:cs="Times New Roman"/>
          <w:color w:val="000000"/>
          <w:lang w:eastAsia="en-GB"/>
        </w:rPr>
        <w:t xml:space="preserve">. </w:t>
      </w:r>
    </w:p>
    <w:p w:rsidR="007A721A" w:rsidRDefault="007A721A" w:rsidP="00324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n-GB"/>
        </w:rPr>
      </w:pPr>
      <w:r w:rsidRPr="006C2D8A">
        <w:rPr>
          <w:rFonts w:ascii="Times New Roman" w:eastAsia="Times New Roman" w:hAnsi="Times New Roman" w:cs="Times New Roman"/>
          <w:b/>
          <w:color w:val="000000"/>
          <w:lang w:eastAsia="en-GB"/>
        </w:rPr>
        <w:t>Discussion</w:t>
      </w:r>
    </w:p>
    <w:p w:rsidR="00E45C1E" w:rsidRDefault="00335125" w:rsidP="00324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Hyperphosphataemia and secondary hyperparathyroidism are common within the group of HD patients reported here. This is a known problem in HD patients throughout the UK.</w:t>
      </w:r>
      <w:r w:rsidR="00E45C1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Reasons for increased PO4 and iPTH levels</w:t>
      </w:r>
      <w:r w:rsidR="00E45C1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702095">
        <w:rPr>
          <w:rFonts w:ascii="Times New Roman" w:eastAsia="Times New Roman" w:hAnsi="Times New Roman" w:cs="Times New Roman"/>
          <w:color w:val="000000"/>
          <w:lang w:eastAsia="en-GB"/>
        </w:rPr>
        <w:t>include but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are not limited to; non</w:t>
      </w:r>
      <w:r w:rsidR="00E45C1E" w:rsidRPr="006C2D8A"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>
        <w:rPr>
          <w:rFonts w:ascii="Times New Roman" w:eastAsia="Times New Roman" w:hAnsi="Times New Roman" w:cs="Times New Roman"/>
          <w:color w:val="000000"/>
          <w:lang w:eastAsia="en-GB"/>
        </w:rPr>
        <w:t>adherence</w:t>
      </w:r>
      <w:r w:rsidR="00E45C1E" w:rsidRPr="006C2D8A">
        <w:rPr>
          <w:rFonts w:ascii="Times New Roman" w:eastAsia="Times New Roman" w:hAnsi="Times New Roman" w:cs="Times New Roman"/>
          <w:color w:val="000000"/>
          <w:lang w:eastAsia="en-GB"/>
        </w:rPr>
        <w:t xml:space="preserve"> with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diet and/or medications, insufficient phosphate</w:t>
      </w:r>
      <w:r w:rsidR="00D56512">
        <w:rPr>
          <w:rFonts w:ascii="Times New Roman" w:eastAsia="Times New Roman" w:hAnsi="Times New Roman" w:cs="Times New Roman"/>
          <w:color w:val="000000"/>
          <w:lang w:eastAsia="en-GB"/>
        </w:rPr>
        <w:t xml:space="preserve"> binders prescribed</w:t>
      </w:r>
      <w:r>
        <w:rPr>
          <w:rFonts w:ascii="Times New Roman" w:eastAsia="Times New Roman" w:hAnsi="Times New Roman" w:cs="Times New Roman"/>
          <w:color w:val="000000"/>
          <w:lang w:eastAsia="en-GB"/>
        </w:rPr>
        <w:t>, poor dialysis adequacy, lack of patient education</w:t>
      </w:r>
      <w:r w:rsidR="00702095">
        <w:rPr>
          <w:rFonts w:ascii="Times New Roman" w:eastAsia="Times New Roman" w:hAnsi="Times New Roman" w:cs="Times New Roman"/>
          <w:color w:val="000000"/>
          <w:lang w:eastAsia="en-GB"/>
        </w:rPr>
        <w:t>/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understanding. </w:t>
      </w:r>
      <w:r w:rsidR="00E45C1E">
        <w:rPr>
          <w:rFonts w:ascii="Times New Roman" w:eastAsia="Times New Roman" w:hAnsi="Times New Roman" w:cs="Times New Roman"/>
          <w:color w:val="000000"/>
          <w:lang w:eastAsia="en-GB"/>
        </w:rPr>
        <w:t>The</w:t>
      </w:r>
      <w:r>
        <w:rPr>
          <w:rFonts w:ascii="Times New Roman" w:eastAsia="Times New Roman" w:hAnsi="Times New Roman" w:cs="Times New Roman"/>
          <w:color w:val="000000"/>
          <w:lang w:eastAsia="en-GB"/>
        </w:rPr>
        <w:t>se</w:t>
      </w:r>
      <w:r w:rsidR="00E45C1E">
        <w:rPr>
          <w:rFonts w:ascii="Times New Roman" w:eastAsia="Times New Roman" w:hAnsi="Times New Roman" w:cs="Times New Roman"/>
          <w:color w:val="000000"/>
          <w:lang w:eastAsia="en-GB"/>
        </w:rPr>
        <w:t xml:space="preserve"> results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have been presented to</w:t>
      </w:r>
      <w:r w:rsidR="00E45C1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194E69">
        <w:rPr>
          <w:rFonts w:ascii="Times New Roman" w:eastAsia="Times New Roman" w:hAnsi="Times New Roman" w:cs="Times New Roman"/>
          <w:color w:val="000000"/>
          <w:lang w:eastAsia="en-GB"/>
        </w:rPr>
        <w:t xml:space="preserve">our </w:t>
      </w:r>
      <w:r w:rsidR="00E45C1E">
        <w:rPr>
          <w:rFonts w:ascii="Times New Roman" w:eastAsia="Times New Roman" w:hAnsi="Times New Roman" w:cs="Times New Roman"/>
          <w:color w:val="000000"/>
          <w:lang w:eastAsia="en-GB"/>
        </w:rPr>
        <w:t xml:space="preserve">renal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MDT</w:t>
      </w:r>
      <w:r w:rsidR="00E45C1E">
        <w:rPr>
          <w:rFonts w:ascii="Times New Roman" w:eastAsia="Times New Roman" w:hAnsi="Times New Roman" w:cs="Times New Roman"/>
          <w:color w:val="000000"/>
          <w:lang w:eastAsia="en-GB"/>
        </w:rPr>
        <w:t xml:space="preserve"> and the importance of maximising phosphate binder, and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VDRa</w:t>
      </w:r>
      <w:r w:rsidR="00E45C1E">
        <w:rPr>
          <w:rFonts w:ascii="Times New Roman" w:eastAsia="Times New Roman" w:hAnsi="Times New Roman" w:cs="Times New Roman"/>
          <w:color w:val="000000"/>
          <w:lang w:eastAsia="en-GB"/>
        </w:rPr>
        <w:t xml:space="preserve"> therapy</w:t>
      </w:r>
      <w:r w:rsidR="00194E69">
        <w:rPr>
          <w:rFonts w:ascii="Times New Roman" w:eastAsia="Times New Roman" w:hAnsi="Times New Roman" w:cs="Times New Roman"/>
          <w:color w:val="000000"/>
          <w:lang w:eastAsia="en-GB"/>
        </w:rPr>
        <w:t xml:space="preserve"> has been</w:t>
      </w:r>
      <w:r w:rsidR="00E45C1E">
        <w:rPr>
          <w:rFonts w:ascii="Times New Roman" w:eastAsia="Times New Roman" w:hAnsi="Times New Roman" w:cs="Times New Roman"/>
          <w:color w:val="000000"/>
          <w:lang w:eastAsia="en-GB"/>
        </w:rPr>
        <w:t xml:space="preserve"> highlighted. </w:t>
      </w:r>
    </w:p>
    <w:p w:rsidR="006C2D8A" w:rsidRPr="006C2D8A" w:rsidRDefault="00934210" w:rsidP="00324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n-GB"/>
        </w:rPr>
      </w:pPr>
      <w:r w:rsidRPr="006C2D8A">
        <w:rPr>
          <w:rFonts w:ascii="Times New Roman" w:eastAsia="Times New Roman" w:hAnsi="Times New Roman" w:cs="Times New Roman"/>
          <w:b/>
          <w:color w:val="000000"/>
          <w:lang w:eastAsia="en-GB"/>
        </w:rPr>
        <w:t>Conclusion</w:t>
      </w:r>
    </w:p>
    <w:p w:rsidR="00CC3134" w:rsidRDefault="00D56512" w:rsidP="00D56512">
      <w:pPr>
        <w:spacing w:line="240" w:lineRule="auto"/>
        <w:jc w:val="both"/>
      </w:pPr>
      <w:r>
        <w:rPr>
          <w:rFonts w:ascii="Times New Roman" w:hAnsi="Times New Roman" w:cs="Times New Roman"/>
        </w:rPr>
        <w:t xml:space="preserve">Further </w:t>
      </w:r>
      <w:r w:rsidR="006C2D8A">
        <w:rPr>
          <w:rFonts w:ascii="Times New Roman" w:hAnsi="Times New Roman" w:cs="Times New Roman"/>
        </w:rPr>
        <w:t>audit</w:t>
      </w:r>
      <w:r>
        <w:rPr>
          <w:rFonts w:ascii="Times New Roman" w:hAnsi="Times New Roman" w:cs="Times New Roman"/>
        </w:rPr>
        <w:t>s at the main and other satellite</w:t>
      </w:r>
      <w:r w:rsidR="006C2D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HD units are required to fully understand the reflection of these results across our whole HD population. A repeat audit </w:t>
      </w:r>
      <w:r w:rsidR="006C2D8A">
        <w:rPr>
          <w:rFonts w:ascii="Times New Roman" w:hAnsi="Times New Roman" w:cs="Times New Roman"/>
        </w:rPr>
        <w:t xml:space="preserve">is planned to investigate </w:t>
      </w:r>
      <w:r>
        <w:rPr>
          <w:rFonts w:ascii="Times New Roman" w:hAnsi="Times New Roman" w:cs="Times New Roman"/>
        </w:rPr>
        <w:t xml:space="preserve">if </w:t>
      </w:r>
      <w:r w:rsidR="006C2D8A">
        <w:rPr>
          <w:rFonts w:ascii="Times New Roman" w:hAnsi="Times New Roman" w:cs="Times New Roman"/>
        </w:rPr>
        <w:t xml:space="preserve">improvements in </w:t>
      </w:r>
      <w:r>
        <w:rPr>
          <w:rFonts w:ascii="Times New Roman" w:hAnsi="Times New Roman" w:cs="Times New Roman"/>
        </w:rPr>
        <w:t xml:space="preserve">practice and </w:t>
      </w:r>
      <w:r w:rsidR="00194E69">
        <w:rPr>
          <w:rFonts w:ascii="Times New Roman" w:hAnsi="Times New Roman" w:cs="Times New Roman"/>
        </w:rPr>
        <w:t xml:space="preserve">subsequently </w:t>
      </w:r>
      <w:r>
        <w:rPr>
          <w:rFonts w:ascii="Times New Roman" w:hAnsi="Times New Roman" w:cs="Times New Roman"/>
        </w:rPr>
        <w:t>results</w:t>
      </w:r>
      <w:r w:rsidR="00702095">
        <w:rPr>
          <w:rFonts w:ascii="Times New Roman" w:hAnsi="Times New Roman" w:cs="Times New Roman"/>
        </w:rPr>
        <w:t xml:space="preserve"> will</w:t>
      </w:r>
      <w:r>
        <w:rPr>
          <w:rFonts w:ascii="Times New Roman" w:hAnsi="Times New Roman" w:cs="Times New Roman"/>
        </w:rPr>
        <w:t xml:space="preserve"> follow</w:t>
      </w:r>
      <w:r w:rsidR="006C2D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Renal dietitians are well placed to</w:t>
      </w:r>
      <w:r w:rsidRPr="006C2D8A">
        <w:rPr>
          <w:rFonts w:ascii="Times New Roman" w:hAnsi="Times New Roman" w:cs="Times New Roman"/>
        </w:rPr>
        <w:t xml:space="preserve"> help</w:t>
      </w:r>
      <w:r>
        <w:rPr>
          <w:rFonts w:ascii="Times New Roman" w:hAnsi="Times New Roman" w:cs="Times New Roman"/>
        </w:rPr>
        <w:t xml:space="preserve"> </w:t>
      </w:r>
      <w:r w:rsidRPr="006C2D8A">
        <w:rPr>
          <w:rFonts w:ascii="Times New Roman" w:hAnsi="Times New Roman" w:cs="Times New Roman"/>
        </w:rPr>
        <w:t>improve communication</w:t>
      </w:r>
      <w:r>
        <w:rPr>
          <w:rFonts w:ascii="Times New Roman" w:hAnsi="Times New Roman" w:cs="Times New Roman"/>
        </w:rPr>
        <w:t xml:space="preserve"> with the Nephrologist and HD nurse,</w:t>
      </w:r>
      <w:r w:rsidRPr="006C2D8A">
        <w:rPr>
          <w:rFonts w:ascii="Times New Roman" w:hAnsi="Times New Roman" w:cs="Times New Roman"/>
        </w:rPr>
        <w:t xml:space="preserve"> regarding necessary adjustments </w:t>
      </w:r>
      <w:r>
        <w:rPr>
          <w:rFonts w:ascii="Times New Roman" w:hAnsi="Times New Roman" w:cs="Times New Roman"/>
        </w:rPr>
        <w:t xml:space="preserve">in diet and medications. </w:t>
      </w:r>
    </w:p>
    <w:sectPr w:rsidR="00CC3134" w:rsidSect="001417EA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F0"/>
    <w:rsid w:val="00002BB5"/>
    <w:rsid w:val="00026D65"/>
    <w:rsid w:val="0005320D"/>
    <w:rsid w:val="00054A02"/>
    <w:rsid w:val="0009693C"/>
    <w:rsid w:val="000A5822"/>
    <w:rsid w:val="000D278D"/>
    <w:rsid w:val="000F29CB"/>
    <w:rsid w:val="001417EA"/>
    <w:rsid w:val="00194E69"/>
    <w:rsid w:val="002A5821"/>
    <w:rsid w:val="002C62E5"/>
    <w:rsid w:val="00324F24"/>
    <w:rsid w:val="00335125"/>
    <w:rsid w:val="004B0D79"/>
    <w:rsid w:val="005857AA"/>
    <w:rsid w:val="005F3683"/>
    <w:rsid w:val="00650671"/>
    <w:rsid w:val="0065311C"/>
    <w:rsid w:val="0068701C"/>
    <w:rsid w:val="006C2D8A"/>
    <w:rsid w:val="006D6F6F"/>
    <w:rsid w:val="006F23F0"/>
    <w:rsid w:val="00702095"/>
    <w:rsid w:val="007A721A"/>
    <w:rsid w:val="008645CD"/>
    <w:rsid w:val="008C0698"/>
    <w:rsid w:val="00934210"/>
    <w:rsid w:val="009A7403"/>
    <w:rsid w:val="00A8121D"/>
    <w:rsid w:val="00A83CEC"/>
    <w:rsid w:val="00BE73F2"/>
    <w:rsid w:val="00CC3134"/>
    <w:rsid w:val="00CE63CB"/>
    <w:rsid w:val="00D47D63"/>
    <w:rsid w:val="00D558C1"/>
    <w:rsid w:val="00D56512"/>
    <w:rsid w:val="00E20908"/>
    <w:rsid w:val="00E35000"/>
    <w:rsid w:val="00E45C1E"/>
    <w:rsid w:val="00EA199C"/>
    <w:rsid w:val="00F722FC"/>
    <w:rsid w:val="00FC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899DA3"/>
  <w15:docId w15:val="{2B9BBE5A-0291-46BE-9B27-FE1810F2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27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78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78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7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78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E73F2"/>
    <w:rPr>
      <w:strike w:val="0"/>
      <w:dstrike w:val="0"/>
      <w:color w:val="A90C3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nal.org/wp-content/uploads/2017/06/ckd-mineral-and-bone-disorders-ckd-mbd204ca231181561659443ff000014d4d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Bird Caroline (RKB) Senior Dietitian</dc:creator>
  <cp:lastModifiedBy>Caroline Bird</cp:lastModifiedBy>
  <cp:revision>2</cp:revision>
  <cp:lastPrinted>2018-01-30T11:23:00Z</cp:lastPrinted>
  <dcterms:created xsi:type="dcterms:W3CDTF">2018-01-30T17:23:00Z</dcterms:created>
  <dcterms:modified xsi:type="dcterms:W3CDTF">2018-01-30T17:23:00Z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-260002394</vt:i4>
  </property>
  <property fmtid="{D5CDD505-2E9C-101B-9397-08002B2CF9AE}" pid="3" name="_NewReviewCycle">
    <vt:lpwstr/>
  </property>
  <property fmtid="{D5CDD505-2E9C-101B-9397-08002B2CF9AE}" pid="4" name="_EmailSubject">
    <vt:lpwstr>BRS Abstract</vt:lpwstr>
  </property>
  <property fmtid="{D5CDD505-2E9C-101B-9397-08002B2CF9AE}" pid="5" name="_AuthorEmail">
    <vt:lpwstr>Sharon.Huish@uhcw.nhs.uk</vt:lpwstr>
  </property>
  <property fmtid="{D5CDD505-2E9C-101B-9397-08002B2CF9AE}" pid="6" name="_AuthorEmailDisplayName">
    <vt:lpwstr>Huish Sharon (RKB) Specialist Renal Dietitian</vt:lpwstr>
  </property>
  <property fmtid="{D5CDD505-2E9C-101B-9397-08002B2CF9AE}" pid="7" name="_PreviousAdHocReviewCycleID">
    <vt:i4>-2085841364</vt:i4>
  </property>
  <property fmtid="{D5CDD505-2E9C-101B-9397-08002B2CF9AE}" pid="8" name="_ReviewingToolsShownOnce">
    <vt:lpwstr/>
  </property>
</Properties>
</file>