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A2424" w14:textId="782A1D03" w:rsidR="00335CDC" w:rsidRPr="00B71B9E" w:rsidRDefault="00335CDC" w:rsidP="00034C3E">
      <w:pPr>
        <w:rPr>
          <w:rFonts w:asciiTheme="majorHAnsi" w:hAnsiTheme="majorHAnsi" w:cstheme="minorHAnsi"/>
          <w:b/>
          <w:sz w:val="20"/>
          <w:szCs w:val="20"/>
        </w:rPr>
      </w:pPr>
      <w:r w:rsidRPr="00B71B9E">
        <w:rPr>
          <w:rFonts w:asciiTheme="majorHAnsi" w:hAnsiTheme="majorHAnsi" w:cstheme="minorHAnsi"/>
          <w:b/>
          <w:sz w:val="20"/>
          <w:szCs w:val="20"/>
        </w:rPr>
        <w:t>Association of histo</w:t>
      </w:r>
      <w:r w:rsidR="0030741A" w:rsidRPr="00B71B9E">
        <w:rPr>
          <w:rFonts w:asciiTheme="majorHAnsi" w:hAnsiTheme="majorHAnsi" w:cstheme="minorHAnsi"/>
          <w:b/>
          <w:sz w:val="20"/>
          <w:szCs w:val="20"/>
        </w:rPr>
        <w:t>pathological</w:t>
      </w:r>
      <w:r w:rsidRPr="00B71B9E">
        <w:rPr>
          <w:rFonts w:asciiTheme="majorHAnsi" w:hAnsiTheme="majorHAnsi" w:cstheme="minorHAnsi"/>
          <w:b/>
          <w:sz w:val="20"/>
          <w:szCs w:val="20"/>
        </w:rPr>
        <w:t xml:space="preserve"> variants with outcomes in IgA Nephropathy</w:t>
      </w:r>
    </w:p>
    <w:p w14:paraId="716D3C56" w14:textId="61551608" w:rsidR="00137091" w:rsidRPr="00B71B9E" w:rsidRDefault="00EE0432" w:rsidP="00137091">
      <w:pPr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B71B9E">
        <w:rPr>
          <w:rFonts w:asciiTheme="majorHAnsi" w:hAnsiTheme="majorHAnsi" w:cstheme="minorHAnsi"/>
          <w:b/>
          <w:sz w:val="20"/>
          <w:szCs w:val="20"/>
        </w:rPr>
        <w:t>Introduction</w:t>
      </w:r>
    </w:p>
    <w:p w14:paraId="56C6F24E" w14:textId="6714D4A3" w:rsidR="00137091" w:rsidRPr="00B71B9E" w:rsidRDefault="00594048" w:rsidP="00137091">
      <w:pPr>
        <w:spacing w:after="0"/>
        <w:rPr>
          <w:rFonts w:asciiTheme="majorHAnsi" w:hAnsiTheme="majorHAnsi" w:cstheme="minorHAnsi"/>
          <w:sz w:val="20"/>
          <w:szCs w:val="20"/>
        </w:rPr>
      </w:pPr>
      <w:r w:rsidRPr="00B71B9E">
        <w:rPr>
          <w:rFonts w:asciiTheme="majorHAnsi" w:hAnsiTheme="majorHAnsi" w:cstheme="minorHAnsi"/>
          <w:sz w:val="20"/>
          <w:szCs w:val="20"/>
        </w:rPr>
        <w:t xml:space="preserve">IgA nephropathy is the most prevalent cause of </w:t>
      </w:r>
      <w:r w:rsidR="00FB7F74" w:rsidRPr="00B71B9E">
        <w:rPr>
          <w:rFonts w:asciiTheme="majorHAnsi" w:hAnsiTheme="majorHAnsi" w:cstheme="minorHAnsi"/>
          <w:sz w:val="20"/>
          <w:szCs w:val="20"/>
        </w:rPr>
        <w:t>glomerular disease worldwide</w:t>
      </w:r>
      <w:r w:rsidR="00270A85" w:rsidRPr="00B71B9E">
        <w:rPr>
          <w:rFonts w:asciiTheme="majorHAnsi" w:hAnsiTheme="majorHAnsi" w:cstheme="minorHAnsi"/>
          <w:sz w:val="20"/>
          <w:szCs w:val="20"/>
        </w:rPr>
        <w:t>.</w:t>
      </w:r>
      <w:r w:rsidR="00FB7F74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7F739A" w:rsidRPr="00B71B9E">
        <w:rPr>
          <w:rFonts w:asciiTheme="majorHAnsi" w:hAnsiTheme="majorHAnsi" w:cstheme="minorHAnsi"/>
          <w:sz w:val="20"/>
          <w:szCs w:val="20"/>
        </w:rPr>
        <w:t>The OXFORD</w:t>
      </w:r>
      <w:r w:rsidR="00C053DE" w:rsidRPr="00B71B9E">
        <w:rPr>
          <w:rFonts w:asciiTheme="majorHAnsi" w:hAnsiTheme="majorHAnsi" w:cstheme="minorHAnsi"/>
          <w:sz w:val="20"/>
          <w:szCs w:val="20"/>
        </w:rPr>
        <w:t xml:space="preserve"> MEST criteria </w:t>
      </w:r>
      <w:r w:rsidR="00A61D73" w:rsidRPr="00B71B9E">
        <w:rPr>
          <w:rFonts w:asciiTheme="majorHAnsi" w:hAnsiTheme="majorHAnsi" w:cstheme="minorHAnsi"/>
          <w:sz w:val="20"/>
          <w:szCs w:val="20"/>
        </w:rPr>
        <w:t>gave</w:t>
      </w:r>
      <w:r w:rsidR="00C053DE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005937" w:rsidRPr="00B71B9E">
        <w:rPr>
          <w:rFonts w:asciiTheme="majorHAnsi" w:hAnsiTheme="majorHAnsi" w:cstheme="minorHAnsi"/>
          <w:sz w:val="20"/>
          <w:szCs w:val="20"/>
        </w:rPr>
        <w:t>a consensus criterion</w:t>
      </w:r>
      <w:r w:rsidR="00C053DE" w:rsidRPr="00B71B9E">
        <w:rPr>
          <w:rFonts w:asciiTheme="majorHAnsi" w:hAnsiTheme="majorHAnsi" w:cstheme="minorHAnsi"/>
          <w:sz w:val="20"/>
          <w:szCs w:val="20"/>
        </w:rPr>
        <w:t xml:space="preserve"> for the pathological classification of IgA nephropathy that would enable</w:t>
      </w:r>
      <w:r w:rsidR="00270A85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C053DE" w:rsidRPr="00B71B9E">
        <w:rPr>
          <w:rFonts w:asciiTheme="majorHAnsi" w:hAnsiTheme="majorHAnsi" w:cstheme="minorHAnsi"/>
          <w:sz w:val="20"/>
          <w:szCs w:val="20"/>
        </w:rPr>
        <w:t>accurate prediction of disease progression and individual prognostication.</w:t>
      </w:r>
      <w:r w:rsidR="00270A85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005937" w:rsidRPr="00B71B9E">
        <w:rPr>
          <w:rFonts w:asciiTheme="majorHAnsi" w:hAnsiTheme="majorHAnsi" w:cstheme="minorHAnsi"/>
          <w:bCs/>
          <w:sz w:val="20"/>
          <w:szCs w:val="20"/>
        </w:rPr>
        <w:t>T</w:t>
      </w:r>
      <w:r w:rsidR="00270A85" w:rsidRPr="00B71B9E">
        <w:rPr>
          <w:rFonts w:asciiTheme="majorHAnsi" w:hAnsiTheme="majorHAnsi" w:cstheme="minorHAnsi"/>
          <w:bCs/>
          <w:sz w:val="20"/>
          <w:szCs w:val="20"/>
        </w:rPr>
        <w:t>he IgA Nephropathy Classification Working Group now recommen</w:t>
      </w:r>
      <w:r w:rsidR="00005937" w:rsidRPr="00B71B9E">
        <w:rPr>
          <w:rFonts w:asciiTheme="majorHAnsi" w:hAnsiTheme="majorHAnsi" w:cstheme="minorHAnsi"/>
          <w:bCs/>
          <w:sz w:val="20"/>
          <w:szCs w:val="20"/>
        </w:rPr>
        <w:t>ds</w:t>
      </w:r>
      <w:r w:rsidR="00270A85" w:rsidRPr="00B71B9E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F14860" w:rsidRPr="00B71B9E">
        <w:rPr>
          <w:rFonts w:asciiTheme="majorHAnsi" w:hAnsiTheme="majorHAnsi" w:cstheme="minorHAnsi"/>
          <w:bCs/>
          <w:sz w:val="20"/>
          <w:szCs w:val="20"/>
        </w:rPr>
        <w:t>adding</w:t>
      </w:r>
      <w:r w:rsidR="00270A85" w:rsidRPr="00B71B9E">
        <w:rPr>
          <w:rFonts w:asciiTheme="majorHAnsi" w:hAnsiTheme="majorHAnsi" w:cstheme="minorHAnsi"/>
          <w:bCs/>
          <w:sz w:val="20"/>
          <w:szCs w:val="20"/>
        </w:rPr>
        <w:t xml:space="preserve"> crescents (C) to the MEST scoring criteria</w:t>
      </w:r>
      <w:r w:rsidR="0084128D" w:rsidRPr="00B71B9E">
        <w:rPr>
          <w:rFonts w:asciiTheme="majorHAnsi" w:hAnsiTheme="majorHAnsi" w:cstheme="minorHAnsi"/>
          <w:bCs/>
          <w:sz w:val="20"/>
          <w:szCs w:val="20"/>
        </w:rPr>
        <w:t>. Ongoing evaluation o</w:t>
      </w:r>
      <w:r w:rsidR="008B3766" w:rsidRPr="00B71B9E">
        <w:rPr>
          <w:rFonts w:asciiTheme="majorHAnsi" w:hAnsiTheme="majorHAnsi" w:cstheme="minorHAnsi"/>
          <w:bCs/>
          <w:sz w:val="20"/>
          <w:szCs w:val="20"/>
        </w:rPr>
        <w:t>f</w:t>
      </w:r>
      <w:r w:rsidR="0084128D" w:rsidRPr="00B71B9E">
        <w:rPr>
          <w:rFonts w:asciiTheme="majorHAnsi" w:hAnsiTheme="majorHAnsi" w:cstheme="minorHAnsi"/>
          <w:bCs/>
          <w:sz w:val="20"/>
          <w:szCs w:val="20"/>
        </w:rPr>
        <w:t xml:space="preserve"> the predictive utility of </w:t>
      </w:r>
      <w:r w:rsidR="00F14860" w:rsidRPr="00B71B9E">
        <w:rPr>
          <w:rFonts w:asciiTheme="majorHAnsi" w:hAnsiTheme="majorHAnsi" w:cstheme="minorHAnsi"/>
          <w:bCs/>
          <w:sz w:val="20"/>
          <w:szCs w:val="20"/>
        </w:rPr>
        <w:t xml:space="preserve">these </w:t>
      </w:r>
      <w:r w:rsidR="0084128D" w:rsidRPr="00B71B9E">
        <w:rPr>
          <w:rFonts w:asciiTheme="majorHAnsi" w:hAnsiTheme="majorHAnsi" w:cstheme="minorHAnsi"/>
          <w:bCs/>
          <w:sz w:val="20"/>
          <w:szCs w:val="20"/>
        </w:rPr>
        <w:t>scoring sy</w:t>
      </w:r>
      <w:r w:rsidR="00F14860" w:rsidRPr="00B71B9E">
        <w:rPr>
          <w:rFonts w:asciiTheme="majorHAnsi" w:hAnsiTheme="majorHAnsi" w:cstheme="minorHAnsi"/>
          <w:bCs/>
          <w:sz w:val="20"/>
          <w:szCs w:val="20"/>
        </w:rPr>
        <w:t>s</w:t>
      </w:r>
      <w:r w:rsidR="0084128D" w:rsidRPr="00B71B9E">
        <w:rPr>
          <w:rFonts w:asciiTheme="majorHAnsi" w:hAnsiTheme="majorHAnsi" w:cstheme="minorHAnsi"/>
          <w:bCs/>
          <w:sz w:val="20"/>
          <w:szCs w:val="20"/>
        </w:rPr>
        <w:t>t</w:t>
      </w:r>
      <w:r w:rsidR="00F14860" w:rsidRPr="00B71B9E">
        <w:rPr>
          <w:rFonts w:asciiTheme="majorHAnsi" w:hAnsiTheme="majorHAnsi" w:cstheme="minorHAnsi"/>
          <w:bCs/>
          <w:sz w:val="20"/>
          <w:szCs w:val="20"/>
        </w:rPr>
        <w:t>em</w:t>
      </w:r>
      <w:r w:rsidR="004D2F5D" w:rsidRPr="00B71B9E">
        <w:rPr>
          <w:rFonts w:asciiTheme="majorHAnsi" w:hAnsiTheme="majorHAnsi" w:cstheme="minorHAnsi"/>
          <w:bCs/>
          <w:sz w:val="20"/>
          <w:szCs w:val="20"/>
        </w:rPr>
        <w:t>s</w:t>
      </w:r>
      <w:r w:rsidR="0084128D" w:rsidRPr="00B71B9E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F14860" w:rsidRPr="00B71B9E">
        <w:rPr>
          <w:rFonts w:asciiTheme="majorHAnsi" w:hAnsiTheme="majorHAnsi" w:cstheme="minorHAnsi"/>
          <w:bCs/>
          <w:sz w:val="20"/>
          <w:szCs w:val="20"/>
        </w:rPr>
        <w:t>is</w:t>
      </w:r>
      <w:r w:rsidR="004D2F5D" w:rsidRPr="00B71B9E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F14860" w:rsidRPr="00B71B9E">
        <w:rPr>
          <w:rFonts w:asciiTheme="majorHAnsi" w:hAnsiTheme="majorHAnsi" w:cstheme="minorHAnsi"/>
          <w:bCs/>
          <w:sz w:val="20"/>
          <w:szCs w:val="20"/>
        </w:rPr>
        <w:t>recommended for early effective treatment intervention.</w:t>
      </w:r>
    </w:p>
    <w:p w14:paraId="41A98CC9" w14:textId="2DEB5168" w:rsidR="00137091" w:rsidRPr="00B71B9E" w:rsidRDefault="00335CDC" w:rsidP="00137091">
      <w:pPr>
        <w:spacing w:after="0"/>
        <w:rPr>
          <w:rFonts w:asciiTheme="majorHAnsi" w:hAnsiTheme="majorHAnsi" w:cstheme="minorHAnsi"/>
          <w:sz w:val="20"/>
          <w:szCs w:val="20"/>
        </w:rPr>
      </w:pPr>
      <w:r w:rsidRPr="00B71B9E">
        <w:rPr>
          <w:rFonts w:asciiTheme="majorHAnsi" w:hAnsiTheme="majorHAnsi" w:cstheme="minorHAnsi"/>
          <w:b/>
          <w:sz w:val="20"/>
          <w:szCs w:val="20"/>
        </w:rPr>
        <w:t>Objectives</w:t>
      </w:r>
    </w:p>
    <w:p w14:paraId="2896F12D" w14:textId="252E7205" w:rsidR="00137091" w:rsidRPr="00B71B9E" w:rsidRDefault="00335CDC" w:rsidP="00137091">
      <w:pPr>
        <w:spacing w:after="0"/>
        <w:rPr>
          <w:rFonts w:asciiTheme="majorHAnsi" w:hAnsiTheme="majorHAnsi" w:cstheme="minorHAnsi"/>
          <w:sz w:val="20"/>
          <w:szCs w:val="20"/>
        </w:rPr>
      </w:pPr>
      <w:r w:rsidRPr="00B71B9E">
        <w:rPr>
          <w:rFonts w:asciiTheme="majorHAnsi" w:hAnsiTheme="majorHAnsi" w:cstheme="minorHAnsi"/>
          <w:sz w:val="20"/>
          <w:szCs w:val="20"/>
        </w:rPr>
        <w:t xml:space="preserve">To </w:t>
      </w:r>
      <w:r w:rsidR="0084128D" w:rsidRPr="00B71B9E">
        <w:rPr>
          <w:rFonts w:asciiTheme="majorHAnsi" w:hAnsiTheme="majorHAnsi" w:cstheme="minorHAnsi"/>
          <w:sz w:val="20"/>
          <w:szCs w:val="20"/>
        </w:rPr>
        <w:t>investigate</w:t>
      </w:r>
      <w:r w:rsidRPr="00B71B9E">
        <w:rPr>
          <w:rFonts w:asciiTheme="majorHAnsi" w:hAnsiTheme="majorHAnsi" w:cstheme="minorHAnsi"/>
          <w:sz w:val="20"/>
          <w:szCs w:val="20"/>
        </w:rPr>
        <w:t xml:space="preserve"> the association of </w:t>
      </w:r>
      <w:r w:rsidR="00A61D73" w:rsidRPr="00B71B9E">
        <w:rPr>
          <w:rFonts w:asciiTheme="majorHAnsi" w:hAnsiTheme="majorHAnsi" w:cstheme="minorHAnsi"/>
          <w:sz w:val="20"/>
          <w:szCs w:val="20"/>
        </w:rPr>
        <w:t xml:space="preserve">baseline </w:t>
      </w:r>
      <w:r w:rsidR="00CB26D2" w:rsidRPr="00B71B9E">
        <w:rPr>
          <w:rFonts w:asciiTheme="majorHAnsi" w:hAnsiTheme="majorHAnsi" w:cstheme="minorHAnsi"/>
          <w:sz w:val="20"/>
          <w:szCs w:val="20"/>
        </w:rPr>
        <w:t xml:space="preserve">clinical data and </w:t>
      </w:r>
      <w:r w:rsidRPr="00B71B9E">
        <w:rPr>
          <w:rFonts w:asciiTheme="majorHAnsi" w:hAnsiTheme="majorHAnsi" w:cstheme="minorHAnsi"/>
          <w:sz w:val="20"/>
          <w:szCs w:val="20"/>
        </w:rPr>
        <w:t xml:space="preserve">histological variants upon renal outcomes in </w:t>
      </w:r>
      <w:r w:rsidR="00137091" w:rsidRPr="00B71B9E">
        <w:rPr>
          <w:rFonts w:asciiTheme="majorHAnsi" w:hAnsiTheme="majorHAnsi" w:cstheme="minorHAnsi"/>
          <w:sz w:val="20"/>
          <w:szCs w:val="20"/>
        </w:rPr>
        <w:t>our</w:t>
      </w:r>
      <w:r w:rsidR="00725EA9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Pr="00B71B9E">
        <w:rPr>
          <w:rFonts w:asciiTheme="majorHAnsi" w:hAnsiTheme="majorHAnsi" w:cstheme="minorHAnsi"/>
          <w:sz w:val="20"/>
          <w:szCs w:val="20"/>
        </w:rPr>
        <w:t xml:space="preserve">cohort </w:t>
      </w:r>
      <w:r w:rsidR="00137091" w:rsidRPr="00B71B9E">
        <w:rPr>
          <w:rFonts w:asciiTheme="majorHAnsi" w:hAnsiTheme="majorHAnsi" w:cstheme="minorHAnsi"/>
          <w:sz w:val="20"/>
          <w:szCs w:val="20"/>
        </w:rPr>
        <w:t xml:space="preserve">of patients </w:t>
      </w:r>
      <w:r w:rsidR="00725EA9" w:rsidRPr="00B71B9E">
        <w:rPr>
          <w:rFonts w:asciiTheme="majorHAnsi" w:hAnsiTheme="majorHAnsi" w:cstheme="minorHAnsi"/>
          <w:sz w:val="20"/>
          <w:szCs w:val="20"/>
        </w:rPr>
        <w:t>with IgA nephrop</w:t>
      </w:r>
      <w:r w:rsidR="00A61D73" w:rsidRPr="00B71B9E">
        <w:rPr>
          <w:rFonts w:asciiTheme="majorHAnsi" w:hAnsiTheme="majorHAnsi" w:cstheme="minorHAnsi"/>
          <w:sz w:val="20"/>
          <w:szCs w:val="20"/>
        </w:rPr>
        <w:t>athy</w:t>
      </w:r>
      <w:r w:rsidR="0061599F" w:rsidRPr="00B71B9E">
        <w:rPr>
          <w:rFonts w:asciiTheme="majorHAnsi" w:hAnsiTheme="majorHAnsi" w:cstheme="minorHAnsi"/>
          <w:sz w:val="20"/>
          <w:szCs w:val="20"/>
        </w:rPr>
        <w:t xml:space="preserve"> over a long-term follow-up</w:t>
      </w:r>
      <w:r w:rsidR="00725EA9" w:rsidRPr="00B71B9E">
        <w:rPr>
          <w:rFonts w:asciiTheme="majorHAnsi" w:hAnsiTheme="majorHAnsi" w:cstheme="minorHAnsi"/>
          <w:sz w:val="20"/>
          <w:szCs w:val="20"/>
        </w:rPr>
        <w:t xml:space="preserve">. </w:t>
      </w:r>
    </w:p>
    <w:p w14:paraId="37771075" w14:textId="1BF9892A" w:rsidR="00672DDB" w:rsidRPr="00B71B9E" w:rsidRDefault="00F344BE" w:rsidP="00672DDB">
      <w:pPr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B71B9E">
        <w:rPr>
          <w:rFonts w:asciiTheme="majorHAnsi" w:hAnsiTheme="majorHAnsi" w:cstheme="minorHAnsi"/>
          <w:b/>
          <w:sz w:val="20"/>
          <w:szCs w:val="20"/>
        </w:rPr>
        <w:t>Methods</w:t>
      </w:r>
    </w:p>
    <w:p w14:paraId="4A359695" w14:textId="32C81A0C" w:rsidR="00F10D57" w:rsidRPr="00B71B9E" w:rsidRDefault="00725EA9" w:rsidP="00672DDB">
      <w:pPr>
        <w:spacing w:after="0"/>
        <w:rPr>
          <w:rFonts w:asciiTheme="majorHAnsi" w:hAnsiTheme="majorHAnsi" w:cstheme="minorHAnsi"/>
          <w:sz w:val="20"/>
          <w:szCs w:val="20"/>
        </w:rPr>
      </w:pPr>
      <w:r w:rsidRPr="00B71B9E">
        <w:rPr>
          <w:rFonts w:asciiTheme="majorHAnsi" w:hAnsiTheme="majorHAnsi" w:cstheme="minorHAnsi"/>
          <w:sz w:val="20"/>
          <w:szCs w:val="20"/>
        </w:rPr>
        <w:t>A</w:t>
      </w:r>
      <w:r w:rsidR="00A61D73" w:rsidRPr="00B71B9E">
        <w:rPr>
          <w:rFonts w:asciiTheme="majorHAnsi" w:hAnsiTheme="majorHAnsi" w:cstheme="minorHAnsi"/>
          <w:sz w:val="20"/>
          <w:szCs w:val="20"/>
        </w:rPr>
        <w:t>ll</w:t>
      </w:r>
      <w:r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7C27CC" w:rsidRPr="00B71B9E">
        <w:rPr>
          <w:rFonts w:asciiTheme="majorHAnsi" w:hAnsiTheme="majorHAnsi" w:cstheme="minorHAnsi"/>
          <w:sz w:val="20"/>
          <w:szCs w:val="20"/>
        </w:rPr>
        <w:t xml:space="preserve">available </w:t>
      </w:r>
      <w:r w:rsidRPr="00B71B9E">
        <w:rPr>
          <w:rFonts w:asciiTheme="majorHAnsi" w:hAnsiTheme="majorHAnsi" w:cstheme="minorHAnsi"/>
          <w:sz w:val="20"/>
          <w:szCs w:val="20"/>
        </w:rPr>
        <w:t>patient</w:t>
      </w:r>
      <w:r w:rsidR="00A61D73" w:rsidRPr="00B71B9E">
        <w:rPr>
          <w:rFonts w:asciiTheme="majorHAnsi" w:hAnsiTheme="majorHAnsi" w:cstheme="minorHAnsi"/>
          <w:sz w:val="20"/>
          <w:szCs w:val="20"/>
        </w:rPr>
        <w:t>s</w:t>
      </w:r>
      <w:r w:rsidRPr="00B71B9E">
        <w:rPr>
          <w:rFonts w:asciiTheme="majorHAnsi" w:hAnsiTheme="majorHAnsi" w:cstheme="minorHAnsi"/>
          <w:sz w:val="20"/>
          <w:szCs w:val="20"/>
        </w:rPr>
        <w:t xml:space="preserve"> with biopsy</w:t>
      </w:r>
      <w:r w:rsidR="002816F3" w:rsidRPr="00B71B9E">
        <w:rPr>
          <w:rFonts w:asciiTheme="majorHAnsi" w:hAnsiTheme="majorHAnsi" w:cstheme="minorHAnsi"/>
          <w:sz w:val="20"/>
          <w:szCs w:val="20"/>
        </w:rPr>
        <w:t>-</w:t>
      </w:r>
      <w:r w:rsidRPr="00B71B9E">
        <w:rPr>
          <w:rFonts w:asciiTheme="majorHAnsi" w:hAnsiTheme="majorHAnsi" w:cstheme="minorHAnsi"/>
          <w:sz w:val="20"/>
          <w:szCs w:val="20"/>
        </w:rPr>
        <w:t>proven IgA nephropathy</w:t>
      </w:r>
      <w:r w:rsidR="007C27CC" w:rsidRPr="00B71B9E">
        <w:rPr>
          <w:rFonts w:asciiTheme="majorHAnsi" w:hAnsiTheme="majorHAnsi" w:cstheme="minorHAnsi"/>
          <w:sz w:val="20"/>
          <w:szCs w:val="20"/>
        </w:rPr>
        <w:t xml:space="preserve"> in our centre</w:t>
      </w:r>
      <w:r w:rsidRPr="00B71B9E">
        <w:rPr>
          <w:rFonts w:asciiTheme="majorHAnsi" w:hAnsiTheme="majorHAnsi" w:cstheme="minorHAnsi"/>
          <w:sz w:val="20"/>
          <w:szCs w:val="20"/>
        </w:rPr>
        <w:t xml:space="preserve"> between January 2001 and December 2013 </w:t>
      </w:r>
      <w:r w:rsidR="007C27CC" w:rsidRPr="00B71B9E">
        <w:rPr>
          <w:rFonts w:asciiTheme="majorHAnsi" w:hAnsiTheme="majorHAnsi" w:cstheme="minorHAnsi"/>
          <w:sz w:val="20"/>
          <w:szCs w:val="20"/>
        </w:rPr>
        <w:t>were recruited to this</w:t>
      </w:r>
      <w:r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F10D57" w:rsidRPr="00B71B9E">
        <w:rPr>
          <w:rFonts w:asciiTheme="majorHAnsi" w:hAnsiTheme="majorHAnsi" w:cstheme="minorHAnsi"/>
          <w:sz w:val="20"/>
          <w:szCs w:val="20"/>
        </w:rPr>
        <w:t xml:space="preserve">longitudinal </w:t>
      </w:r>
      <w:r w:rsidRPr="00B71B9E">
        <w:rPr>
          <w:rFonts w:asciiTheme="majorHAnsi" w:hAnsiTheme="majorHAnsi" w:cstheme="minorHAnsi"/>
          <w:sz w:val="20"/>
          <w:szCs w:val="20"/>
        </w:rPr>
        <w:t xml:space="preserve">retrospective </w:t>
      </w:r>
      <w:r w:rsidR="00F10D57" w:rsidRPr="00B71B9E">
        <w:rPr>
          <w:rFonts w:asciiTheme="majorHAnsi" w:hAnsiTheme="majorHAnsi" w:cstheme="minorHAnsi"/>
          <w:sz w:val="20"/>
          <w:szCs w:val="20"/>
        </w:rPr>
        <w:t xml:space="preserve">observational study. </w:t>
      </w:r>
      <w:r w:rsidR="00350BFB" w:rsidRPr="00B71B9E">
        <w:rPr>
          <w:rFonts w:asciiTheme="majorHAnsi" w:hAnsiTheme="majorHAnsi" w:cstheme="minorHAnsi"/>
          <w:sz w:val="20"/>
          <w:szCs w:val="20"/>
        </w:rPr>
        <w:t>Baseline data at the time of biopsy</w:t>
      </w:r>
      <w:r w:rsidR="00F10D57" w:rsidRPr="00B71B9E">
        <w:rPr>
          <w:rFonts w:asciiTheme="majorHAnsi" w:hAnsiTheme="majorHAnsi" w:cstheme="minorHAnsi"/>
          <w:sz w:val="20"/>
          <w:szCs w:val="20"/>
        </w:rPr>
        <w:t xml:space="preserve"> included demographics, </w:t>
      </w:r>
      <w:r w:rsidRPr="00B71B9E">
        <w:rPr>
          <w:rFonts w:asciiTheme="majorHAnsi" w:hAnsiTheme="majorHAnsi" w:cstheme="minorHAnsi"/>
          <w:sz w:val="20"/>
          <w:szCs w:val="20"/>
        </w:rPr>
        <w:t xml:space="preserve">laboratory </w:t>
      </w:r>
      <w:r w:rsidR="00F10D57" w:rsidRPr="00B71B9E">
        <w:rPr>
          <w:rFonts w:asciiTheme="majorHAnsi" w:hAnsiTheme="majorHAnsi" w:cstheme="minorHAnsi"/>
          <w:sz w:val="20"/>
          <w:szCs w:val="20"/>
        </w:rPr>
        <w:t>and histopathological variants. F</w:t>
      </w:r>
      <w:r w:rsidR="00350BFB" w:rsidRPr="00B71B9E">
        <w:rPr>
          <w:rFonts w:asciiTheme="majorHAnsi" w:hAnsiTheme="majorHAnsi" w:cstheme="minorHAnsi"/>
          <w:sz w:val="20"/>
          <w:szCs w:val="20"/>
        </w:rPr>
        <w:t>ollow up data on renal function</w:t>
      </w:r>
      <w:r w:rsidR="00F10D57" w:rsidRPr="00B71B9E">
        <w:rPr>
          <w:rFonts w:asciiTheme="majorHAnsi" w:hAnsiTheme="majorHAnsi" w:cstheme="minorHAnsi"/>
          <w:sz w:val="20"/>
          <w:szCs w:val="20"/>
        </w:rPr>
        <w:t xml:space="preserve"> and mortality data were collected until </w:t>
      </w:r>
      <w:r w:rsidR="00350BFB" w:rsidRPr="00B71B9E">
        <w:rPr>
          <w:rFonts w:asciiTheme="majorHAnsi" w:hAnsiTheme="majorHAnsi" w:cstheme="minorHAnsi"/>
          <w:sz w:val="20"/>
          <w:szCs w:val="20"/>
        </w:rPr>
        <w:t xml:space="preserve">the </w:t>
      </w:r>
      <w:r w:rsidR="00F10D57" w:rsidRPr="00B71B9E">
        <w:rPr>
          <w:rFonts w:asciiTheme="majorHAnsi" w:hAnsiTheme="majorHAnsi" w:cstheme="minorHAnsi"/>
          <w:sz w:val="20"/>
          <w:szCs w:val="20"/>
        </w:rPr>
        <w:t>study end points</w:t>
      </w:r>
      <w:r w:rsidR="00350BFB" w:rsidRPr="00B71B9E">
        <w:rPr>
          <w:rFonts w:asciiTheme="majorHAnsi" w:hAnsiTheme="majorHAnsi" w:cstheme="minorHAnsi"/>
          <w:sz w:val="20"/>
          <w:szCs w:val="20"/>
        </w:rPr>
        <w:t xml:space="preserve"> which included death, loss to follow-up,</w:t>
      </w:r>
      <w:r w:rsidR="00F10D57" w:rsidRPr="00B71B9E">
        <w:rPr>
          <w:rFonts w:asciiTheme="majorHAnsi" w:hAnsiTheme="majorHAnsi" w:cstheme="minorHAnsi"/>
          <w:sz w:val="20"/>
          <w:szCs w:val="20"/>
        </w:rPr>
        <w:t xml:space="preserve"> end-stage renal disease</w:t>
      </w:r>
      <w:r w:rsidR="00C04FF9" w:rsidRPr="00B71B9E">
        <w:rPr>
          <w:rFonts w:asciiTheme="majorHAnsi" w:hAnsiTheme="majorHAnsi" w:cstheme="minorHAnsi"/>
          <w:sz w:val="20"/>
          <w:szCs w:val="20"/>
        </w:rPr>
        <w:t xml:space="preserve"> (ESRD)</w:t>
      </w:r>
      <w:r w:rsidR="00F10D57" w:rsidRPr="00B71B9E">
        <w:rPr>
          <w:rFonts w:asciiTheme="majorHAnsi" w:hAnsiTheme="majorHAnsi" w:cstheme="minorHAnsi"/>
          <w:sz w:val="20"/>
          <w:szCs w:val="20"/>
        </w:rPr>
        <w:t xml:space="preserve"> and </w:t>
      </w:r>
      <w:r w:rsidR="0084128D" w:rsidRPr="00B71B9E">
        <w:rPr>
          <w:rFonts w:asciiTheme="majorHAnsi" w:hAnsiTheme="majorHAnsi" w:cstheme="minorHAnsi"/>
          <w:sz w:val="20"/>
          <w:szCs w:val="20"/>
        </w:rPr>
        <w:t xml:space="preserve">an </w:t>
      </w:r>
      <w:r w:rsidR="00F10D57" w:rsidRPr="00B71B9E">
        <w:rPr>
          <w:rFonts w:asciiTheme="majorHAnsi" w:hAnsiTheme="majorHAnsi" w:cstheme="minorHAnsi"/>
          <w:sz w:val="20"/>
          <w:szCs w:val="20"/>
        </w:rPr>
        <w:t>arbitrary end date 31/7/2017.</w:t>
      </w:r>
      <w:r w:rsidR="00262881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C04FF9" w:rsidRPr="00B71B9E">
        <w:rPr>
          <w:rFonts w:asciiTheme="majorHAnsi" w:hAnsiTheme="majorHAnsi" w:cstheme="minorHAnsi"/>
          <w:sz w:val="20"/>
          <w:szCs w:val="20"/>
        </w:rPr>
        <w:t>Cox regression analysis was used to assess the association of baseline characteristics and histopathologic</w:t>
      </w:r>
      <w:r w:rsidR="00350BFB" w:rsidRPr="00B71B9E">
        <w:rPr>
          <w:rFonts w:asciiTheme="majorHAnsi" w:hAnsiTheme="majorHAnsi" w:cstheme="minorHAnsi"/>
          <w:sz w:val="20"/>
          <w:szCs w:val="20"/>
        </w:rPr>
        <w:t>al variants with renal outcome</w:t>
      </w:r>
      <w:r w:rsidR="004D2F5D" w:rsidRPr="00B71B9E">
        <w:rPr>
          <w:rFonts w:asciiTheme="majorHAnsi" w:hAnsiTheme="majorHAnsi" w:cstheme="minorHAnsi"/>
          <w:sz w:val="20"/>
          <w:szCs w:val="20"/>
        </w:rPr>
        <w:t>s</w:t>
      </w:r>
      <w:r w:rsidR="00350BFB" w:rsidRPr="00B71B9E">
        <w:rPr>
          <w:rFonts w:asciiTheme="majorHAnsi" w:hAnsiTheme="majorHAnsi" w:cstheme="minorHAnsi"/>
          <w:sz w:val="20"/>
          <w:szCs w:val="20"/>
        </w:rPr>
        <w:t xml:space="preserve">: </w:t>
      </w:r>
      <w:r w:rsidR="00C04FF9" w:rsidRPr="00B71B9E">
        <w:rPr>
          <w:rFonts w:asciiTheme="majorHAnsi" w:hAnsiTheme="majorHAnsi" w:cstheme="minorHAnsi"/>
          <w:sz w:val="20"/>
          <w:szCs w:val="20"/>
        </w:rPr>
        <w:t>doubling of se</w:t>
      </w:r>
      <w:r w:rsidR="00350BFB" w:rsidRPr="00B71B9E">
        <w:rPr>
          <w:rFonts w:asciiTheme="majorHAnsi" w:hAnsiTheme="majorHAnsi" w:cstheme="minorHAnsi"/>
          <w:sz w:val="20"/>
          <w:szCs w:val="20"/>
        </w:rPr>
        <w:t>rum creatinine or reaching ESRD</w:t>
      </w:r>
      <w:r w:rsidR="00C04FF9" w:rsidRPr="00B71B9E">
        <w:rPr>
          <w:rFonts w:asciiTheme="majorHAnsi" w:hAnsiTheme="majorHAnsi" w:cstheme="minorHAnsi"/>
          <w:sz w:val="20"/>
          <w:szCs w:val="20"/>
        </w:rPr>
        <w:t xml:space="preserve">. </w:t>
      </w:r>
    </w:p>
    <w:p w14:paraId="2D08FB77" w14:textId="77777777" w:rsidR="005B4F78" w:rsidRPr="00B71B9E" w:rsidRDefault="00A12593" w:rsidP="005B4F78">
      <w:pPr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B71B9E">
        <w:rPr>
          <w:rFonts w:asciiTheme="majorHAnsi" w:hAnsiTheme="majorHAnsi" w:cstheme="minorHAnsi"/>
          <w:b/>
          <w:sz w:val="20"/>
          <w:szCs w:val="20"/>
        </w:rPr>
        <w:t>Results</w:t>
      </w:r>
    </w:p>
    <w:p w14:paraId="13455893" w14:textId="01D8E683" w:rsidR="005E41FD" w:rsidRPr="00B71B9E" w:rsidRDefault="00725EA9" w:rsidP="005B4F78">
      <w:pPr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B71B9E">
        <w:rPr>
          <w:rFonts w:asciiTheme="majorHAnsi" w:hAnsiTheme="majorHAnsi" w:cstheme="minorHAnsi"/>
          <w:sz w:val="20"/>
          <w:szCs w:val="20"/>
        </w:rPr>
        <w:t xml:space="preserve">A </w:t>
      </w:r>
      <w:r w:rsidR="007C27CC" w:rsidRPr="00B71B9E">
        <w:rPr>
          <w:rFonts w:asciiTheme="majorHAnsi" w:hAnsiTheme="majorHAnsi" w:cstheme="minorHAnsi"/>
          <w:sz w:val="20"/>
          <w:szCs w:val="20"/>
        </w:rPr>
        <w:t xml:space="preserve">total </w:t>
      </w:r>
      <w:r w:rsidRPr="00B71B9E">
        <w:rPr>
          <w:rFonts w:asciiTheme="majorHAnsi" w:hAnsiTheme="majorHAnsi" w:cstheme="minorHAnsi"/>
          <w:sz w:val="20"/>
          <w:szCs w:val="20"/>
        </w:rPr>
        <w:t xml:space="preserve">of </w:t>
      </w:r>
      <w:r w:rsidR="00BA02C7" w:rsidRPr="00B71B9E">
        <w:rPr>
          <w:rFonts w:asciiTheme="majorHAnsi" w:hAnsiTheme="majorHAnsi" w:cstheme="minorHAnsi"/>
          <w:sz w:val="20"/>
          <w:szCs w:val="20"/>
        </w:rPr>
        <w:t>115 patient</w:t>
      </w:r>
      <w:r w:rsidR="0086015D" w:rsidRPr="00B71B9E">
        <w:rPr>
          <w:rFonts w:asciiTheme="majorHAnsi" w:hAnsiTheme="majorHAnsi" w:cstheme="minorHAnsi"/>
          <w:sz w:val="20"/>
          <w:szCs w:val="20"/>
        </w:rPr>
        <w:t>s</w:t>
      </w:r>
      <w:r w:rsidR="00BA02C7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7C27CC" w:rsidRPr="00B71B9E">
        <w:rPr>
          <w:rFonts w:asciiTheme="majorHAnsi" w:hAnsiTheme="majorHAnsi" w:cstheme="minorHAnsi"/>
          <w:sz w:val="20"/>
          <w:szCs w:val="20"/>
        </w:rPr>
        <w:t xml:space="preserve">were </w:t>
      </w:r>
      <w:r w:rsidR="004352CB" w:rsidRPr="00B71B9E">
        <w:rPr>
          <w:rFonts w:asciiTheme="majorHAnsi" w:hAnsiTheme="majorHAnsi" w:cstheme="minorHAnsi"/>
          <w:sz w:val="20"/>
          <w:szCs w:val="20"/>
        </w:rPr>
        <w:t>recorded</w:t>
      </w:r>
      <w:r w:rsidR="007C27CC" w:rsidRPr="00B71B9E">
        <w:rPr>
          <w:rFonts w:asciiTheme="majorHAnsi" w:hAnsiTheme="majorHAnsi" w:cstheme="minorHAnsi"/>
          <w:sz w:val="20"/>
          <w:szCs w:val="20"/>
        </w:rPr>
        <w:t xml:space="preserve"> over this 13-year </w:t>
      </w:r>
      <w:r w:rsidR="00067463" w:rsidRPr="00B71B9E">
        <w:rPr>
          <w:rFonts w:asciiTheme="majorHAnsi" w:hAnsiTheme="majorHAnsi" w:cstheme="minorHAnsi"/>
          <w:sz w:val="20"/>
          <w:szCs w:val="20"/>
        </w:rPr>
        <w:t>period</w:t>
      </w:r>
      <w:r w:rsidR="007C27CC" w:rsidRPr="00B71B9E">
        <w:rPr>
          <w:rFonts w:asciiTheme="majorHAnsi" w:hAnsiTheme="majorHAnsi" w:cstheme="minorHAnsi"/>
          <w:sz w:val="20"/>
          <w:szCs w:val="20"/>
        </w:rPr>
        <w:t>. The median</w:t>
      </w:r>
      <w:r w:rsidR="0030741A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7C27CC" w:rsidRPr="00B71B9E">
        <w:rPr>
          <w:rFonts w:asciiTheme="majorHAnsi" w:hAnsiTheme="majorHAnsi" w:cstheme="minorHAnsi"/>
          <w:sz w:val="20"/>
          <w:szCs w:val="20"/>
        </w:rPr>
        <w:t xml:space="preserve">age of our cohort </w:t>
      </w:r>
      <w:r w:rsidR="00A72E7D" w:rsidRPr="00B71B9E">
        <w:rPr>
          <w:rFonts w:asciiTheme="majorHAnsi" w:hAnsiTheme="majorHAnsi" w:cstheme="minorHAnsi"/>
          <w:sz w:val="20"/>
          <w:szCs w:val="20"/>
        </w:rPr>
        <w:t xml:space="preserve">at baseline </w:t>
      </w:r>
      <w:r w:rsidR="007C27CC" w:rsidRPr="00B71B9E">
        <w:rPr>
          <w:rFonts w:asciiTheme="majorHAnsi" w:hAnsiTheme="majorHAnsi" w:cstheme="minorHAnsi"/>
          <w:sz w:val="20"/>
          <w:szCs w:val="20"/>
        </w:rPr>
        <w:t>was 41 years</w:t>
      </w:r>
      <w:r w:rsidR="00262881" w:rsidRPr="00B71B9E">
        <w:rPr>
          <w:rFonts w:asciiTheme="majorHAnsi" w:hAnsiTheme="majorHAnsi" w:cstheme="minorHAnsi"/>
          <w:sz w:val="20"/>
          <w:szCs w:val="20"/>
        </w:rPr>
        <w:t>. Men represented 71% of the cohort.</w:t>
      </w:r>
      <w:r w:rsidR="007C27CC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30741A" w:rsidRPr="00B71B9E">
        <w:rPr>
          <w:rFonts w:asciiTheme="majorHAnsi" w:hAnsiTheme="majorHAnsi" w:cstheme="minorHAnsi"/>
          <w:sz w:val="20"/>
          <w:szCs w:val="20"/>
        </w:rPr>
        <w:t xml:space="preserve">At baseline 84% were hypertensive and 11% diabetic. 77% were on </w:t>
      </w:r>
      <w:r w:rsidR="002816F3" w:rsidRPr="00B71B9E">
        <w:rPr>
          <w:rFonts w:asciiTheme="majorHAnsi" w:hAnsiTheme="majorHAnsi" w:cstheme="minorHAnsi"/>
          <w:sz w:val="20"/>
          <w:szCs w:val="20"/>
        </w:rPr>
        <w:t xml:space="preserve">a </w:t>
      </w:r>
      <w:r w:rsidR="0030741A" w:rsidRPr="00B71B9E">
        <w:rPr>
          <w:rFonts w:asciiTheme="majorHAnsi" w:hAnsiTheme="majorHAnsi" w:cstheme="minorHAnsi"/>
          <w:sz w:val="20"/>
          <w:szCs w:val="20"/>
        </w:rPr>
        <w:t xml:space="preserve">renin-angiotensin blocker, with 53% being on a statin. </w:t>
      </w:r>
      <w:r w:rsidR="00C07952" w:rsidRPr="00B71B9E">
        <w:rPr>
          <w:rFonts w:asciiTheme="majorHAnsi" w:hAnsiTheme="majorHAnsi" w:cstheme="minorHAnsi"/>
          <w:sz w:val="20"/>
          <w:szCs w:val="20"/>
        </w:rPr>
        <w:t xml:space="preserve">The median number of glomeruli on the </w:t>
      </w:r>
      <w:r w:rsidR="0061599F" w:rsidRPr="00B71B9E">
        <w:rPr>
          <w:rFonts w:asciiTheme="majorHAnsi" w:hAnsiTheme="majorHAnsi" w:cstheme="minorHAnsi"/>
          <w:sz w:val="20"/>
          <w:szCs w:val="20"/>
        </w:rPr>
        <w:t xml:space="preserve">renal biopsy </w:t>
      </w:r>
      <w:r w:rsidR="00C07952" w:rsidRPr="00B71B9E">
        <w:rPr>
          <w:rFonts w:asciiTheme="majorHAnsi" w:hAnsiTheme="majorHAnsi" w:cstheme="minorHAnsi"/>
          <w:sz w:val="20"/>
          <w:szCs w:val="20"/>
        </w:rPr>
        <w:t>samples was 19.</w:t>
      </w:r>
      <w:r w:rsidR="0061599F" w:rsidRPr="00B71B9E">
        <w:rPr>
          <w:rFonts w:asciiTheme="majorHAnsi" w:hAnsiTheme="majorHAnsi" w:cstheme="minorHAnsi"/>
          <w:sz w:val="20"/>
          <w:szCs w:val="20"/>
        </w:rPr>
        <w:t xml:space="preserve"> Over a median follow up of 13 years, 59% had stable renal function</w:t>
      </w:r>
      <w:r w:rsidR="00A91ABF" w:rsidRPr="00B71B9E">
        <w:rPr>
          <w:rFonts w:asciiTheme="majorHAnsi" w:hAnsiTheme="majorHAnsi" w:cstheme="minorHAnsi"/>
          <w:sz w:val="20"/>
          <w:szCs w:val="20"/>
        </w:rPr>
        <w:t xml:space="preserve">s. 47 (41%) had </w:t>
      </w:r>
      <w:r w:rsidR="002816F3" w:rsidRPr="00B71B9E">
        <w:rPr>
          <w:rFonts w:asciiTheme="majorHAnsi" w:hAnsiTheme="majorHAnsi" w:cstheme="minorHAnsi"/>
          <w:sz w:val="20"/>
          <w:szCs w:val="20"/>
        </w:rPr>
        <w:t xml:space="preserve">a </w:t>
      </w:r>
      <w:r w:rsidR="00A91ABF" w:rsidRPr="00B71B9E">
        <w:rPr>
          <w:rFonts w:asciiTheme="majorHAnsi" w:hAnsiTheme="majorHAnsi" w:cstheme="minorHAnsi"/>
          <w:sz w:val="20"/>
          <w:szCs w:val="20"/>
        </w:rPr>
        <w:t>doubling of creatinine of which 18 (38%) reached ESRD requiring renal replacement therapy. 14 (12%) died during this follow</w:t>
      </w:r>
      <w:r w:rsidR="002816F3" w:rsidRPr="00B71B9E">
        <w:rPr>
          <w:rFonts w:asciiTheme="majorHAnsi" w:hAnsiTheme="majorHAnsi" w:cstheme="minorHAnsi"/>
          <w:sz w:val="20"/>
          <w:szCs w:val="20"/>
        </w:rPr>
        <w:t>-</w:t>
      </w:r>
      <w:r w:rsidR="00A91ABF" w:rsidRPr="00B71B9E">
        <w:rPr>
          <w:rFonts w:asciiTheme="majorHAnsi" w:hAnsiTheme="majorHAnsi" w:cstheme="minorHAnsi"/>
          <w:sz w:val="20"/>
          <w:szCs w:val="20"/>
        </w:rPr>
        <w:t xml:space="preserve">up period. </w:t>
      </w:r>
      <w:r w:rsidR="0030741A" w:rsidRPr="00B71B9E">
        <w:rPr>
          <w:rFonts w:asciiTheme="majorHAnsi" w:hAnsiTheme="majorHAnsi" w:cstheme="minorHAnsi"/>
          <w:sz w:val="20"/>
          <w:szCs w:val="20"/>
        </w:rPr>
        <w:t>Th</w:t>
      </w:r>
      <w:r w:rsidR="00C07952" w:rsidRPr="00B71B9E">
        <w:rPr>
          <w:rFonts w:asciiTheme="majorHAnsi" w:hAnsiTheme="majorHAnsi" w:cstheme="minorHAnsi"/>
          <w:sz w:val="20"/>
          <w:szCs w:val="20"/>
        </w:rPr>
        <w:t>e distribution</w:t>
      </w:r>
      <w:r w:rsidR="00A701BD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C07952" w:rsidRPr="00B71B9E">
        <w:rPr>
          <w:rFonts w:asciiTheme="majorHAnsi" w:hAnsiTheme="majorHAnsi" w:cstheme="minorHAnsi"/>
          <w:sz w:val="20"/>
          <w:szCs w:val="20"/>
        </w:rPr>
        <w:t xml:space="preserve">of the histological variants </w:t>
      </w:r>
      <w:r w:rsidR="002816F3" w:rsidRPr="00B71B9E">
        <w:rPr>
          <w:rFonts w:asciiTheme="majorHAnsi" w:hAnsiTheme="majorHAnsi" w:cstheme="minorHAnsi"/>
          <w:sz w:val="20"/>
          <w:szCs w:val="20"/>
        </w:rPr>
        <w:t>is</w:t>
      </w:r>
      <w:r w:rsidR="00C070B5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30741A" w:rsidRPr="00B71B9E">
        <w:rPr>
          <w:rFonts w:asciiTheme="majorHAnsi" w:hAnsiTheme="majorHAnsi" w:cstheme="minorHAnsi"/>
          <w:sz w:val="20"/>
          <w:szCs w:val="20"/>
        </w:rPr>
        <w:t xml:space="preserve">illustrated in </w:t>
      </w:r>
      <w:r w:rsidR="00BC03EA" w:rsidRPr="00B71B9E">
        <w:rPr>
          <w:rFonts w:asciiTheme="majorHAnsi" w:hAnsiTheme="majorHAnsi" w:cstheme="minorHAnsi"/>
          <w:sz w:val="20"/>
          <w:szCs w:val="20"/>
        </w:rPr>
        <w:t>Table 1.</w:t>
      </w:r>
      <w:r w:rsidR="00A91ABF" w:rsidRPr="00B71B9E">
        <w:rPr>
          <w:rFonts w:asciiTheme="majorHAnsi" w:hAnsiTheme="majorHAnsi" w:cstheme="minorHAnsi"/>
          <w:sz w:val="20"/>
          <w:szCs w:val="20"/>
        </w:rPr>
        <w:t xml:space="preserve"> Univariate Cox regression model showed age,</w:t>
      </w:r>
      <w:r w:rsidR="00C070B5" w:rsidRPr="00B71B9E">
        <w:rPr>
          <w:rFonts w:asciiTheme="majorHAnsi" w:hAnsiTheme="majorHAnsi" w:cstheme="minorHAnsi"/>
          <w:sz w:val="20"/>
          <w:szCs w:val="20"/>
        </w:rPr>
        <w:t xml:space="preserve"> hypertension, high baseline creatinine and histological variants including </w:t>
      </w:r>
      <w:r w:rsidR="00C070B5" w:rsidRPr="00B71B9E">
        <w:rPr>
          <w:rFonts w:asciiTheme="majorHAnsi" w:hAnsiTheme="majorHAnsi"/>
          <w:sz w:val="20"/>
          <w:szCs w:val="20"/>
        </w:rPr>
        <w:t>global sclerosis</w:t>
      </w:r>
      <w:r w:rsidR="000362D9" w:rsidRPr="00B71B9E">
        <w:rPr>
          <w:rFonts w:asciiTheme="majorHAnsi" w:hAnsiTheme="majorHAnsi"/>
          <w:sz w:val="20"/>
          <w:szCs w:val="20"/>
        </w:rPr>
        <w:t xml:space="preserve"> (G)</w:t>
      </w:r>
      <w:r w:rsidR="00C070B5" w:rsidRPr="00B71B9E">
        <w:rPr>
          <w:rFonts w:asciiTheme="majorHAnsi" w:hAnsiTheme="majorHAnsi"/>
          <w:sz w:val="20"/>
          <w:szCs w:val="20"/>
        </w:rPr>
        <w:t xml:space="preserve">, </w:t>
      </w:r>
      <w:r w:rsidR="000362D9" w:rsidRPr="00B71B9E">
        <w:rPr>
          <w:rFonts w:asciiTheme="majorHAnsi" w:hAnsiTheme="majorHAnsi"/>
          <w:sz w:val="20"/>
          <w:szCs w:val="20"/>
        </w:rPr>
        <w:t>segmental</w:t>
      </w:r>
      <w:r w:rsidR="00C070B5" w:rsidRPr="00B71B9E">
        <w:rPr>
          <w:rFonts w:asciiTheme="majorHAnsi" w:hAnsiTheme="majorHAnsi"/>
          <w:sz w:val="20"/>
          <w:szCs w:val="20"/>
        </w:rPr>
        <w:t xml:space="preserve"> sclerosis</w:t>
      </w:r>
      <w:r w:rsidR="000362D9" w:rsidRPr="00B71B9E">
        <w:rPr>
          <w:rFonts w:asciiTheme="majorHAnsi" w:hAnsiTheme="majorHAnsi"/>
          <w:sz w:val="20"/>
          <w:szCs w:val="20"/>
        </w:rPr>
        <w:t xml:space="preserve"> (S)</w:t>
      </w:r>
      <w:r w:rsidR="00C070B5" w:rsidRPr="00B71B9E">
        <w:rPr>
          <w:rFonts w:asciiTheme="majorHAnsi" w:hAnsiTheme="majorHAnsi"/>
          <w:sz w:val="20"/>
          <w:szCs w:val="20"/>
        </w:rPr>
        <w:t xml:space="preserve">, mesangial </w:t>
      </w:r>
      <w:proofErr w:type="spellStart"/>
      <w:r w:rsidR="00C070B5" w:rsidRPr="00B71B9E">
        <w:rPr>
          <w:rFonts w:asciiTheme="majorHAnsi" w:hAnsiTheme="majorHAnsi"/>
          <w:sz w:val="20"/>
          <w:szCs w:val="20"/>
        </w:rPr>
        <w:t>hypercellularity</w:t>
      </w:r>
      <w:proofErr w:type="spellEnd"/>
      <w:r w:rsidR="000362D9" w:rsidRPr="00B71B9E">
        <w:rPr>
          <w:rFonts w:asciiTheme="majorHAnsi" w:hAnsiTheme="majorHAnsi"/>
          <w:sz w:val="20"/>
          <w:szCs w:val="20"/>
        </w:rPr>
        <w:t xml:space="preserve"> (M)</w:t>
      </w:r>
      <w:r w:rsidR="00C070B5" w:rsidRPr="00B71B9E">
        <w:rPr>
          <w:rFonts w:asciiTheme="majorHAnsi" w:hAnsiTheme="majorHAnsi"/>
          <w:sz w:val="20"/>
          <w:szCs w:val="20"/>
        </w:rPr>
        <w:t>, IFTA</w:t>
      </w:r>
      <w:r w:rsidR="004D2F5D" w:rsidRPr="00B71B9E">
        <w:rPr>
          <w:rFonts w:asciiTheme="majorHAnsi" w:hAnsiTheme="majorHAnsi"/>
          <w:sz w:val="20"/>
          <w:szCs w:val="20"/>
        </w:rPr>
        <w:t>,</w:t>
      </w:r>
      <w:r w:rsidR="00C070B5" w:rsidRPr="00B71B9E">
        <w:rPr>
          <w:rFonts w:asciiTheme="majorHAnsi" w:hAnsiTheme="majorHAnsi"/>
          <w:sz w:val="20"/>
          <w:szCs w:val="20"/>
        </w:rPr>
        <w:t xml:space="preserve"> and presence of inflammation</w:t>
      </w:r>
      <w:r w:rsidR="000362D9" w:rsidRPr="00B71B9E">
        <w:rPr>
          <w:rFonts w:asciiTheme="majorHAnsi" w:hAnsiTheme="majorHAnsi"/>
          <w:sz w:val="20"/>
          <w:szCs w:val="20"/>
        </w:rPr>
        <w:t xml:space="preserve"> (I)</w:t>
      </w:r>
      <w:r w:rsidR="00A91ABF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BC1BC4" w:rsidRPr="00B71B9E">
        <w:rPr>
          <w:rFonts w:asciiTheme="majorHAnsi" w:hAnsiTheme="majorHAnsi" w:cstheme="minorHAnsi"/>
          <w:sz w:val="20"/>
          <w:szCs w:val="20"/>
        </w:rPr>
        <w:t xml:space="preserve">as having a </w:t>
      </w:r>
      <w:r w:rsidR="00C070B5" w:rsidRPr="00B71B9E">
        <w:rPr>
          <w:rFonts w:asciiTheme="majorHAnsi" w:hAnsiTheme="majorHAnsi" w:cstheme="minorHAnsi"/>
          <w:sz w:val="20"/>
          <w:szCs w:val="20"/>
        </w:rPr>
        <w:t>strong association with renal outcomes</w:t>
      </w:r>
      <w:r w:rsidR="00BC3143" w:rsidRPr="00B71B9E">
        <w:rPr>
          <w:rFonts w:asciiTheme="majorHAnsi" w:hAnsiTheme="majorHAnsi" w:cstheme="minorHAnsi"/>
          <w:sz w:val="20"/>
          <w:szCs w:val="20"/>
        </w:rPr>
        <w:t xml:space="preserve"> (p&lt;0.001)</w:t>
      </w:r>
      <w:r w:rsidR="00C070B5" w:rsidRPr="00B71B9E">
        <w:rPr>
          <w:rFonts w:asciiTheme="majorHAnsi" w:hAnsiTheme="majorHAnsi" w:cstheme="minorHAnsi"/>
          <w:sz w:val="20"/>
          <w:szCs w:val="20"/>
        </w:rPr>
        <w:t>.</w:t>
      </w:r>
      <w:r w:rsidR="00A701BD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C070B5" w:rsidRPr="00B71B9E">
        <w:rPr>
          <w:rFonts w:asciiTheme="majorHAnsi" w:hAnsiTheme="majorHAnsi" w:cstheme="minorHAnsi"/>
          <w:sz w:val="20"/>
          <w:szCs w:val="20"/>
        </w:rPr>
        <w:t xml:space="preserve"> Among these, high baseline creatinine, segmental sclerosis</w:t>
      </w:r>
      <w:r w:rsidR="004D2F5D" w:rsidRPr="00B71B9E">
        <w:rPr>
          <w:rFonts w:asciiTheme="majorHAnsi" w:hAnsiTheme="majorHAnsi" w:cstheme="minorHAnsi"/>
          <w:sz w:val="20"/>
          <w:szCs w:val="20"/>
        </w:rPr>
        <w:t>,</w:t>
      </w:r>
      <w:r w:rsidR="00C070B5" w:rsidRPr="00B71B9E">
        <w:rPr>
          <w:rFonts w:asciiTheme="majorHAnsi" w:hAnsiTheme="majorHAnsi" w:cstheme="minorHAnsi"/>
          <w:sz w:val="20"/>
          <w:szCs w:val="20"/>
        </w:rPr>
        <w:t xml:space="preserve"> and IFTA showed </w:t>
      </w:r>
      <w:r w:rsidR="003C77B4" w:rsidRPr="00B71B9E">
        <w:rPr>
          <w:rFonts w:asciiTheme="majorHAnsi" w:hAnsiTheme="majorHAnsi" w:cstheme="minorHAnsi"/>
          <w:sz w:val="20"/>
          <w:szCs w:val="20"/>
        </w:rPr>
        <w:t xml:space="preserve">further </w:t>
      </w:r>
      <w:r w:rsidR="00C070B5" w:rsidRPr="00B71B9E">
        <w:rPr>
          <w:rFonts w:asciiTheme="majorHAnsi" w:hAnsiTheme="majorHAnsi" w:cstheme="minorHAnsi"/>
          <w:sz w:val="20"/>
          <w:szCs w:val="20"/>
        </w:rPr>
        <w:t xml:space="preserve">independent associations in </w:t>
      </w:r>
      <w:r w:rsidR="0080395D" w:rsidRPr="00B71B9E">
        <w:rPr>
          <w:rFonts w:asciiTheme="majorHAnsi" w:hAnsiTheme="majorHAnsi" w:cstheme="minorHAnsi"/>
          <w:sz w:val="20"/>
          <w:szCs w:val="20"/>
        </w:rPr>
        <w:t xml:space="preserve">a </w:t>
      </w:r>
      <w:r w:rsidR="00C070B5" w:rsidRPr="00B71B9E">
        <w:rPr>
          <w:rFonts w:asciiTheme="majorHAnsi" w:hAnsiTheme="majorHAnsi" w:cstheme="minorHAnsi"/>
          <w:sz w:val="20"/>
          <w:szCs w:val="20"/>
        </w:rPr>
        <w:t>multivariate model</w:t>
      </w:r>
      <w:r w:rsidR="0080395D" w:rsidRPr="00B71B9E">
        <w:rPr>
          <w:rFonts w:asciiTheme="majorHAnsi" w:hAnsiTheme="majorHAnsi" w:cstheme="minorHAnsi"/>
          <w:sz w:val="20"/>
          <w:szCs w:val="20"/>
        </w:rPr>
        <w:t xml:space="preserve"> adjusted for all factors significant in </w:t>
      </w:r>
      <w:r w:rsidR="002816F3" w:rsidRPr="00B71B9E">
        <w:rPr>
          <w:rFonts w:asciiTheme="majorHAnsi" w:hAnsiTheme="majorHAnsi" w:cstheme="minorHAnsi"/>
          <w:sz w:val="20"/>
          <w:szCs w:val="20"/>
        </w:rPr>
        <w:t xml:space="preserve">the </w:t>
      </w:r>
      <w:r w:rsidR="0080395D" w:rsidRPr="00B71B9E">
        <w:rPr>
          <w:rFonts w:asciiTheme="majorHAnsi" w:hAnsiTheme="majorHAnsi" w:cstheme="minorHAnsi"/>
          <w:sz w:val="20"/>
          <w:szCs w:val="20"/>
        </w:rPr>
        <w:t>univariate model</w:t>
      </w:r>
      <w:r w:rsidR="00C070B5" w:rsidRPr="00B71B9E">
        <w:rPr>
          <w:rFonts w:asciiTheme="majorHAnsi" w:hAnsiTheme="majorHAnsi" w:cstheme="minorHAnsi"/>
          <w:sz w:val="20"/>
          <w:szCs w:val="20"/>
        </w:rPr>
        <w:t>.</w:t>
      </w:r>
      <w:r w:rsidR="00A701BD" w:rsidRPr="00B71B9E">
        <w:rPr>
          <w:rFonts w:asciiTheme="majorHAnsi" w:hAnsiTheme="majorHAnsi" w:cstheme="minorHAnsi"/>
          <w:sz w:val="20"/>
          <w:szCs w:val="20"/>
        </w:rPr>
        <w:t xml:space="preserve"> (Table-2)</w:t>
      </w:r>
      <w:r w:rsidR="00A72E7D" w:rsidRPr="00B71B9E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1AA2CA39" w14:textId="080F798D" w:rsidR="005B4F78" w:rsidRPr="00B71B9E" w:rsidRDefault="00005937" w:rsidP="005B4F78">
      <w:pPr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B71B9E">
        <w:rPr>
          <w:rFonts w:asciiTheme="majorHAnsi" w:hAnsiTheme="majorHAnsi" w:cstheme="minorHAnsi"/>
          <w:b/>
          <w:sz w:val="20"/>
          <w:szCs w:val="20"/>
        </w:rPr>
        <w:t>Conclusion</w:t>
      </w:r>
    </w:p>
    <w:p w14:paraId="22716BAC" w14:textId="4D61C8C9" w:rsidR="00513099" w:rsidRPr="00B71B9E" w:rsidRDefault="000362D9" w:rsidP="005E41FD">
      <w:pPr>
        <w:spacing w:after="0"/>
        <w:rPr>
          <w:rFonts w:asciiTheme="majorHAnsi" w:hAnsiTheme="majorHAnsi" w:cstheme="minorHAnsi"/>
          <w:sz w:val="20"/>
          <w:szCs w:val="20"/>
        </w:rPr>
      </w:pPr>
      <w:r w:rsidRPr="00B71B9E">
        <w:rPr>
          <w:rFonts w:asciiTheme="majorHAnsi" w:hAnsiTheme="majorHAnsi" w:cstheme="minorHAnsi"/>
          <w:sz w:val="20"/>
          <w:szCs w:val="20"/>
        </w:rPr>
        <w:t>In-addition to other histological variants, we observed</w:t>
      </w:r>
      <w:r w:rsidR="008275EF"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3B14C4" w:rsidRPr="00B71B9E">
        <w:rPr>
          <w:rFonts w:asciiTheme="majorHAnsi" w:hAnsiTheme="majorHAnsi" w:cstheme="minorHAnsi"/>
          <w:sz w:val="20"/>
          <w:szCs w:val="20"/>
        </w:rPr>
        <w:t xml:space="preserve">the </w:t>
      </w:r>
      <w:r w:rsidR="008275EF" w:rsidRPr="00B71B9E">
        <w:rPr>
          <w:rFonts w:asciiTheme="majorHAnsi" w:hAnsiTheme="majorHAnsi" w:cstheme="minorHAnsi"/>
          <w:sz w:val="20"/>
          <w:szCs w:val="20"/>
        </w:rPr>
        <w:t>presence of global sclerosis</w:t>
      </w:r>
      <w:r w:rsidRPr="00B71B9E">
        <w:rPr>
          <w:rFonts w:asciiTheme="majorHAnsi" w:hAnsiTheme="majorHAnsi" w:cstheme="minorHAnsi"/>
          <w:sz w:val="20"/>
          <w:szCs w:val="20"/>
        </w:rPr>
        <w:t xml:space="preserve"> </w:t>
      </w:r>
      <w:r w:rsidR="008275EF" w:rsidRPr="00B71B9E">
        <w:rPr>
          <w:rFonts w:asciiTheme="majorHAnsi" w:hAnsiTheme="majorHAnsi" w:cstheme="minorHAnsi"/>
          <w:sz w:val="20"/>
          <w:szCs w:val="20"/>
        </w:rPr>
        <w:t>(</w:t>
      </w:r>
      <w:r w:rsidRPr="00B71B9E">
        <w:rPr>
          <w:rFonts w:asciiTheme="majorHAnsi" w:hAnsiTheme="majorHAnsi" w:cstheme="minorHAnsi"/>
          <w:sz w:val="20"/>
          <w:szCs w:val="20"/>
        </w:rPr>
        <w:t>G1</w:t>
      </w:r>
      <w:r w:rsidR="008275EF" w:rsidRPr="00B71B9E">
        <w:rPr>
          <w:rFonts w:asciiTheme="majorHAnsi" w:hAnsiTheme="majorHAnsi" w:cstheme="minorHAnsi"/>
          <w:sz w:val="20"/>
          <w:szCs w:val="20"/>
        </w:rPr>
        <w:t>)</w:t>
      </w:r>
      <w:r w:rsidRPr="00B71B9E">
        <w:rPr>
          <w:rFonts w:asciiTheme="majorHAnsi" w:hAnsiTheme="majorHAnsi" w:cstheme="minorHAnsi"/>
          <w:sz w:val="20"/>
          <w:szCs w:val="20"/>
        </w:rPr>
        <w:t xml:space="preserve"> and </w:t>
      </w:r>
      <w:r w:rsidR="00BC1BC4" w:rsidRPr="00B71B9E">
        <w:rPr>
          <w:rFonts w:asciiTheme="majorHAnsi" w:hAnsiTheme="majorHAnsi" w:cstheme="minorHAnsi"/>
          <w:sz w:val="20"/>
          <w:szCs w:val="20"/>
        </w:rPr>
        <w:t>i</w:t>
      </w:r>
      <w:r w:rsidR="008275EF" w:rsidRPr="00B71B9E">
        <w:rPr>
          <w:rFonts w:asciiTheme="majorHAnsi" w:hAnsiTheme="majorHAnsi" w:cstheme="minorHAnsi"/>
          <w:sz w:val="20"/>
          <w:szCs w:val="20"/>
        </w:rPr>
        <w:t>nflammation (</w:t>
      </w:r>
      <w:r w:rsidRPr="00B71B9E">
        <w:rPr>
          <w:rFonts w:asciiTheme="majorHAnsi" w:hAnsiTheme="majorHAnsi" w:cstheme="minorHAnsi"/>
          <w:sz w:val="20"/>
          <w:szCs w:val="20"/>
        </w:rPr>
        <w:t>I1</w:t>
      </w:r>
      <w:r w:rsidR="008275EF" w:rsidRPr="00B71B9E">
        <w:rPr>
          <w:rFonts w:asciiTheme="majorHAnsi" w:hAnsiTheme="majorHAnsi" w:cstheme="minorHAnsi"/>
          <w:sz w:val="20"/>
          <w:szCs w:val="20"/>
        </w:rPr>
        <w:t>)</w:t>
      </w:r>
      <w:r w:rsidRPr="00B71B9E">
        <w:rPr>
          <w:rFonts w:asciiTheme="majorHAnsi" w:hAnsiTheme="majorHAnsi" w:cstheme="minorHAnsi"/>
          <w:sz w:val="20"/>
          <w:szCs w:val="20"/>
        </w:rPr>
        <w:t xml:space="preserve"> showing association with </w:t>
      </w:r>
      <w:r w:rsidR="005E41FD" w:rsidRPr="00B71B9E">
        <w:rPr>
          <w:rFonts w:asciiTheme="majorHAnsi" w:hAnsiTheme="majorHAnsi" w:cstheme="minorHAnsi"/>
          <w:sz w:val="20"/>
          <w:szCs w:val="20"/>
        </w:rPr>
        <w:t>renal outcomes</w:t>
      </w:r>
      <w:r w:rsidRPr="00B71B9E">
        <w:rPr>
          <w:rFonts w:asciiTheme="majorHAnsi" w:hAnsiTheme="majorHAnsi" w:cstheme="minorHAnsi"/>
          <w:sz w:val="20"/>
          <w:szCs w:val="20"/>
        </w:rPr>
        <w:t xml:space="preserve"> which has not been previously reported.</w:t>
      </w:r>
      <w:r w:rsidR="005E41FD" w:rsidRPr="00B71B9E">
        <w:rPr>
          <w:rFonts w:asciiTheme="majorHAnsi" w:hAnsiTheme="majorHAnsi" w:cstheme="minorHAnsi"/>
          <w:sz w:val="20"/>
          <w:szCs w:val="20"/>
        </w:rPr>
        <w:t xml:space="preserve"> The presence of crescents in biopsy was not found to be associated with adverse outcome in our cohort.</w:t>
      </w:r>
      <w:r w:rsidRPr="00B71B9E">
        <w:rPr>
          <w:rFonts w:asciiTheme="majorHAnsi" w:hAnsiTheme="majorHAnsi" w:cstheme="minorHAnsi"/>
          <w:sz w:val="20"/>
          <w:szCs w:val="20"/>
        </w:rPr>
        <w:t xml:space="preserve"> Further studies are warranted to strengthen these associations.</w:t>
      </w:r>
      <w:r w:rsidR="005E41FD" w:rsidRPr="00B71B9E">
        <w:rPr>
          <w:rFonts w:asciiTheme="majorHAnsi" w:hAnsiTheme="majorHAnsi" w:cstheme="minorHAnsi"/>
          <w:sz w:val="20"/>
          <w:szCs w:val="20"/>
        </w:rPr>
        <w:t xml:space="preserve"> </w:t>
      </w:r>
    </w:p>
    <w:p w14:paraId="2C9FBB65" w14:textId="006646E4" w:rsidR="005B3380" w:rsidRPr="00B71B9E" w:rsidRDefault="00513099" w:rsidP="004C32A3">
      <w:pPr>
        <w:rPr>
          <w:rFonts w:asciiTheme="majorHAnsi" w:hAnsiTheme="majorHAnsi" w:cstheme="minorHAnsi"/>
          <w:b/>
          <w:sz w:val="20"/>
          <w:szCs w:val="20"/>
        </w:rPr>
      </w:pPr>
      <w:r w:rsidRPr="00B71B9E">
        <w:rPr>
          <w:rFonts w:asciiTheme="majorHAnsi" w:hAnsiTheme="majorHAnsi" w:cstheme="minorHAnsi"/>
          <w:b/>
          <w:sz w:val="20"/>
          <w:szCs w:val="20"/>
        </w:rPr>
        <w:t xml:space="preserve">Table 1: </w:t>
      </w:r>
      <w:r w:rsidR="0030741A" w:rsidRPr="00B71B9E">
        <w:rPr>
          <w:rFonts w:asciiTheme="majorHAnsi" w:hAnsiTheme="majorHAnsi" w:cstheme="minorHAnsi"/>
          <w:b/>
          <w:sz w:val="20"/>
          <w:szCs w:val="20"/>
        </w:rPr>
        <w:t xml:space="preserve">Renal </w:t>
      </w:r>
      <w:r w:rsidR="00050E9F" w:rsidRPr="00B71B9E">
        <w:rPr>
          <w:rFonts w:asciiTheme="majorHAnsi" w:hAnsiTheme="majorHAnsi" w:cstheme="minorHAnsi"/>
          <w:b/>
          <w:sz w:val="20"/>
          <w:szCs w:val="20"/>
        </w:rPr>
        <w:t>Biopsy</w:t>
      </w:r>
      <w:r w:rsidR="0030741A" w:rsidRPr="00B71B9E">
        <w:rPr>
          <w:rFonts w:asciiTheme="majorHAnsi" w:hAnsiTheme="majorHAnsi" w:cstheme="minorHAnsi"/>
          <w:b/>
          <w:sz w:val="20"/>
          <w:szCs w:val="20"/>
        </w:rPr>
        <w:t>-Histopathological variants:</w:t>
      </w:r>
    </w:p>
    <w:tbl>
      <w:tblPr>
        <w:tblStyle w:val="TableGrid"/>
        <w:tblpPr w:leftFromText="180" w:rightFromText="180" w:vertAnchor="text" w:horzAnchor="page" w:tblpX="910" w:tblpY="279"/>
        <w:tblW w:w="9745" w:type="dxa"/>
        <w:tblLook w:val="04A0" w:firstRow="1" w:lastRow="0" w:firstColumn="1" w:lastColumn="0" w:noHBand="0" w:noVBand="1"/>
      </w:tblPr>
      <w:tblGrid>
        <w:gridCol w:w="2185"/>
        <w:gridCol w:w="2082"/>
        <w:gridCol w:w="1480"/>
        <w:gridCol w:w="2753"/>
        <w:gridCol w:w="1245"/>
      </w:tblGrid>
      <w:tr w:rsidR="00262881" w:rsidRPr="00B71B9E" w14:paraId="2A1A9FC4" w14:textId="77777777" w:rsidTr="00262881">
        <w:trPr>
          <w:trHeight w:val="349"/>
        </w:trPr>
        <w:tc>
          <w:tcPr>
            <w:tcW w:w="2185" w:type="dxa"/>
            <w:vAlign w:val="center"/>
          </w:tcPr>
          <w:p w14:paraId="1C2061F2" w14:textId="61F9FBA1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Variables</w:t>
            </w:r>
          </w:p>
        </w:tc>
        <w:tc>
          <w:tcPr>
            <w:tcW w:w="2082" w:type="dxa"/>
            <w:vAlign w:val="center"/>
          </w:tcPr>
          <w:p w14:paraId="215A42A1" w14:textId="5EF2AC92" w:rsidR="00262881" w:rsidRPr="00B71B9E" w:rsidRDefault="0030741A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Total </w:t>
            </w:r>
            <w:r w:rsidR="00262881"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patients</w:t>
            </w:r>
          </w:p>
          <w:p w14:paraId="15024188" w14:textId="076C62BC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115</w:t>
            </w:r>
          </w:p>
          <w:p w14:paraId="04A692EB" w14:textId="32BD7221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55EE484" w14:textId="56E5BF07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Stable </w:t>
            </w:r>
            <w:r w:rsidR="0047737A"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Creatinine</w:t>
            </w:r>
          </w:p>
          <w:p w14:paraId="247156B3" w14:textId="2CDBF6F1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68</w:t>
            </w:r>
            <w:r w:rsidR="0061599F"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(59%)</w:t>
            </w:r>
          </w:p>
        </w:tc>
        <w:tc>
          <w:tcPr>
            <w:tcW w:w="2753" w:type="dxa"/>
            <w:vAlign w:val="center"/>
          </w:tcPr>
          <w:p w14:paraId="4B75A193" w14:textId="1721EF51" w:rsidR="00262881" w:rsidRPr="00B71B9E" w:rsidRDefault="00262881" w:rsidP="0061599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Doubling of creatinine</w:t>
            </w:r>
            <w:r w:rsidR="0047737A"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/ESRD</w:t>
            </w:r>
          </w:p>
          <w:p w14:paraId="4C303FA3" w14:textId="154B021C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47</w:t>
            </w:r>
            <w:r w:rsidR="0061599F"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(41%)</w:t>
            </w:r>
          </w:p>
        </w:tc>
        <w:tc>
          <w:tcPr>
            <w:tcW w:w="1245" w:type="dxa"/>
            <w:vAlign w:val="center"/>
          </w:tcPr>
          <w:p w14:paraId="6F7D044B" w14:textId="178DF701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p- Value</w:t>
            </w:r>
          </w:p>
        </w:tc>
      </w:tr>
      <w:tr w:rsidR="00262881" w:rsidRPr="00B71B9E" w14:paraId="74CAAC08" w14:textId="77777777" w:rsidTr="00262881">
        <w:trPr>
          <w:trHeight w:val="354"/>
        </w:trPr>
        <w:tc>
          <w:tcPr>
            <w:tcW w:w="2185" w:type="dxa"/>
            <w:vAlign w:val="center"/>
          </w:tcPr>
          <w:p w14:paraId="48299F67" w14:textId="35CFB435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Mesangial </w:t>
            </w:r>
            <w:proofErr w:type="spellStart"/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Hypercellularity</w:t>
            </w:r>
            <w:proofErr w:type="spellEnd"/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(M0/M1)</w:t>
            </w:r>
          </w:p>
        </w:tc>
        <w:tc>
          <w:tcPr>
            <w:tcW w:w="2082" w:type="dxa"/>
            <w:vAlign w:val="center"/>
          </w:tcPr>
          <w:p w14:paraId="7FD514A5" w14:textId="000C028B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33 (29%)</w:t>
            </w:r>
          </w:p>
        </w:tc>
        <w:tc>
          <w:tcPr>
            <w:tcW w:w="1480" w:type="dxa"/>
            <w:vAlign w:val="center"/>
          </w:tcPr>
          <w:p w14:paraId="2C86032A" w14:textId="6B7CF33D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8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(12%)</w:t>
            </w:r>
          </w:p>
        </w:tc>
        <w:tc>
          <w:tcPr>
            <w:tcW w:w="2753" w:type="dxa"/>
            <w:vAlign w:val="center"/>
          </w:tcPr>
          <w:p w14:paraId="2C343A9A" w14:textId="234F4523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25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(53%)</w:t>
            </w:r>
          </w:p>
        </w:tc>
        <w:tc>
          <w:tcPr>
            <w:tcW w:w="1245" w:type="dxa"/>
            <w:vAlign w:val="center"/>
          </w:tcPr>
          <w:p w14:paraId="515CEBB0" w14:textId="77777777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0.000</w:t>
            </w:r>
          </w:p>
        </w:tc>
      </w:tr>
      <w:tr w:rsidR="00262881" w:rsidRPr="00B71B9E" w14:paraId="479D64C4" w14:textId="77777777" w:rsidTr="00262881">
        <w:trPr>
          <w:trHeight w:val="387"/>
        </w:trPr>
        <w:tc>
          <w:tcPr>
            <w:tcW w:w="2185" w:type="dxa"/>
            <w:vAlign w:val="center"/>
          </w:tcPr>
          <w:p w14:paraId="1E369ABB" w14:textId="0EC17DE3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Endocapillary</w:t>
            </w:r>
            <w:proofErr w:type="spellEnd"/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Hypercellularity</w:t>
            </w:r>
            <w:proofErr w:type="spellEnd"/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(E0/E1)</w:t>
            </w:r>
          </w:p>
        </w:tc>
        <w:tc>
          <w:tcPr>
            <w:tcW w:w="2082" w:type="dxa"/>
            <w:vAlign w:val="center"/>
          </w:tcPr>
          <w:p w14:paraId="2FDABA19" w14:textId="56A469BE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7 (6%)</w:t>
            </w:r>
          </w:p>
        </w:tc>
        <w:tc>
          <w:tcPr>
            <w:tcW w:w="1480" w:type="dxa"/>
            <w:vAlign w:val="center"/>
          </w:tcPr>
          <w:p w14:paraId="75221377" w14:textId="37DA3742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5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(7.4%)</w:t>
            </w:r>
          </w:p>
        </w:tc>
        <w:tc>
          <w:tcPr>
            <w:tcW w:w="2753" w:type="dxa"/>
            <w:vAlign w:val="center"/>
          </w:tcPr>
          <w:p w14:paraId="3751B9E3" w14:textId="2C082225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(4.25%)</w:t>
            </w:r>
          </w:p>
        </w:tc>
        <w:tc>
          <w:tcPr>
            <w:tcW w:w="1245" w:type="dxa"/>
            <w:vAlign w:val="center"/>
          </w:tcPr>
          <w:p w14:paraId="3999429D" w14:textId="77777777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0.495</w:t>
            </w:r>
          </w:p>
        </w:tc>
      </w:tr>
      <w:tr w:rsidR="00262881" w:rsidRPr="00B71B9E" w14:paraId="6672F0A3" w14:textId="77777777" w:rsidTr="00262881">
        <w:trPr>
          <w:trHeight w:val="228"/>
        </w:trPr>
        <w:tc>
          <w:tcPr>
            <w:tcW w:w="2185" w:type="dxa"/>
            <w:vAlign w:val="center"/>
          </w:tcPr>
          <w:p w14:paraId="2761472E" w14:textId="77777777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Global Sclerosis</w:t>
            </w:r>
          </w:p>
          <w:p w14:paraId="6AAE13A5" w14:textId="3007164D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(G0/G1)</w:t>
            </w:r>
          </w:p>
        </w:tc>
        <w:tc>
          <w:tcPr>
            <w:tcW w:w="2082" w:type="dxa"/>
            <w:vAlign w:val="center"/>
          </w:tcPr>
          <w:p w14:paraId="3334966E" w14:textId="5B7C113B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73 (64%)</w:t>
            </w:r>
          </w:p>
        </w:tc>
        <w:tc>
          <w:tcPr>
            <w:tcW w:w="1480" w:type="dxa"/>
            <w:vAlign w:val="center"/>
          </w:tcPr>
          <w:p w14:paraId="037BCC9C" w14:textId="6D21F311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36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(53%)</w:t>
            </w:r>
          </w:p>
        </w:tc>
        <w:tc>
          <w:tcPr>
            <w:tcW w:w="2753" w:type="dxa"/>
            <w:vAlign w:val="center"/>
          </w:tcPr>
          <w:p w14:paraId="3F653D8F" w14:textId="5A8F70A6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37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(78.72%)</w:t>
            </w:r>
          </w:p>
        </w:tc>
        <w:tc>
          <w:tcPr>
            <w:tcW w:w="1245" w:type="dxa"/>
            <w:vAlign w:val="center"/>
          </w:tcPr>
          <w:p w14:paraId="16697324" w14:textId="5A10BD87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0.005</w:t>
            </w:r>
          </w:p>
        </w:tc>
      </w:tr>
      <w:tr w:rsidR="00262881" w:rsidRPr="00B71B9E" w14:paraId="7C4F2443" w14:textId="77777777" w:rsidTr="00262881">
        <w:trPr>
          <w:trHeight w:val="228"/>
        </w:trPr>
        <w:tc>
          <w:tcPr>
            <w:tcW w:w="2185" w:type="dxa"/>
            <w:vAlign w:val="center"/>
          </w:tcPr>
          <w:p w14:paraId="4EEEA83A" w14:textId="1AEF6197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Segmental Sclerosis (S0/S1)</w:t>
            </w:r>
          </w:p>
        </w:tc>
        <w:tc>
          <w:tcPr>
            <w:tcW w:w="2082" w:type="dxa"/>
            <w:vAlign w:val="center"/>
          </w:tcPr>
          <w:p w14:paraId="34B89010" w14:textId="70C3AEB1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26 (23%)</w:t>
            </w:r>
          </w:p>
        </w:tc>
        <w:tc>
          <w:tcPr>
            <w:tcW w:w="1480" w:type="dxa"/>
            <w:vAlign w:val="center"/>
          </w:tcPr>
          <w:p w14:paraId="277B8B3C" w14:textId="31ABBD28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(4.4%)</w:t>
            </w:r>
          </w:p>
        </w:tc>
        <w:tc>
          <w:tcPr>
            <w:tcW w:w="2753" w:type="dxa"/>
            <w:vAlign w:val="center"/>
          </w:tcPr>
          <w:p w14:paraId="499932F8" w14:textId="352A3F17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23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(49.93%)</w:t>
            </w:r>
          </w:p>
        </w:tc>
        <w:tc>
          <w:tcPr>
            <w:tcW w:w="1245" w:type="dxa"/>
            <w:vAlign w:val="center"/>
          </w:tcPr>
          <w:p w14:paraId="1BE005E7" w14:textId="11E1636A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0.000</w:t>
            </w:r>
          </w:p>
        </w:tc>
      </w:tr>
      <w:tr w:rsidR="00262881" w:rsidRPr="00B71B9E" w14:paraId="5399C300" w14:textId="77777777" w:rsidTr="00262881">
        <w:trPr>
          <w:trHeight w:val="228"/>
        </w:trPr>
        <w:tc>
          <w:tcPr>
            <w:tcW w:w="2185" w:type="dxa"/>
            <w:vAlign w:val="center"/>
          </w:tcPr>
          <w:p w14:paraId="7C2F83F9" w14:textId="6CCF7DB2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IFTA (</w:t>
            </w:r>
            <w:r w:rsidR="0088138D"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Y</w:t>
            </w: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/</w:t>
            </w:r>
            <w:r w:rsidR="0088138D"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N</w:t>
            </w: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082" w:type="dxa"/>
            <w:vAlign w:val="center"/>
          </w:tcPr>
          <w:p w14:paraId="45E6E051" w14:textId="2E424F59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69 (60%)</w:t>
            </w:r>
          </w:p>
        </w:tc>
        <w:tc>
          <w:tcPr>
            <w:tcW w:w="1480" w:type="dxa"/>
            <w:vAlign w:val="center"/>
          </w:tcPr>
          <w:p w14:paraId="45385CD1" w14:textId="3016093B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25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(36.8%)</w:t>
            </w:r>
          </w:p>
        </w:tc>
        <w:tc>
          <w:tcPr>
            <w:tcW w:w="2753" w:type="dxa"/>
            <w:vAlign w:val="center"/>
          </w:tcPr>
          <w:p w14:paraId="1E4D8C27" w14:textId="575DFBDA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44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(93.6%)</w:t>
            </w:r>
          </w:p>
        </w:tc>
        <w:tc>
          <w:tcPr>
            <w:tcW w:w="1245" w:type="dxa"/>
            <w:vAlign w:val="center"/>
          </w:tcPr>
          <w:p w14:paraId="34664CB6" w14:textId="77777777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0.000</w:t>
            </w:r>
          </w:p>
        </w:tc>
      </w:tr>
      <w:tr w:rsidR="00262881" w:rsidRPr="00B71B9E" w14:paraId="746752AE" w14:textId="77777777" w:rsidTr="00262881">
        <w:trPr>
          <w:trHeight w:val="228"/>
        </w:trPr>
        <w:tc>
          <w:tcPr>
            <w:tcW w:w="2185" w:type="dxa"/>
            <w:vAlign w:val="center"/>
          </w:tcPr>
          <w:p w14:paraId="4CDAAB85" w14:textId="77777777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Inflammation (I0/I1)</w:t>
            </w:r>
          </w:p>
        </w:tc>
        <w:tc>
          <w:tcPr>
            <w:tcW w:w="2082" w:type="dxa"/>
            <w:vAlign w:val="center"/>
          </w:tcPr>
          <w:p w14:paraId="7BF2E2F5" w14:textId="3E522BE0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47 (41%)</w:t>
            </w:r>
          </w:p>
        </w:tc>
        <w:tc>
          <w:tcPr>
            <w:tcW w:w="1480" w:type="dxa"/>
            <w:vAlign w:val="center"/>
          </w:tcPr>
          <w:p w14:paraId="2FF9C272" w14:textId="55FB0B13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17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(25%)</w:t>
            </w:r>
          </w:p>
        </w:tc>
        <w:tc>
          <w:tcPr>
            <w:tcW w:w="2753" w:type="dxa"/>
            <w:vAlign w:val="center"/>
          </w:tcPr>
          <w:p w14:paraId="1BA5698E" w14:textId="7C5F6B48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30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(63.8%)</w:t>
            </w:r>
          </w:p>
        </w:tc>
        <w:tc>
          <w:tcPr>
            <w:tcW w:w="1245" w:type="dxa"/>
            <w:vAlign w:val="center"/>
          </w:tcPr>
          <w:p w14:paraId="2F01D579" w14:textId="77777777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0.000</w:t>
            </w:r>
          </w:p>
        </w:tc>
      </w:tr>
      <w:tr w:rsidR="00262881" w:rsidRPr="00B71B9E" w14:paraId="112FD06E" w14:textId="77777777" w:rsidTr="00262881">
        <w:trPr>
          <w:trHeight w:val="228"/>
        </w:trPr>
        <w:tc>
          <w:tcPr>
            <w:tcW w:w="2185" w:type="dxa"/>
            <w:vAlign w:val="center"/>
          </w:tcPr>
          <w:p w14:paraId="3ADBC13E" w14:textId="77777777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Crescents (C0/C1)</w:t>
            </w:r>
          </w:p>
        </w:tc>
        <w:tc>
          <w:tcPr>
            <w:tcW w:w="2082" w:type="dxa"/>
            <w:vAlign w:val="center"/>
          </w:tcPr>
          <w:p w14:paraId="1B912DE2" w14:textId="289811EA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21 (18%)</w:t>
            </w:r>
          </w:p>
        </w:tc>
        <w:tc>
          <w:tcPr>
            <w:tcW w:w="1480" w:type="dxa"/>
            <w:vAlign w:val="center"/>
          </w:tcPr>
          <w:p w14:paraId="2B9A0015" w14:textId="6C73615C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9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(13.3%)</w:t>
            </w:r>
          </w:p>
        </w:tc>
        <w:tc>
          <w:tcPr>
            <w:tcW w:w="2753" w:type="dxa"/>
            <w:vAlign w:val="center"/>
          </w:tcPr>
          <w:p w14:paraId="4E01FC52" w14:textId="4BFCE97D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12</w:t>
            </w:r>
            <w:r w:rsidR="00050E9F" w:rsidRPr="00B71B9E">
              <w:rPr>
                <w:rFonts w:asciiTheme="majorHAnsi" w:hAnsiTheme="majorHAnsi" w:cstheme="minorHAnsi"/>
                <w:sz w:val="20"/>
                <w:szCs w:val="20"/>
              </w:rPr>
              <w:t xml:space="preserve"> (25.53%)</w:t>
            </w:r>
          </w:p>
        </w:tc>
        <w:tc>
          <w:tcPr>
            <w:tcW w:w="1245" w:type="dxa"/>
            <w:vAlign w:val="center"/>
          </w:tcPr>
          <w:p w14:paraId="69FC5AAF" w14:textId="77777777" w:rsidR="00262881" w:rsidRPr="00B71B9E" w:rsidRDefault="00262881" w:rsidP="0092444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0.093</w:t>
            </w:r>
          </w:p>
        </w:tc>
      </w:tr>
    </w:tbl>
    <w:p w14:paraId="663A6B8B" w14:textId="77777777" w:rsidR="00846899" w:rsidRPr="00B71B9E" w:rsidRDefault="00846899" w:rsidP="00335CDC">
      <w:pPr>
        <w:rPr>
          <w:rFonts w:asciiTheme="majorHAnsi" w:hAnsiTheme="majorHAnsi" w:cstheme="minorHAnsi"/>
          <w:b/>
          <w:sz w:val="20"/>
          <w:szCs w:val="20"/>
        </w:rPr>
      </w:pPr>
    </w:p>
    <w:p w14:paraId="387C6258" w14:textId="77777777" w:rsidR="00B71B9E" w:rsidRPr="00B71B9E" w:rsidRDefault="00B71B9E" w:rsidP="00335CDC">
      <w:pPr>
        <w:rPr>
          <w:rFonts w:asciiTheme="majorHAnsi" w:hAnsiTheme="majorHAnsi" w:cstheme="minorHAnsi"/>
          <w:b/>
          <w:sz w:val="20"/>
          <w:szCs w:val="20"/>
        </w:rPr>
      </w:pPr>
    </w:p>
    <w:p w14:paraId="1E7E1C6A" w14:textId="77777777" w:rsidR="00B71B9E" w:rsidRPr="00B71B9E" w:rsidRDefault="00B71B9E" w:rsidP="00335CDC">
      <w:pPr>
        <w:rPr>
          <w:rFonts w:asciiTheme="majorHAnsi" w:hAnsiTheme="majorHAnsi" w:cstheme="minorHAnsi"/>
          <w:b/>
          <w:sz w:val="20"/>
          <w:szCs w:val="20"/>
        </w:rPr>
      </w:pPr>
    </w:p>
    <w:p w14:paraId="72448C50" w14:textId="77777777" w:rsidR="00B71B9E" w:rsidRDefault="00B71B9E" w:rsidP="00335CDC">
      <w:pPr>
        <w:rPr>
          <w:rFonts w:asciiTheme="majorHAnsi" w:hAnsiTheme="majorHAnsi" w:cstheme="minorHAnsi"/>
          <w:b/>
          <w:sz w:val="20"/>
          <w:szCs w:val="20"/>
        </w:rPr>
      </w:pPr>
    </w:p>
    <w:p w14:paraId="6D06F88E" w14:textId="77777777" w:rsidR="00B71B9E" w:rsidRDefault="00B71B9E" w:rsidP="00335CDC">
      <w:pPr>
        <w:rPr>
          <w:rFonts w:asciiTheme="majorHAnsi" w:hAnsiTheme="majorHAnsi" w:cstheme="minorHAnsi"/>
          <w:b/>
          <w:sz w:val="20"/>
          <w:szCs w:val="20"/>
        </w:rPr>
      </w:pPr>
    </w:p>
    <w:p w14:paraId="52D3D00F" w14:textId="77777777" w:rsidR="00B71B9E" w:rsidRDefault="00B71B9E" w:rsidP="00335CDC">
      <w:pPr>
        <w:rPr>
          <w:rFonts w:asciiTheme="majorHAnsi" w:hAnsiTheme="majorHAnsi" w:cstheme="minorHAnsi"/>
          <w:b/>
          <w:sz w:val="20"/>
          <w:szCs w:val="20"/>
        </w:rPr>
      </w:pPr>
    </w:p>
    <w:p w14:paraId="4910CC0F" w14:textId="77777777" w:rsidR="00B71B9E" w:rsidRDefault="00B71B9E" w:rsidP="00335CDC">
      <w:pPr>
        <w:rPr>
          <w:rFonts w:asciiTheme="majorHAnsi" w:hAnsiTheme="majorHAnsi" w:cstheme="minorHAnsi"/>
          <w:b/>
          <w:sz w:val="20"/>
          <w:szCs w:val="20"/>
        </w:rPr>
      </w:pPr>
    </w:p>
    <w:p w14:paraId="270A7E90" w14:textId="77777777" w:rsidR="00B71B9E" w:rsidRDefault="00B71B9E" w:rsidP="00335CDC">
      <w:pPr>
        <w:rPr>
          <w:rFonts w:asciiTheme="majorHAnsi" w:hAnsiTheme="majorHAnsi" w:cstheme="minorHAnsi"/>
          <w:b/>
          <w:sz w:val="20"/>
          <w:szCs w:val="20"/>
        </w:rPr>
      </w:pPr>
    </w:p>
    <w:p w14:paraId="7A59B747" w14:textId="77777777" w:rsidR="00B71B9E" w:rsidRDefault="00B71B9E" w:rsidP="00335CDC">
      <w:pPr>
        <w:rPr>
          <w:rFonts w:asciiTheme="majorHAnsi" w:hAnsiTheme="majorHAnsi" w:cstheme="minorHAnsi"/>
          <w:b/>
          <w:sz w:val="20"/>
          <w:szCs w:val="20"/>
        </w:rPr>
      </w:pPr>
    </w:p>
    <w:p w14:paraId="498CD98F" w14:textId="77777777" w:rsidR="00B71B9E" w:rsidRDefault="00B71B9E" w:rsidP="00335CDC">
      <w:pPr>
        <w:rPr>
          <w:rFonts w:asciiTheme="majorHAnsi" w:hAnsiTheme="majorHAnsi" w:cstheme="minorHAnsi"/>
          <w:b/>
          <w:sz w:val="20"/>
          <w:szCs w:val="20"/>
        </w:rPr>
      </w:pPr>
    </w:p>
    <w:p w14:paraId="31DFCCF1" w14:textId="77777777" w:rsidR="00B71B9E" w:rsidRDefault="00B71B9E" w:rsidP="00335CDC">
      <w:pPr>
        <w:rPr>
          <w:rFonts w:asciiTheme="majorHAnsi" w:hAnsiTheme="majorHAnsi" w:cstheme="minorHAnsi"/>
          <w:b/>
          <w:sz w:val="20"/>
          <w:szCs w:val="20"/>
        </w:rPr>
      </w:pPr>
    </w:p>
    <w:p w14:paraId="7620D1B3" w14:textId="3B83299A" w:rsidR="00513099" w:rsidRPr="00B71B9E" w:rsidRDefault="00513099" w:rsidP="00335CDC">
      <w:pPr>
        <w:rPr>
          <w:rFonts w:asciiTheme="majorHAnsi" w:hAnsiTheme="majorHAnsi" w:cstheme="minorHAnsi"/>
          <w:b/>
          <w:sz w:val="20"/>
          <w:szCs w:val="20"/>
        </w:rPr>
      </w:pPr>
      <w:r w:rsidRPr="00B71B9E">
        <w:rPr>
          <w:rFonts w:asciiTheme="majorHAnsi" w:hAnsiTheme="majorHAnsi" w:cstheme="minorHAnsi"/>
          <w:b/>
          <w:sz w:val="20"/>
          <w:szCs w:val="20"/>
        </w:rPr>
        <w:t xml:space="preserve">Table 2: Multivariate </w:t>
      </w:r>
      <w:r w:rsidR="00817EF6" w:rsidRPr="00B71B9E">
        <w:rPr>
          <w:rFonts w:asciiTheme="majorHAnsi" w:hAnsiTheme="majorHAnsi" w:cstheme="minorHAnsi"/>
          <w:b/>
          <w:sz w:val="20"/>
          <w:szCs w:val="20"/>
        </w:rPr>
        <w:t xml:space="preserve">Cox-regression </w:t>
      </w:r>
      <w:r w:rsidRPr="00B71B9E">
        <w:rPr>
          <w:rFonts w:asciiTheme="majorHAnsi" w:hAnsiTheme="majorHAnsi" w:cstheme="minorHAnsi"/>
          <w:b/>
          <w:sz w:val="20"/>
          <w:szCs w:val="20"/>
        </w:rPr>
        <w:t>model</w:t>
      </w:r>
      <w:r w:rsidR="00817EF6" w:rsidRPr="00B71B9E">
        <w:rPr>
          <w:rFonts w:asciiTheme="majorHAnsi" w:hAnsiTheme="majorHAnsi" w:cstheme="minorHAnsi"/>
          <w:b/>
          <w:sz w:val="20"/>
          <w:szCs w:val="20"/>
        </w:rPr>
        <w:t>:</w:t>
      </w:r>
    </w:p>
    <w:tbl>
      <w:tblPr>
        <w:tblStyle w:val="TableGrid"/>
        <w:tblW w:w="10080" w:type="dxa"/>
        <w:tblInd w:w="421" w:type="dxa"/>
        <w:tblLook w:val="04A0" w:firstRow="1" w:lastRow="0" w:firstColumn="1" w:lastColumn="0" w:noHBand="0" w:noVBand="1"/>
      </w:tblPr>
      <w:tblGrid>
        <w:gridCol w:w="3527"/>
        <w:gridCol w:w="3005"/>
        <w:gridCol w:w="3548"/>
      </w:tblGrid>
      <w:tr w:rsidR="005B3380" w:rsidRPr="00B71B9E" w14:paraId="71C061AB" w14:textId="77777777" w:rsidTr="00B71B9E">
        <w:trPr>
          <w:trHeight w:val="341"/>
        </w:trPr>
        <w:tc>
          <w:tcPr>
            <w:tcW w:w="3527" w:type="dxa"/>
            <w:vAlign w:val="center"/>
          </w:tcPr>
          <w:p w14:paraId="639B3F08" w14:textId="77777777" w:rsidR="005B3380" w:rsidRPr="00B71B9E" w:rsidRDefault="005B3380" w:rsidP="00513099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Factor</w:t>
            </w:r>
          </w:p>
        </w:tc>
        <w:tc>
          <w:tcPr>
            <w:tcW w:w="3005" w:type="dxa"/>
            <w:vAlign w:val="center"/>
          </w:tcPr>
          <w:p w14:paraId="55CE12D0" w14:textId="77777777" w:rsidR="005B3380" w:rsidRPr="00B71B9E" w:rsidRDefault="005B3380" w:rsidP="0051309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HR (95% CI)</w:t>
            </w:r>
          </w:p>
        </w:tc>
        <w:tc>
          <w:tcPr>
            <w:tcW w:w="3548" w:type="dxa"/>
            <w:vAlign w:val="center"/>
          </w:tcPr>
          <w:p w14:paraId="5DB48788" w14:textId="77777777" w:rsidR="005B3380" w:rsidRPr="00B71B9E" w:rsidRDefault="005B3380" w:rsidP="0051309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P Value</w:t>
            </w:r>
          </w:p>
        </w:tc>
      </w:tr>
      <w:tr w:rsidR="005B3380" w:rsidRPr="00B71B9E" w14:paraId="3EF96675" w14:textId="77777777" w:rsidTr="00B71B9E">
        <w:tc>
          <w:tcPr>
            <w:tcW w:w="3527" w:type="dxa"/>
            <w:vAlign w:val="center"/>
          </w:tcPr>
          <w:p w14:paraId="137CCEBC" w14:textId="77777777" w:rsidR="005B3380" w:rsidRPr="00B71B9E" w:rsidRDefault="005B3380" w:rsidP="00513099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Baseline Creatinine</w:t>
            </w:r>
          </w:p>
        </w:tc>
        <w:tc>
          <w:tcPr>
            <w:tcW w:w="3005" w:type="dxa"/>
            <w:vAlign w:val="center"/>
          </w:tcPr>
          <w:p w14:paraId="3613CDAD" w14:textId="77777777" w:rsidR="005B3380" w:rsidRPr="00B71B9E" w:rsidRDefault="005B3380" w:rsidP="0051309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1.01 (1.01-1.01)</w:t>
            </w:r>
          </w:p>
        </w:tc>
        <w:tc>
          <w:tcPr>
            <w:tcW w:w="3548" w:type="dxa"/>
            <w:vAlign w:val="center"/>
          </w:tcPr>
          <w:p w14:paraId="30C63559" w14:textId="77777777" w:rsidR="005B3380" w:rsidRPr="00B71B9E" w:rsidRDefault="005B3380" w:rsidP="0051309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0.020</w:t>
            </w:r>
          </w:p>
        </w:tc>
      </w:tr>
      <w:tr w:rsidR="00513099" w:rsidRPr="00B71B9E" w14:paraId="7B4D814B" w14:textId="77777777" w:rsidTr="00B71B9E">
        <w:tc>
          <w:tcPr>
            <w:tcW w:w="3527" w:type="dxa"/>
            <w:vAlign w:val="center"/>
          </w:tcPr>
          <w:p w14:paraId="38A16D9C" w14:textId="23C4C942" w:rsidR="00513099" w:rsidRPr="00B71B9E" w:rsidRDefault="00513099" w:rsidP="00513099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Segmental Sclerosis (S0/S1)</w:t>
            </w:r>
          </w:p>
        </w:tc>
        <w:tc>
          <w:tcPr>
            <w:tcW w:w="3005" w:type="dxa"/>
            <w:vAlign w:val="center"/>
          </w:tcPr>
          <w:p w14:paraId="23F6BE16" w14:textId="77777777" w:rsidR="00513099" w:rsidRPr="00B71B9E" w:rsidRDefault="00513099" w:rsidP="0051309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2.85 (1.50-5.43)</w:t>
            </w:r>
          </w:p>
        </w:tc>
        <w:tc>
          <w:tcPr>
            <w:tcW w:w="3548" w:type="dxa"/>
            <w:vAlign w:val="center"/>
          </w:tcPr>
          <w:p w14:paraId="4BE71640" w14:textId="77777777" w:rsidR="00513099" w:rsidRPr="00B71B9E" w:rsidRDefault="00513099" w:rsidP="00513099">
            <w:pPr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0.001</w:t>
            </w:r>
          </w:p>
        </w:tc>
      </w:tr>
      <w:tr w:rsidR="00513099" w:rsidRPr="00B71B9E" w14:paraId="112BE75A" w14:textId="77777777" w:rsidTr="00B71B9E">
        <w:tc>
          <w:tcPr>
            <w:tcW w:w="3527" w:type="dxa"/>
            <w:vAlign w:val="center"/>
          </w:tcPr>
          <w:p w14:paraId="76A083C4" w14:textId="549EFB52" w:rsidR="00513099" w:rsidRPr="00B71B9E" w:rsidRDefault="00513099" w:rsidP="00513099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IFTA (</w:t>
            </w:r>
            <w:r w:rsidR="00CA2DBC"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Y</w:t>
            </w: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/</w:t>
            </w:r>
            <w:r w:rsidR="00CA2DBC"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N</w:t>
            </w:r>
            <w:r w:rsidRPr="00B71B9E">
              <w:rPr>
                <w:rFonts w:asciiTheme="majorHAnsi" w:hAnsiTheme="maj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005" w:type="dxa"/>
            <w:vAlign w:val="center"/>
          </w:tcPr>
          <w:p w14:paraId="06EBE567" w14:textId="77777777" w:rsidR="00513099" w:rsidRPr="00B71B9E" w:rsidRDefault="00513099" w:rsidP="0051309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sz w:val="20"/>
                <w:szCs w:val="20"/>
              </w:rPr>
              <w:t>11.5 (3.02-44.09)</w:t>
            </w:r>
          </w:p>
        </w:tc>
        <w:tc>
          <w:tcPr>
            <w:tcW w:w="3548" w:type="dxa"/>
            <w:vAlign w:val="center"/>
          </w:tcPr>
          <w:p w14:paraId="22CC42D0" w14:textId="77777777" w:rsidR="00513099" w:rsidRPr="00B71B9E" w:rsidRDefault="00513099" w:rsidP="00513099">
            <w:pPr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  <w:r w:rsidRPr="00B71B9E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0.000</w:t>
            </w:r>
          </w:p>
        </w:tc>
      </w:tr>
    </w:tbl>
    <w:p w14:paraId="48ECF6BA" w14:textId="52A3F1C9" w:rsidR="00513099" w:rsidRPr="00B71B9E" w:rsidRDefault="00513099" w:rsidP="008F0A84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513099" w:rsidRPr="00B71B9E" w:rsidSect="00B71B9E">
      <w:pgSz w:w="11906" w:h="16838"/>
      <w:pgMar w:top="284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5B80"/>
    <w:multiLevelType w:val="hybridMultilevel"/>
    <w:tmpl w:val="5C3E2922"/>
    <w:lvl w:ilvl="0" w:tplc="E4BA7ACC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EB6E92"/>
    <w:multiLevelType w:val="hybridMultilevel"/>
    <w:tmpl w:val="72D27A8E"/>
    <w:lvl w:ilvl="0" w:tplc="11DEBD2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06BB"/>
    <w:multiLevelType w:val="hybridMultilevel"/>
    <w:tmpl w:val="79BCA2A0"/>
    <w:lvl w:ilvl="0" w:tplc="9A38C09A">
      <w:start w:val="1"/>
      <w:numFmt w:val="decimal"/>
      <w:lvlText w:val="%1."/>
      <w:lvlJc w:val="left"/>
      <w:pPr>
        <w:ind w:left="570" w:hanging="360"/>
      </w:pPr>
    </w:lvl>
    <w:lvl w:ilvl="1" w:tplc="08090019">
      <w:start w:val="1"/>
      <w:numFmt w:val="lowerLetter"/>
      <w:lvlText w:val="%2."/>
      <w:lvlJc w:val="left"/>
      <w:pPr>
        <w:ind w:left="1290" w:hanging="360"/>
      </w:pPr>
    </w:lvl>
    <w:lvl w:ilvl="2" w:tplc="0809001B">
      <w:start w:val="1"/>
      <w:numFmt w:val="lowerRoman"/>
      <w:lvlText w:val="%3."/>
      <w:lvlJc w:val="right"/>
      <w:pPr>
        <w:ind w:left="2010" w:hanging="180"/>
      </w:pPr>
    </w:lvl>
    <w:lvl w:ilvl="3" w:tplc="0809000F">
      <w:start w:val="1"/>
      <w:numFmt w:val="decimal"/>
      <w:lvlText w:val="%4."/>
      <w:lvlJc w:val="left"/>
      <w:pPr>
        <w:ind w:left="2730" w:hanging="360"/>
      </w:pPr>
    </w:lvl>
    <w:lvl w:ilvl="4" w:tplc="08090019">
      <w:start w:val="1"/>
      <w:numFmt w:val="lowerLetter"/>
      <w:lvlText w:val="%5."/>
      <w:lvlJc w:val="left"/>
      <w:pPr>
        <w:ind w:left="3450" w:hanging="360"/>
      </w:pPr>
    </w:lvl>
    <w:lvl w:ilvl="5" w:tplc="0809001B">
      <w:start w:val="1"/>
      <w:numFmt w:val="lowerRoman"/>
      <w:lvlText w:val="%6."/>
      <w:lvlJc w:val="right"/>
      <w:pPr>
        <w:ind w:left="4170" w:hanging="180"/>
      </w:pPr>
    </w:lvl>
    <w:lvl w:ilvl="6" w:tplc="0809000F">
      <w:start w:val="1"/>
      <w:numFmt w:val="decimal"/>
      <w:lvlText w:val="%7."/>
      <w:lvlJc w:val="left"/>
      <w:pPr>
        <w:ind w:left="4890" w:hanging="360"/>
      </w:pPr>
    </w:lvl>
    <w:lvl w:ilvl="7" w:tplc="08090019">
      <w:start w:val="1"/>
      <w:numFmt w:val="lowerLetter"/>
      <w:lvlText w:val="%8."/>
      <w:lvlJc w:val="left"/>
      <w:pPr>
        <w:ind w:left="5610" w:hanging="360"/>
      </w:pPr>
    </w:lvl>
    <w:lvl w:ilvl="8" w:tplc="080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F5"/>
    <w:rsid w:val="00005937"/>
    <w:rsid w:val="00034C3E"/>
    <w:rsid w:val="000362D9"/>
    <w:rsid w:val="00050E9F"/>
    <w:rsid w:val="00067463"/>
    <w:rsid w:val="00071C9C"/>
    <w:rsid w:val="000975C7"/>
    <w:rsid w:val="000C1C9A"/>
    <w:rsid w:val="00110653"/>
    <w:rsid w:val="00137091"/>
    <w:rsid w:val="001468E7"/>
    <w:rsid w:val="00191735"/>
    <w:rsid w:val="001B2890"/>
    <w:rsid w:val="001B3C21"/>
    <w:rsid w:val="001E0E20"/>
    <w:rsid w:val="001E324C"/>
    <w:rsid w:val="00262881"/>
    <w:rsid w:val="00270A85"/>
    <w:rsid w:val="00275273"/>
    <w:rsid w:val="002816F3"/>
    <w:rsid w:val="002A7708"/>
    <w:rsid w:val="002C41C5"/>
    <w:rsid w:val="002C42B0"/>
    <w:rsid w:val="00302CD3"/>
    <w:rsid w:val="0030741A"/>
    <w:rsid w:val="00335CDC"/>
    <w:rsid w:val="00350BFB"/>
    <w:rsid w:val="00363337"/>
    <w:rsid w:val="00374053"/>
    <w:rsid w:val="003B14C4"/>
    <w:rsid w:val="003C77B4"/>
    <w:rsid w:val="00401E8C"/>
    <w:rsid w:val="004352CB"/>
    <w:rsid w:val="00467A01"/>
    <w:rsid w:val="0047737A"/>
    <w:rsid w:val="004C32A3"/>
    <w:rsid w:val="004C388C"/>
    <w:rsid w:val="004D2F5D"/>
    <w:rsid w:val="004F6D14"/>
    <w:rsid w:val="004F7504"/>
    <w:rsid w:val="00513099"/>
    <w:rsid w:val="00594048"/>
    <w:rsid w:val="005A453E"/>
    <w:rsid w:val="005B3380"/>
    <w:rsid w:val="005B4F78"/>
    <w:rsid w:val="005D2B52"/>
    <w:rsid w:val="005E41FD"/>
    <w:rsid w:val="006116C4"/>
    <w:rsid w:val="0061599F"/>
    <w:rsid w:val="00654BFC"/>
    <w:rsid w:val="00672DDB"/>
    <w:rsid w:val="006D1494"/>
    <w:rsid w:val="00725EA9"/>
    <w:rsid w:val="007263DD"/>
    <w:rsid w:val="0074031E"/>
    <w:rsid w:val="007449B6"/>
    <w:rsid w:val="00745F28"/>
    <w:rsid w:val="00753FE7"/>
    <w:rsid w:val="007C27CC"/>
    <w:rsid w:val="007F739A"/>
    <w:rsid w:val="0080395D"/>
    <w:rsid w:val="00817EF6"/>
    <w:rsid w:val="008275EF"/>
    <w:rsid w:val="0084128D"/>
    <w:rsid w:val="00846899"/>
    <w:rsid w:val="0086015D"/>
    <w:rsid w:val="0088138D"/>
    <w:rsid w:val="008B3766"/>
    <w:rsid w:val="008C7822"/>
    <w:rsid w:val="008F0A84"/>
    <w:rsid w:val="008F60BB"/>
    <w:rsid w:val="00904244"/>
    <w:rsid w:val="00924441"/>
    <w:rsid w:val="009473E2"/>
    <w:rsid w:val="00981D78"/>
    <w:rsid w:val="00A12593"/>
    <w:rsid w:val="00A310BD"/>
    <w:rsid w:val="00A61D73"/>
    <w:rsid w:val="00A701BD"/>
    <w:rsid w:val="00A72647"/>
    <w:rsid w:val="00A72E7D"/>
    <w:rsid w:val="00A907C6"/>
    <w:rsid w:val="00A91ABF"/>
    <w:rsid w:val="00B71B9E"/>
    <w:rsid w:val="00B725AB"/>
    <w:rsid w:val="00BA02C7"/>
    <w:rsid w:val="00BB29AF"/>
    <w:rsid w:val="00BC03EA"/>
    <w:rsid w:val="00BC1BC4"/>
    <w:rsid w:val="00BC3143"/>
    <w:rsid w:val="00C04FF9"/>
    <w:rsid w:val="00C053DE"/>
    <w:rsid w:val="00C070B5"/>
    <w:rsid w:val="00C07952"/>
    <w:rsid w:val="00C2342A"/>
    <w:rsid w:val="00C305C1"/>
    <w:rsid w:val="00C413F7"/>
    <w:rsid w:val="00C76905"/>
    <w:rsid w:val="00C812F5"/>
    <w:rsid w:val="00CA2DBC"/>
    <w:rsid w:val="00CB26D2"/>
    <w:rsid w:val="00CD00B9"/>
    <w:rsid w:val="00D617B0"/>
    <w:rsid w:val="00DF424D"/>
    <w:rsid w:val="00E07735"/>
    <w:rsid w:val="00EE0432"/>
    <w:rsid w:val="00EE073F"/>
    <w:rsid w:val="00F027F6"/>
    <w:rsid w:val="00F10D57"/>
    <w:rsid w:val="00F14860"/>
    <w:rsid w:val="00F344BE"/>
    <w:rsid w:val="00FB7F74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1A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D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0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CDC"/>
    <w:pPr>
      <w:ind w:left="720"/>
      <w:contextualSpacing/>
    </w:pPr>
  </w:style>
  <w:style w:type="table" w:styleId="TableGrid">
    <w:name w:val="Table Grid"/>
    <w:basedOn w:val="TableNormal"/>
    <w:uiPriority w:val="39"/>
    <w:rsid w:val="005B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Teaching Hospitals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RAJKUMAR CHINNADURAI</dc:creator>
  <cp:lastModifiedBy>Alice Higgins</cp:lastModifiedBy>
  <cp:revision>2</cp:revision>
  <dcterms:created xsi:type="dcterms:W3CDTF">2018-02-14T10:12:00Z</dcterms:created>
  <dcterms:modified xsi:type="dcterms:W3CDTF">2018-02-14T10:12:00Z</dcterms:modified>
</cp:coreProperties>
</file>