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6F70" w14:textId="77777777" w:rsidR="00AC6AA9" w:rsidRDefault="00AC6AA9" w:rsidP="00AC6AA9">
      <w:pPr>
        <w:jc w:val="both"/>
        <w:rPr>
          <w:rFonts w:ascii="Times New Roman" w:hAnsi="Times New Roman" w:cs="Times New Roman"/>
          <w:b/>
        </w:rPr>
      </w:pPr>
      <w:r w:rsidRPr="00D86007">
        <w:rPr>
          <w:rFonts w:ascii="Times New Roman" w:hAnsi="Times New Roman" w:cs="Times New Roman"/>
          <w:b/>
        </w:rPr>
        <w:t xml:space="preserve">QI projects and AKI responses: Can stickers ever be as effective as electronic recording of interventions?  A review of an AKI care bundle intervention programme. </w:t>
      </w:r>
    </w:p>
    <w:p w14:paraId="0AEF1D7F" w14:textId="77777777" w:rsidR="00361D16" w:rsidRDefault="00AC6AA9">
      <w:pPr>
        <w:rPr>
          <w:rFonts w:ascii="Times New Roman" w:hAnsi="Times New Roman" w:cs="Times New Roman"/>
          <w:b/>
        </w:rPr>
      </w:pPr>
      <w:r w:rsidRPr="006206F1">
        <w:rPr>
          <w:rFonts w:ascii="Times New Roman" w:hAnsi="Times New Roman" w:cs="Times New Roman"/>
          <w:b/>
        </w:rPr>
        <w:t>Introduction</w:t>
      </w:r>
    </w:p>
    <w:p w14:paraId="6BCAEBA2" w14:textId="52CFDA1B" w:rsidR="00AC6AA9" w:rsidRDefault="00AC6AA9">
      <w:pPr>
        <w:rPr>
          <w:rFonts w:ascii="Times New Roman" w:hAnsi="Times New Roman" w:cs="Times New Roman"/>
        </w:rPr>
      </w:pPr>
      <w:r w:rsidRPr="006206F1">
        <w:rPr>
          <w:rFonts w:ascii="Times New Roman" w:hAnsi="Times New Roman" w:cs="Times New Roman"/>
        </w:rPr>
        <w:t>Acute Kidney Injury (AKI) is associated with an increase in mortality and morbidity in hospital patients, with incidence increasing due to the prevalence of risk factors. The 2009 NCEPOD report into AKI deaths identified deficiencies in the management of many patient</w:t>
      </w:r>
      <w:r>
        <w:rPr>
          <w:rFonts w:ascii="Times New Roman" w:hAnsi="Times New Roman" w:cs="Times New Roman"/>
        </w:rPr>
        <w:t xml:space="preserve">s. </w:t>
      </w:r>
      <w:r w:rsidRPr="006206F1">
        <w:rPr>
          <w:rFonts w:ascii="Times New Roman" w:hAnsi="Times New Roman" w:cs="Times New Roman"/>
        </w:rPr>
        <w:t>In 2014 a National Patient Safety Alert was issued to all acute NHS Trusts requiring implementation of an algorithm to identify AKI and promptly notify practitioners</w:t>
      </w:r>
      <w:r>
        <w:rPr>
          <w:rFonts w:ascii="Times New Roman" w:hAnsi="Times New Roman" w:cs="Times New Roman"/>
        </w:rPr>
        <w:t xml:space="preserve">. </w:t>
      </w:r>
      <w:r w:rsidRPr="006206F1">
        <w:rPr>
          <w:rFonts w:ascii="Times New Roman" w:hAnsi="Times New Roman" w:cs="Times New Roman"/>
        </w:rPr>
        <w:t>There is</w:t>
      </w:r>
      <w:r>
        <w:rPr>
          <w:rFonts w:ascii="Times New Roman" w:hAnsi="Times New Roman" w:cs="Times New Roman"/>
        </w:rPr>
        <w:t xml:space="preserve"> </w:t>
      </w:r>
      <w:r w:rsidRPr="006206F1">
        <w:rPr>
          <w:rFonts w:ascii="Times New Roman" w:hAnsi="Times New Roman" w:cs="Times New Roman"/>
        </w:rPr>
        <w:t>evidence that early identification and intervention using a care bundle may improve patient outcomes.  Following QI methodology, a simple AKI care bundle was introduced in our surgical admission unit (SAU) for use in response to an AKI warning flag.</w:t>
      </w:r>
      <w:r>
        <w:rPr>
          <w:rFonts w:ascii="Times New Roman" w:hAnsi="Times New Roman" w:cs="Times New Roman"/>
        </w:rPr>
        <w:t xml:space="preserve"> We aimed to review the management of AKI in response to this care bundle.</w:t>
      </w:r>
    </w:p>
    <w:p w14:paraId="1E64D1A9" w14:textId="77777777" w:rsidR="00361D16" w:rsidRDefault="00AC6AA9">
      <w:pPr>
        <w:rPr>
          <w:rFonts w:ascii="Times New Roman" w:hAnsi="Times New Roman" w:cs="Times New Roman"/>
          <w:b/>
        </w:rPr>
      </w:pPr>
      <w:r w:rsidRPr="006206F1">
        <w:rPr>
          <w:rFonts w:ascii="Times New Roman" w:hAnsi="Times New Roman" w:cs="Times New Roman"/>
          <w:b/>
        </w:rPr>
        <w:t>Method</w:t>
      </w:r>
      <w:r>
        <w:rPr>
          <w:rFonts w:ascii="Times New Roman" w:hAnsi="Times New Roman" w:cs="Times New Roman"/>
          <w:b/>
        </w:rPr>
        <w:t xml:space="preserve"> </w:t>
      </w:r>
    </w:p>
    <w:p w14:paraId="145C02A5" w14:textId="6C51EFAE" w:rsidR="00AC6AA9" w:rsidRDefault="00AC6AA9">
      <w:r>
        <w:rPr>
          <w:rFonts w:ascii="Times New Roman" w:hAnsi="Times New Roman" w:cs="Times New Roman"/>
          <w:b/>
        </w:rPr>
        <w:t xml:space="preserve"> </w:t>
      </w:r>
      <w:r w:rsidRPr="006206F1">
        <w:rPr>
          <w:rFonts w:ascii="Times New Roman" w:hAnsi="Times New Roman" w:cs="Times New Roman"/>
        </w:rPr>
        <w:t>Following</w:t>
      </w:r>
      <w:r>
        <w:rPr>
          <w:rFonts w:ascii="Times New Roman" w:hAnsi="Times New Roman" w:cs="Times New Roman"/>
        </w:rPr>
        <w:t xml:space="preserve"> </w:t>
      </w:r>
      <w:r w:rsidRPr="006206F1">
        <w:rPr>
          <w:rFonts w:ascii="Times New Roman" w:hAnsi="Times New Roman" w:cs="Times New Roman"/>
        </w:rPr>
        <w:t>education to medical and nursing staff, an AKI care bundle sticker was introduced for a two-month period on</w:t>
      </w:r>
      <w:r>
        <w:rPr>
          <w:rFonts w:ascii="Times New Roman" w:hAnsi="Times New Roman" w:cs="Times New Roman"/>
        </w:rPr>
        <w:t xml:space="preserve"> the SAU. </w:t>
      </w:r>
      <w:r w:rsidRPr="006206F1">
        <w:rPr>
          <w:rFonts w:ascii="Times New Roman" w:hAnsi="Times New Roman" w:cs="Times New Roman"/>
        </w:rPr>
        <w:t>Implementation of the care bundle was assisted by placing an action checklist sticker in the notes in response to the</w:t>
      </w:r>
      <w:r>
        <w:rPr>
          <w:rFonts w:ascii="Times New Roman" w:hAnsi="Times New Roman" w:cs="Times New Roman"/>
        </w:rPr>
        <w:t xml:space="preserve"> ‘Warning Stage Test Result’ </w:t>
      </w:r>
      <w:r w:rsidRPr="006206F1">
        <w:rPr>
          <w:rFonts w:ascii="Times New Roman" w:hAnsi="Times New Roman" w:cs="Times New Roman"/>
        </w:rPr>
        <w:t>from Pathology indicating AKI as per KDIGO definition. A retrospective analysis of notes was undertaken - 21 in the month prior to the bundle implementation and 19 in the month following the introduction</w:t>
      </w:r>
      <w:r>
        <w:rPr>
          <w:rFonts w:ascii="Times New Roman" w:hAnsi="Times New Roman" w:cs="Times New Roman"/>
        </w:rPr>
        <w:t>. C</w:t>
      </w:r>
      <w:r w:rsidRPr="006206F1">
        <w:rPr>
          <w:rFonts w:ascii="Times New Roman" w:hAnsi="Times New Roman" w:cs="Times New Roman"/>
        </w:rPr>
        <w:t xml:space="preserve">ompliance with key interventions included in the </w:t>
      </w:r>
      <w:r w:rsidRPr="00D86007">
        <w:t>care bundle</w:t>
      </w:r>
      <w:r>
        <w:t xml:space="preserve"> was reviewed</w:t>
      </w:r>
      <w:r w:rsidRPr="00D86007">
        <w:t>.</w:t>
      </w:r>
    </w:p>
    <w:p w14:paraId="5638A86E" w14:textId="77777777" w:rsidR="00361D16" w:rsidRDefault="00AC6AA9" w:rsidP="00AC6AA9">
      <w:pPr>
        <w:pStyle w:val="NoSpacing"/>
        <w:rPr>
          <w:rFonts w:ascii="Times New Roman" w:hAnsi="Times New Roman" w:cs="Times New Roman"/>
          <w:b/>
        </w:rPr>
      </w:pPr>
      <w:r w:rsidRPr="006206F1">
        <w:rPr>
          <w:rFonts w:ascii="Times New Roman" w:hAnsi="Times New Roman" w:cs="Times New Roman"/>
          <w:b/>
        </w:rPr>
        <w:t>Results</w:t>
      </w:r>
      <w:r>
        <w:rPr>
          <w:rFonts w:ascii="Times New Roman" w:hAnsi="Times New Roman" w:cs="Times New Roman"/>
          <w:b/>
        </w:rPr>
        <w:t xml:space="preserve"> </w:t>
      </w:r>
    </w:p>
    <w:p w14:paraId="2F4E43A0" w14:textId="77777777" w:rsidR="00361D16" w:rsidRDefault="00361D16" w:rsidP="00AC6AA9">
      <w:pPr>
        <w:pStyle w:val="NoSpacing"/>
        <w:rPr>
          <w:rFonts w:ascii="Times New Roman" w:hAnsi="Times New Roman" w:cs="Times New Roman"/>
        </w:rPr>
      </w:pPr>
    </w:p>
    <w:p w14:paraId="2A647E51" w14:textId="56A266CA" w:rsidR="00AC6AA9" w:rsidRDefault="00AC6AA9" w:rsidP="00AC6AA9">
      <w:pPr>
        <w:pStyle w:val="NoSpacing"/>
        <w:rPr>
          <w:rFonts w:ascii="Times New Roman" w:hAnsi="Times New Roman" w:cs="Times New Roman"/>
        </w:rPr>
      </w:pPr>
      <w:r>
        <w:rPr>
          <w:rFonts w:ascii="Times New Roman" w:hAnsi="Times New Roman" w:cs="Times New Roman"/>
        </w:rPr>
        <w:t xml:space="preserve">Results are shown in Table 1. </w:t>
      </w:r>
    </w:p>
    <w:tbl>
      <w:tblPr>
        <w:tblStyle w:val="TableGrid"/>
        <w:tblpPr w:leftFromText="180" w:rightFromText="180" w:vertAnchor="text" w:horzAnchor="page" w:tblpX="4870" w:tblpY="-29"/>
        <w:tblW w:w="0" w:type="auto"/>
        <w:tblLook w:val="04A0" w:firstRow="1" w:lastRow="0" w:firstColumn="1" w:lastColumn="0" w:noHBand="0" w:noVBand="1"/>
      </w:tblPr>
      <w:tblGrid>
        <w:gridCol w:w="3955"/>
        <w:gridCol w:w="900"/>
        <w:gridCol w:w="810"/>
      </w:tblGrid>
      <w:tr w:rsidR="00AC6AA9" w:rsidRPr="00B44119" w14:paraId="0C116012" w14:textId="77777777" w:rsidTr="007E1C55">
        <w:trPr>
          <w:trHeight w:val="278"/>
        </w:trPr>
        <w:tc>
          <w:tcPr>
            <w:tcW w:w="3955" w:type="dxa"/>
          </w:tcPr>
          <w:p w14:paraId="4FE7A4FC" w14:textId="77777777" w:rsidR="00AC6AA9" w:rsidRPr="00B44119" w:rsidRDefault="00AC6AA9" w:rsidP="007E1C55">
            <w:pPr>
              <w:rPr>
                <w:rFonts w:ascii="Times New Roman" w:hAnsi="Times New Roman" w:cs="Times New Roman"/>
                <w:b/>
                <w:highlight w:val="black"/>
              </w:rPr>
            </w:pPr>
            <w:r w:rsidRPr="00B44119">
              <w:rPr>
                <w:rFonts w:ascii="Times New Roman" w:hAnsi="Times New Roman" w:cs="Times New Roman"/>
                <w:b/>
              </w:rPr>
              <w:t>TABLE 1</w:t>
            </w:r>
          </w:p>
        </w:tc>
        <w:tc>
          <w:tcPr>
            <w:tcW w:w="900" w:type="dxa"/>
          </w:tcPr>
          <w:p w14:paraId="04B144F2"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Before</w:t>
            </w:r>
          </w:p>
        </w:tc>
        <w:tc>
          <w:tcPr>
            <w:tcW w:w="810" w:type="dxa"/>
          </w:tcPr>
          <w:p w14:paraId="1FAEB2E3"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After</w:t>
            </w:r>
          </w:p>
        </w:tc>
      </w:tr>
      <w:tr w:rsidR="00AC6AA9" w:rsidRPr="00B44119" w14:paraId="21D8333B" w14:textId="77777777" w:rsidTr="007E1C55">
        <w:tc>
          <w:tcPr>
            <w:tcW w:w="3955" w:type="dxa"/>
          </w:tcPr>
          <w:p w14:paraId="119F4F75"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AKI cases reviewed</w:t>
            </w:r>
            <w:r>
              <w:rPr>
                <w:rFonts w:ascii="Times New Roman" w:hAnsi="Times New Roman" w:cs="Times New Roman"/>
              </w:rPr>
              <w:t xml:space="preserve"> (Number)</w:t>
            </w:r>
          </w:p>
        </w:tc>
        <w:tc>
          <w:tcPr>
            <w:tcW w:w="900" w:type="dxa"/>
          </w:tcPr>
          <w:p w14:paraId="27B808D5"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21</w:t>
            </w:r>
          </w:p>
        </w:tc>
        <w:tc>
          <w:tcPr>
            <w:tcW w:w="810" w:type="dxa"/>
          </w:tcPr>
          <w:p w14:paraId="5A37983D"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19</w:t>
            </w:r>
          </w:p>
        </w:tc>
      </w:tr>
      <w:tr w:rsidR="00AC6AA9" w:rsidRPr="00B44119" w14:paraId="0A53440C" w14:textId="77777777" w:rsidTr="007E1C55">
        <w:tc>
          <w:tcPr>
            <w:tcW w:w="3955" w:type="dxa"/>
          </w:tcPr>
          <w:p w14:paraId="7E321474"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Sticker used (%)</w:t>
            </w:r>
          </w:p>
        </w:tc>
        <w:tc>
          <w:tcPr>
            <w:tcW w:w="900" w:type="dxa"/>
          </w:tcPr>
          <w:p w14:paraId="6247A4EB"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N/A</w:t>
            </w:r>
          </w:p>
        </w:tc>
        <w:tc>
          <w:tcPr>
            <w:tcW w:w="810" w:type="dxa"/>
          </w:tcPr>
          <w:p w14:paraId="718EB218"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36</w:t>
            </w:r>
          </w:p>
        </w:tc>
      </w:tr>
      <w:tr w:rsidR="00AC6AA9" w:rsidRPr="00B44119" w14:paraId="6BC0244F" w14:textId="77777777" w:rsidTr="007E1C55">
        <w:tc>
          <w:tcPr>
            <w:tcW w:w="3955" w:type="dxa"/>
          </w:tcPr>
          <w:p w14:paraId="3766479E"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‘AKI’ diagnosis written in notes (%)</w:t>
            </w:r>
          </w:p>
        </w:tc>
        <w:tc>
          <w:tcPr>
            <w:tcW w:w="900" w:type="dxa"/>
          </w:tcPr>
          <w:p w14:paraId="69D64845"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47</w:t>
            </w:r>
          </w:p>
        </w:tc>
        <w:tc>
          <w:tcPr>
            <w:tcW w:w="810" w:type="dxa"/>
          </w:tcPr>
          <w:p w14:paraId="5C9F7108"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73</w:t>
            </w:r>
          </w:p>
        </w:tc>
      </w:tr>
      <w:tr w:rsidR="00AC6AA9" w:rsidRPr="00B44119" w14:paraId="76C235B3" w14:textId="77777777" w:rsidTr="007E1C55">
        <w:tc>
          <w:tcPr>
            <w:tcW w:w="3955" w:type="dxa"/>
          </w:tcPr>
          <w:p w14:paraId="453DD3D3"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ABCDE assessment (%)</w:t>
            </w:r>
          </w:p>
        </w:tc>
        <w:tc>
          <w:tcPr>
            <w:tcW w:w="900" w:type="dxa"/>
          </w:tcPr>
          <w:p w14:paraId="6FF4197F"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47</w:t>
            </w:r>
          </w:p>
        </w:tc>
        <w:tc>
          <w:tcPr>
            <w:tcW w:w="810" w:type="dxa"/>
          </w:tcPr>
          <w:p w14:paraId="028300CC"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73</w:t>
            </w:r>
          </w:p>
        </w:tc>
      </w:tr>
      <w:tr w:rsidR="00AC6AA9" w:rsidRPr="00B44119" w14:paraId="7C338441" w14:textId="77777777" w:rsidTr="007E1C55">
        <w:tc>
          <w:tcPr>
            <w:tcW w:w="3955" w:type="dxa"/>
          </w:tcPr>
          <w:p w14:paraId="1392F896"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EWS documented (%)</w:t>
            </w:r>
          </w:p>
        </w:tc>
        <w:tc>
          <w:tcPr>
            <w:tcW w:w="900" w:type="dxa"/>
          </w:tcPr>
          <w:p w14:paraId="085753E9"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76</w:t>
            </w:r>
          </w:p>
        </w:tc>
        <w:tc>
          <w:tcPr>
            <w:tcW w:w="810" w:type="dxa"/>
          </w:tcPr>
          <w:p w14:paraId="193AB4B7"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94</w:t>
            </w:r>
          </w:p>
        </w:tc>
      </w:tr>
      <w:tr w:rsidR="00AC6AA9" w:rsidRPr="00B44119" w14:paraId="28AACDFA" w14:textId="77777777" w:rsidTr="007E1C55">
        <w:tc>
          <w:tcPr>
            <w:tcW w:w="3955" w:type="dxa"/>
          </w:tcPr>
          <w:p w14:paraId="5F659F28"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Sepsis considered and documented (%)</w:t>
            </w:r>
          </w:p>
        </w:tc>
        <w:tc>
          <w:tcPr>
            <w:tcW w:w="900" w:type="dxa"/>
          </w:tcPr>
          <w:p w14:paraId="5897B0F3"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38</w:t>
            </w:r>
          </w:p>
        </w:tc>
        <w:tc>
          <w:tcPr>
            <w:tcW w:w="810" w:type="dxa"/>
          </w:tcPr>
          <w:p w14:paraId="4E6C37F0"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63</w:t>
            </w:r>
          </w:p>
        </w:tc>
      </w:tr>
      <w:tr w:rsidR="00AC6AA9" w:rsidRPr="00B44119" w14:paraId="64919128" w14:textId="77777777" w:rsidTr="007E1C55">
        <w:tc>
          <w:tcPr>
            <w:tcW w:w="3955" w:type="dxa"/>
          </w:tcPr>
          <w:p w14:paraId="3BACB6DA"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Bladder examination (%)</w:t>
            </w:r>
          </w:p>
        </w:tc>
        <w:tc>
          <w:tcPr>
            <w:tcW w:w="900" w:type="dxa"/>
          </w:tcPr>
          <w:p w14:paraId="6BEFAA86"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47</w:t>
            </w:r>
          </w:p>
        </w:tc>
        <w:tc>
          <w:tcPr>
            <w:tcW w:w="810" w:type="dxa"/>
          </w:tcPr>
          <w:p w14:paraId="646DD502"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84</w:t>
            </w:r>
          </w:p>
        </w:tc>
      </w:tr>
      <w:tr w:rsidR="00AC6AA9" w:rsidRPr="00B44119" w14:paraId="6BBB024E" w14:textId="77777777" w:rsidTr="007E1C55">
        <w:tc>
          <w:tcPr>
            <w:tcW w:w="3955" w:type="dxa"/>
          </w:tcPr>
          <w:p w14:paraId="3F7A86CB"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Fluid challenge? (%)</w:t>
            </w:r>
          </w:p>
        </w:tc>
        <w:tc>
          <w:tcPr>
            <w:tcW w:w="900" w:type="dxa"/>
          </w:tcPr>
          <w:p w14:paraId="5A91FCBA"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42</w:t>
            </w:r>
          </w:p>
        </w:tc>
        <w:tc>
          <w:tcPr>
            <w:tcW w:w="810" w:type="dxa"/>
          </w:tcPr>
          <w:p w14:paraId="2D994363"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63</w:t>
            </w:r>
          </w:p>
        </w:tc>
      </w:tr>
      <w:tr w:rsidR="00AC6AA9" w:rsidRPr="00B44119" w14:paraId="3EBD73BD" w14:textId="77777777" w:rsidTr="007E1C55">
        <w:tc>
          <w:tcPr>
            <w:tcW w:w="3955" w:type="dxa"/>
          </w:tcPr>
          <w:p w14:paraId="00546646"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Medication review documented (%)</w:t>
            </w:r>
          </w:p>
          <w:p w14:paraId="40E42954" w14:textId="77777777" w:rsidR="00AC6AA9" w:rsidRPr="00B44119" w:rsidRDefault="00AC6AA9" w:rsidP="007E1C55">
            <w:pPr>
              <w:pStyle w:val="ListParagraph"/>
              <w:numPr>
                <w:ilvl w:val="0"/>
                <w:numId w:val="1"/>
              </w:numPr>
              <w:rPr>
                <w:rFonts w:ascii="Times New Roman" w:hAnsi="Times New Roman" w:cs="Times New Roman"/>
              </w:rPr>
            </w:pPr>
            <w:r w:rsidRPr="00B44119">
              <w:rPr>
                <w:rFonts w:ascii="Times New Roman" w:hAnsi="Times New Roman" w:cs="Times New Roman"/>
              </w:rPr>
              <w:t>Overall dose adjustments (%)</w:t>
            </w:r>
          </w:p>
        </w:tc>
        <w:tc>
          <w:tcPr>
            <w:tcW w:w="900" w:type="dxa"/>
          </w:tcPr>
          <w:p w14:paraId="0C124134"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23</w:t>
            </w:r>
          </w:p>
          <w:p w14:paraId="335C26E8"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19</w:t>
            </w:r>
          </w:p>
        </w:tc>
        <w:tc>
          <w:tcPr>
            <w:tcW w:w="810" w:type="dxa"/>
          </w:tcPr>
          <w:p w14:paraId="714D62E7"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52</w:t>
            </w:r>
          </w:p>
          <w:p w14:paraId="40D822D7"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36</w:t>
            </w:r>
          </w:p>
        </w:tc>
      </w:tr>
      <w:tr w:rsidR="00AC6AA9" w:rsidRPr="00B44119" w14:paraId="67FF4BA5" w14:textId="77777777" w:rsidTr="007E1C55">
        <w:tc>
          <w:tcPr>
            <w:tcW w:w="3955" w:type="dxa"/>
          </w:tcPr>
          <w:p w14:paraId="050DE724"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Urine OP documented in medical notes (%)</w:t>
            </w:r>
          </w:p>
        </w:tc>
        <w:tc>
          <w:tcPr>
            <w:tcW w:w="900" w:type="dxa"/>
          </w:tcPr>
          <w:p w14:paraId="0168FC84"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38</w:t>
            </w:r>
          </w:p>
        </w:tc>
        <w:tc>
          <w:tcPr>
            <w:tcW w:w="810" w:type="dxa"/>
          </w:tcPr>
          <w:p w14:paraId="33ABFC6A" w14:textId="77777777" w:rsidR="00AC6AA9" w:rsidRPr="00B44119" w:rsidRDefault="00AC6AA9" w:rsidP="007E1C55">
            <w:pPr>
              <w:rPr>
                <w:rFonts w:ascii="Times New Roman" w:hAnsi="Times New Roman" w:cs="Times New Roman"/>
              </w:rPr>
            </w:pPr>
            <w:r w:rsidRPr="00B44119">
              <w:rPr>
                <w:rFonts w:ascii="Times New Roman" w:hAnsi="Times New Roman" w:cs="Times New Roman"/>
              </w:rPr>
              <w:t>63</w:t>
            </w:r>
          </w:p>
        </w:tc>
      </w:tr>
    </w:tbl>
    <w:p w14:paraId="5143A8B6" w14:textId="3D536E64" w:rsidR="00AC6AA9" w:rsidRDefault="00AC6AA9" w:rsidP="00530B86">
      <w:pPr>
        <w:pStyle w:val="NoSpacing"/>
        <w:rPr>
          <w:rFonts w:ascii="Times New Roman" w:hAnsi="Times New Roman" w:cs="Times New Roman"/>
        </w:rPr>
      </w:pPr>
      <w:r>
        <w:rPr>
          <w:rFonts w:ascii="Times New Roman" w:hAnsi="Times New Roman" w:cs="Times New Roman"/>
        </w:rPr>
        <w:t xml:space="preserve">Documentation of AKI and clinical assessment of patients showed improvement after implementation of the care bundle. </w:t>
      </w:r>
      <w:r w:rsidR="001148B7">
        <w:rPr>
          <w:rFonts w:ascii="Times New Roman" w:hAnsi="Times New Roman" w:cs="Times New Roman"/>
        </w:rPr>
        <w:t>However,</w:t>
      </w:r>
      <w:r>
        <w:rPr>
          <w:rFonts w:ascii="Times New Roman" w:hAnsi="Times New Roman" w:cs="Times New Roman"/>
        </w:rPr>
        <w:t xml:space="preserve"> a third </w:t>
      </w:r>
      <w:bookmarkStart w:id="0" w:name="_GoBack"/>
      <w:bookmarkEnd w:id="0"/>
      <w:r w:rsidRPr="00B44119">
        <w:rPr>
          <w:rFonts w:ascii="Times New Roman" w:hAnsi="Times New Roman" w:cs="Times New Roman"/>
        </w:rPr>
        <w:t>of patients did not have their urine output document</w:t>
      </w:r>
      <w:r>
        <w:rPr>
          <w:rFonts w:ascii="Times New Roman" w:hAnsi="Times New Roman" w:cs="Times New Roman"/>
        </w:rPr>
        <w:t>ed</w:t>
      </w:r>
      <w:r w:rsidRPr="00B44119">
        <w:rPr>
          <w:rFonts w:ascii="Times New Roman" w:hAnsi="Times New Roman" w:cs="Times New Roman"/>
        </w:rPr>
        <w:t xml:space="preserve"> and only half had a medication review.</w:t>
      </w:r>
      <w:r>
        <w:rPr>
          <w:rFonts w:ascii="Times New Roman" w:hAnsi="Times New Roman" w:cs="Times New Roman"/>
        </w:rPr>
        <w:t xml:space="preserve"> </w:t>
      </w:r>
      <w:r w:rsidRPr="00B44119">
        <w:rPr>
          <w:rFonts w:ascii="Times New Roman" w:hAnsi="Times New Roman" w:cs="Times New Roman"/>
        </w:rPr>
        <w:t>Although</w:t>
      </w:r>
      <w:r w:rsidR="00361D16">
        <w:rPr>
          <w:rFonts w:ascii="Times New Roman" w:hAnsi="Times New Roman" w:cs="Times New Roman"/>
        </w:rPr>
        <w:t xml:space="preserve"> </w:t>
      </w:r>
      <w:r w:rsidRPr="00B44119">
        <w:rPr>
          <w:rFonts w:ascii="Times New Roman" w:hAnsi="Times New Roman" w:cs="Times New Roman"/>
        </w:rPr>
        <w:t>a small test population, such results were</w:t>
      </w:r>
      <w:r w:rsidR="00361D16">
        <w:rPr>
          <w:rFonts w:ascii="Times New Roman" w:hAnsi="Times New Roman" w:cs="Times New Roman"/>
        </w:rPr>
        <w:t xml:space="preserve"> </w:t>
      </w:r>
      <w:r w:rsidRPr="00B44119">
        <w:rPr>
          <w:rFonts w:ascii="Times New Roman" w:hAnsi="Times New Roman" w:cs="Times New Roman"/>
        </w:rPr>
        <w:t>achieved despite planning, engagement with</w:t>
      </w:r>
      <w:r>
        <w:rPr>
          <w:rFonts w:ascii="Times New Roman" w:hAnsi="Times New Roman" w:cs="Times New Roman"/>
        </w:rPr>
        <w:t xml:space="preserve"> </w:t>
      </w:r>
      <w:r w:rsidRPr="00B44119">
        <w:rPr>
          <w:rFonts w:ascii="Times New Roman" w:hAnsi="Times New Roman" w:cs="Times New Roman"/>
        </w:rPr>
        <w:t>medical and nursing teams</w:t>
      </w:r>
      <w:r>
        <w:rPr>
          <w:rFonts w:ascii="Times New Roman" w:hAnsi="Times New Roman" w:cs="Times New Roman"/>
        </w:rPr>
        <w:t xml:space="preserve"> </w:t>
      </w:r>
      <w:r w:rsidRPr="00B44119">
        <w:rPr>
          <w:rFonts w:ascii="Times New Roman" w:hAnsi="Times New Roman" w:cs="Times New Roman"/>
        </w:rPr>
        <w:t>a committed senior clinician working with junior medical staff and weekly teaching sessions.</w:t>
      </w:r>
    </w:p>
    <w:p w14:paraId="4AC6B0E8" w14:textId="437D82A8" w:rsidR="00361D16" w:rsidRDefault="00361D16" w:rsidP="00AC6AA9">
      <w:pPr>
        <w:spacing w:line="240" w:lineRule="auto"/>
        <w:jc w:val="both"/>
        <w:rPr>
          <w:rFonts w:ascii="Times New Roman" w:hAnsi="Times New Roman" w:cs="Times New Roman"/>
          <w:b/>
        </w:rPr>
      </w:pPr>
    </w:p>
    <w:p w14:paraId="0CD4B491" w14:textId="77777777" w:rsidR="00361D16" w:rsidRDefault="00361D16" w:rsidP="00361D16">
      <w:pPr>
        <w:pStyle w:val="NoSpacing"/>
        <w:rPr>
          <w:rFonts w:ascii="Times New Roman" w:hAnsi="Times New Roman" w:cs="Times New Roman"/>
          <w:b/>
        </w:rPr>
      </w:pPr>
      <w:r>
        <w:rPr>
          <w:rFonts w:ascii="Times New Roman" w:hAnsi="Times New Roman" w:cs="Times New Roman"/>
          <w:b/>
        </w:rPr>
        <w:t>Conclusion</w:t>
      </w:r>
    </w:p>
    <w:p w14:paraId="7B0D30FE" w14:textId="77777777" w:rsidR="00361D16" w:rsidRDefault="00361D16" w:rsidP="00361D16">
      <w:pPr>
        <w:pStyle w:val="NoSpacing"/>
        <w:rPr>
          <w:rFonts w:ascii="Times New Roman" w:hAnsi="Times New Roman" w:cs="Times New Roman"/>
        </w:rPr>
      </w:pPr>
    </w:p>
    <w:p w14:paraId="1237B031" w14:textId="5DE67B3F" w:rsidR="00361D16" w:rsidRPr="00FD6ADB" w:rsidRDefault="00361D16" w:rsidP="00361D16">
      <w:pPr>
        <w:pStyle w:val="NoSpacing"/>
        <w:rPr>
          <w:rFonts w:ascii="Times New Roman" w:hAnsi="Times New Roman" w:cs="Times New Roman"/>
          <w:b/>
        </w:rPr>
      </w:pPr>
      <w:r>
        <w:rPr>
          <w:rFonts w:ascii="Times New Roman" w:hAnsi="Times New Roman" w:cs="Times New Roman"/>
        </w:rPr>
        <w:t xml:space="preserve">Our QI-based intervention improved identification and management of AKI. </w:t>
      </w:r>
      <w:r w:rsidRPr="006206F1">
        <w:rPr>
          <w:rFonts w:ascii="Times New Roman" w:hAnsi="Times New Roman" w:cs="Times New Roman"/>
        </w:rPr>
        <w:t>However, results were not as optimum as hoped</w:t>
      </w:r>
      <w:r>
        <w:rPr>
          <w:rFonts w:ascii="Times New Roman" w:hAnsi="Times New Roman" w:cs="Times New Roman"/>
        </w:rPr>
        <w:t xml:space="preserve"> </w:t>
      </w:r>
      <w:r w:rsidR="001148B7">
        <w:rPr>
          <w:rFonts w:ascii="Times New Roman" w:hAnsi="Times New Roman" w:cs="Times New Roman"/>
        </w:rPr>
        <w:t>this lead</w:t>
      </w:r>
      <w:r>
        <w:rPr>
          <w:rFonts w:ascii="Times New Roman" w:hAnsi="Times New Roman" w:cs="Times New Roman"/>
        </w:rPr>
        <w:t xml:space="preserve"> us to question </w:t>
      </w:r>
      <w:r w:rsidRPr="006206F1">
        <w:rPr>
          <w:rFonts w:ascii="Times New Roman" w:hAnsi="Times New Roman" w:cs="Times New Roman"/>
        </w:rPr>
        <w:t>whether sticker-based interventions for complex case management are effective.  Human factors and workloads frequently lead to opportunities being missed.  Optimal clinical decision aids based on electronic EPR solutions may</w:t>
      </w:r>
      <w:r>
        <w:rPr>
          <w:rFonts w:ascii="Times New Roman" w:hAnsi="Times New Roman" w:cs="Times New Roman"/>
        </w:rPr>
        <w:t xml:space="preserve"> </w:t>
      </w:r>
      <w:r w:rsidRPr="006206F1">
        <w:rPr>
          <w:rFonts w:ascii="Times New Roman" w:hAnsi="Times New Roman" w:cs="Times New Roman"/>
        </w:rPr>
        <w:t>be the only way to ensure timely</w:t>
      </w:r>
      <w:r w:rsidRPr="00B44119">
        <w:t xml:space="preserve"> </w:t>
      </w:r>
      <w:r w:rsidRPr="006206F1">
        <w:rPr>
          <w:rFonts w:ascii="Times New Roman" w:hAnsi="Times New Roman" w:cs="Times New Roman"/>
        </w:rPr>
        <w:t>responses are taken in such situations, despite the associated cost (to be weighed against costs of adverse patient outcomes).</w:t>
      </w:r>
    </w:p>
    <w:p w14:paraId="7D6EFAAC" w14:textId="77777777" w:rsidR="00361D16" w:rsidRDefault="00361D16" w:rsidP="00361D16"/>
    <w:p w14:paraId="410A40B8" w14:textId="25CF0676" w:rsidR="00361D16" w:rsidRPr="00361D16" w:rsidRDefault="00361D16" w:rsidP="00AC6AA9">
      <w:pPr>
        <w:spacing w:line="240" w:lineRule="auto"/>
        <w:jc w:val="both"/>
        <w:rPr>
          <w:rFonts w:ascii="Times New Roman" w:hAnsi="Times New Roman" w:cs="Times New Roman"/>
        </w:rPr>
      </w:pPr>
    </w:p>
    <w:p w14:paraId="34C64A43" w14:textId="751C144C" w:rsidR="00AC6AA9" w:rsidRPr="00AC6AA9" w:rsidRDefault="00AC6AA9" w:rsidP="00AC6AA9">
      <w:pPr>
        <w:pStyle w:val="NoSpacing"/>
        <w:rPr>
          <w:rFonts w:ascii="Times New Roman" w:hAnsi="Times New Roman" w:cs="Times New Roman"/>
        </w:rPr>
      </w:pPr>
    </w:p>
    <w:p w14:paraId="64304218" w14:textId="77777777" w:rsidR="00AC6AA9" w:rsidRPr="00AC6AA9" w:rsidRDefault="00AC6AA9">
      <w:pPr>
        <w:rPr>
          <w:rFonts w:ascii="Times New Roman" w:hAnsi="Times New Roman" w:cs="Times New Roman"/>
        </w:rPr>
      </w:pPr>
    </w:p>
    <w:sectPr w:rsidR="00AC6AA9" w:rsidRPr="00AC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1089"/>
    <w:multiLevelType w:val="hybridMultilevel"/>
    <w:tmpl w:val="2F843078"/>
    <w:lvl w:ilvl="0" w:tplc="CC00C9D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A9"/>
    <w:rsid w:val="000770C1"/>
    <w:rsid w:val="001148B7"/>
    <w:rsid w:val="00361D16"/>
    <w:rsid w:val="00530B86"/>
    <w:rsid w:val="008A14B6"/>
    <w:rsid w:val="00AC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AA9"/>
    <w:pPr>
      <w:spacing w:after="0" w:line="240" w:lineRule="auto"/>
    </w:pPr>
  </w:style>
  <w:style w:type="table" w:styleId="TableGrid">
    <w:name w:val="Table Grid"/>
    <w:basedOn w:val="TableNormal"/>
    <w:uiPriority w:val="39"/>
    <w:rsid w:val="00AC6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AA9"/>
    <w:pPr>
      <w:spacing w:after="0" w:line="240" w:lineRule="auto"/>
    </w:pPr>
  </w:style>
  <w:style w:type="table" w:styleId="TableGrid">
    <w:name w:val="Table Grid"/>
    <w:basedOn w:val="TableNormal"/>
    <w:uiPriority w:val="39"/>
    <w:rsid w:val="00AC6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Jenkins</dc:creator>
  <cp:lastModifiedBy>Renal Resource room</cp:lastModifiedBy>
  <cp:revision>2</cp:revision>
  <dcterms:created xsi:type="dcterms:W3CDTF">2018-02-05T10:35:00Z</dcterms:created>
  <dcterms:modified xsi:type="dcterms:W3CDTF">2018-02-05T10:35:00Z</dcterms:modified>
</cp:coreProperties>
</file>