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9E" w:rsidRPr="00962CA1" w:rsidRDefault="00917A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Functional Hypoaldosteronism post Adrenalectomy: An under recognised phenomenon. </w:t>
      </w:r>
    </w:p>
    <w:p w:rsidR="00D7404A" w:rsidRDefault="00B0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hyperaldosteronism is a common cause of secondary hypertension. The PAPY study which looked at curable forms of primary hyperaldosteronism quoted a prevalence of aldosterone producing adenoma (APA) in a population of newly diagnosed hypertensive patients as 4.8%.</w:t>
      </w:r>
      <w:r w:rsidR="00D5656A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901ECE" w:rsidRPr="00962CA1">
        <w:rPr>
          <w:rFonts w:ascii="Times New Roman" w:hAnsi="Times New Roman" w:cs="Times New Roman"/>
        </w:rPr>
        <w:t>Primary hyperaldosteronism resulting from a functional adenoma may be treated surgically with a</w:t>
      </w:r>
      <w:r>
        <w:rPr>
          <w:rFonts w:ascii="Times New Roman" w:hAnsi="Times New Roman" w:cs="Times New Roman"/>
        </w:rPr>
        <w:t xml:space="preserve">n </w:t>
      </w:r>
      <w:r w:rsidR="00901ECE" w:rsidRPr="00962CA1">
        <w:rPr>
          <w:rFonts w:ascii="Times New Roman" w:hAnsi="Times New Roman" w:cs="Times New Roman"/>
        </w:rPr>
        <w:t xml:space="preserve">adrenalectomy. </w:t>
      </w:r>
    </w:p>
    <w:p w:rsidR="00917A5A" w:rsidRPr="00962CA1" w:rsidRDefault="0091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this surgery</w:t>
      </w:r>
      <w:r w:rsidR="00B0553B">
        <w:rPr>
          <w:rFonts w:ascii="Times New Roman" w:hAnsi="Times New Roman" w:cs="Times New Roman"/>
        </w:rPr>
        <w:t xml:space="preserve">, the remaining adrenal gland can be unresponsive to the lower levels of aldosterone (functional hypoaldosteronism). The sodium loss leads </w:t>
      </w:r>
      <w:r w:rsidR="009C0938">
        <w:rPr>
          <w:rFonts w:ascii="Times New Roman" w:hAnsi="Times New Roman" w:cs="Times New Roman"/>
        </w:rPr>
        <w:t>to hypovolaemia and retention of potassium. This results in</w:t>
      </w:r>
      <w:r>
        <w:rPr>
          <w:rFonts w:ascii="Times New Roman" w:hAnsi="Times New Roman" w:cs="Times New Roman"/>
        </w:rPr>
        <w:t xml:space="preserve"> </w:t>
      </w:r>
      <w:r w:rsidR="00964C5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deterioration in renal function, hypotension and hyperkalaemia</w:t>
      </w:r>
      <w:r w:rsidR="009C0938">
        <w:rPr>
          <w:rFonts w:ascii="Times New Roman" w:hAnsi="Times New Roman" w:cs="Times New Roman"/>
        </w:rPr>
        <w:t xml:space="preserve"> which may be severe, requiring</w:t>
      </w:r>
      <w:r w:rsidR="00B17274">
        <w:rPr>
          <w:rFonts w:ascii="Times New Roman" w:hAnsi="Times New Roman" w:cs="Times New Roman"/>
        </w:rPr>
        <w:t xml:space="preserve"> mineralocorticoid supplementation.</w:t>
      </w:r>
      <w:r w:rsidR="00B17274">
        <w:rPr>
          <w:rStyle w:val="FootnoteReference"/>
          <w:rFonts w:ascii="Times New Roman" w:hAnsi="Times New Roman" w:cs="Times New Roman"/>
        </w:rPr>
        <w:footnoteReference w:id="2"/>
      </w:r>
      <w:r w:rsidR="00B17274">
        <w:rPr>
          <w:rFonts w:ascii="Times New Roman" w:hAnsi="Times New Roman" w:cs="Times New Roman"/>
        </w:rPr>
        <w:t xml:space="preserve"> </w:t>
      </w:r>
    </w:p>
    <w:p w:rsidR="00D5656A" w:rsidRDefault="00964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past </w:t>
      </w:r>
      <w:r w:rsidR="00D5656A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years we have identified </w:t>
      </w:r>
      <w:r w:rsidR="0096677B">
        <w:rPr>
          <w:rFonts w:ascii="Times New Roman" w:hAnsi="Times New Roman" w:cs="Times New Roman"/>
        </w:rPr>
        <w:t>four</w:t>
      </w:r>
      <w:r w:rsidR="00901ECE" w:rsidRPr="00962CA1">
        <w:rPr>
          <w:rFonts w:ascii="Times New Roman" w:hAnsi="Times New Roman" w:cs="Times New Roman"/>
        </w:rPr>
        <w:t xml:space="preserve"> cases of functional hypoaldosteronism post adrenalectomy in patients</w:t>
      </w:r>
      <w:r w:rsidR="007D252C" w:rsidRPr="00962CA1">
        <w:rPr>
          <w:rFonts w:ascii="Times New Roman" w:hAnsi="Times New Roman" w:cs="Times New Roman"/>
        </w:rPr>
        <w:t xml:space="preserve"> referred to</w:t>
      </w:r>
      <w:r w:rsidR="009C0938">
        <w:rPr>
          <w:rFonts w:ascii="Times New Roman" w:hAnsi="Times New Roman" w:cs="Times New Roman"/>
        </w:rPr>
        <w:t xml:space="preserve"> a</w:t>
      </w:r>
      <w:r w:rsidR="007D252C" w:rsidRPr="00962CA1">
        <w:rPr>
          <w:rFonts w:ascii="Times New Roman" w:hAnsi="Times New Roman" w:cs="Times New Roman"/>
        </w:rPr>
        <w:t xml:space="preserve"> general nephrology clinic with post-operative kidney injury of unknown cause</w:t>
      </w:r>
      <w:r>
        <w:rPr>
          <w:rFonts w:ascii="Times New Roman" w:hAnsi="Times New Roman" w:cs="Times New Roman"/>
        </w:rPr>
        <w:t xml:space="preserve">. </w:t>
      </w:r>
      <w:r w:rsidR="007D252C" w:rsidRPr="00962CA1">
        <w:rPr>
          <w:rFonts w:ascii="Times New Roman" w:hAnsi="Times New Roman" w:cs="Times New Roman"/>
        </w:rPr>
        <w:t>Each case demonstrated</w:t>
      </w:r>
      <w:r w:rsidR="0096677B">
        <w:rPr>
          <w:rFonts w:ascii="Times New Roman" w:hAnsi="Times New Roman" w:cs="Times New Roman"/>
        </w:rPr>
        <w:t xml:space="preserve"> a</w:t>
      </w:r>
      <w:r w:rsidR="007D252C" w:rsidRPr="00962CA1">
        <w:rPr>
          <w:rFonts w:ascii="Times New Roman" w:hAnsi="Times New Roman" w:cs="Times New Roman"/>
        </w:rPr>
        <w:t xml:space="preserve"> </w:t>
      </w:r>
      <w:r w:rsidR="0096677B">
        <w:rPr>
          <w:rFonts w:ascii="Times New Roman" w:hAnsi="Times New Roman" w:cs="Times New Roman"/>
        </w:rPr>
        <w:t>drop in aldosterone levels</w:t>
      </w:r>
      <w:r>
        <w:rPr>
          <w:rFonts w:ascii="Times New Roman" w:hAnsi="Times New Roman" w:cs="Times New Roman"/>
        </w:rPr>
        <w:t xml:space="preserve"> </w:t>
      </w:r>
      <w:r w:rsidR="00C81E44">
        <w:rPr>
          <w:rFonts w:ascii="Times New Roman" w:hAnsi="Times New Roman" w:cs="Times New Roman"/>
        </w:rPr>
        <w:t>post-surgery</w:t>
      </w:r>
      <w:r w:rsidR="0096677B" w:rsidRPr="00962CA1">
        <w:rPr>
          <w:rFonts w:ascii="Times New Roman" w:hAnsi="Times New Roman" w:cs="Times New Roman"/>
        </w:rPr>
        <w:t xml:space="preserve"> </w:t>
      </w:r>
      <w:r w:rsidR="0096677B">
        <w:rPr>
          <w:rFonts w:ascii="Times New Roman" w:hAnsi="Times New Roman" w:cs="Times New Roman"/>
        </w:rPr>
        <w:t xml:space="preserve">with a </w:t>
      </w:r>
      <w:r>
        <w:rPr>
          <w:rFonts w:ascii="Times New Roman" w:hAnsi="Times New Roman" w:cs="Times New Roman"/>
        </w:rPr>
        <w:t xml:space="preserve">concurrent </w:t>
      </w:r>
      <w:r w:rsidR="0096677B">
        <w:rPr>
          <w:rFonts w:ascii="Times New Roman" w:hAnsi="Times New Roman" w:cs="Times New Roman"/>
        </w:rPr>
        <w:t>deterioration in renal function and increase in potassium levels.</w:t>
      </w:r>
      <w:r w:rsidR="00472D0D" w:rsidRPr="00962CA1">
        <w:rPr>
          <w:rFonts w:ascii="Times New Roman" w:hAnsi="Times New Roman" w:cs="Times New Roman"/>
        </w:rPr>
        <w:t xml:space="preserve"> There was a significant increase in creatinine </w:t>
      </w:r>
      <w:r>
        <w:rPr>
          <w:rFonts w:ascii="Times New Roman" w:hAnsi="Times New Roman" w:cs="Times New Roman"/>
        </w:rPr>
        <w:t xml:space="preserve">resulting in </w:t>
      </w:r>
      <w:r w:rsidR="00472D0D" w:rsidRPr="00962CA1">
        <w:rPr>
          <w:rFonts w:ascii="Times New Roman" w:hAnsi="Times New Roman" w:cs="Times New Roman"/>
        </w:rPr>
        <w:t>acute kidney injury</w:t>
      </w:r>
      <w:bookmarkStart w:id="0" w:name="_GoBack"/>
      <w:bookmarkEnd w:id="0"/>
      <w:r w:rsidR="00472D0D" w:rsidRPr="00962CA1">
        <w:rPr>
          <w:rFonts w:ascii="Times New Roman" w:hAnsi="Times New Roman" w:cs="Times New Roman"/>
        </w:rPr>
        <w:t xml:space="preserve"> in each case</w:t>
      </w:r>
      <w:r>
        <w:rPr>
          <w:rFonts w:ascii="Times New Roman" w:hAnsi="Times New Roman" w:cs="Times New Roman"/>
        </w:rPr>
        <w:t xml:space="preserve"> (stage 1 to 3)</w:t>
      </w:r>
      <w:r w:rsidR="00472D0D" w:rsidRPr="00962CA1">
        <w:rPr>
          <w:rFonts w:ascii="Times New Roman" w:hAnsi="Times New Roman" w:cs="Times New Roman"/>
        </w:rPr>
        <w:t xml:space="preserve">. </w:t>
      </w:r>
      <w:r w:rsidR="009C0938">
        <w:rPr>
          <w:rFonts w:ascii="Times New Roman" w:hAnsi="Times New Roman" w:cs="Times New Roman"/>
        </w:rPr>
        <w:t xml:space="preserve">Review of the clinical notes demonstrated postural symptoms, fatigue and dehydration. </w:t>
      </w:r>
      <w:r w:rsidR="00D5656A">
        <w:rPr>
          <w:rFonts w:ascii="Times New Roman" w:hAnsi="Times New Roman" w:cs="Times New Roman"/>
        </w:rPr>
        <w:t>All of the patients suffered permanent renal injury and none had a return to baseline renal function.</w:t>
      </w:r>
      <w:r w:rsidR="00966D44">
        <w:rPr>
          <w:rFonts w:ascii="Times New Roman" w:hAnsi="Times New Roman" w:cs="Times New Roman"/>
        </w:rPr>
        <w:t xml:space="preserve"> </w:t>
      </w:r>
    </w:p>
    <w:p w:rsidR="00811C20" w:rsidRPr="00811C20" w:rsidRDefault="00472D0D" w:rsidP="003443CC">
      <w:pPr>
        <w:rPr>
          <w:rFonts w:ascii="Times New Roman" w:hAnsi="Times New Roman" w:cs="Times New Roman"/>
        </w:rPr>
      </w:pPr>
      <w:r w:rsidRPr="00962CA1">
        <w:rPr>
          <w:rFonts w:ascii="Times New Roman" w:hAnsi="Times New Roman" w:cs="Times New Roman"/>
        </w:rPr>
        <w:t>There are currently no guidelines relating to the post-operative surveillance of such patients and practice regarding prescribing mineralocorticoid replacement varies</w:t>
      </w:r>
      <w:r w:rsidR="003443CC">
        <w:rPr>
          <w:rFonts w:ascii="Times New Roman" w:hAnsi="Times New Roman" w:cs="Times New Roman"/>
        </w:rPr>
        <w:t>. Current literature suggest</w:t>
      </w:r>
      <w:r w:rsidR="00FB3B7F">
        <w:rPr>
          <w:rFonts w:ascii="Times New Roman" w:hAnsi="Times New Roman" w:cs="Times New Roman"/>
        </w:rPr>
        <w:t>s</w:t>
      </w:r>
      <w:r w:rsidR="003443CC">
        <w:rPr>
          <w:rFonts w:ascii="Times New Roman" w:hAnsi="Times New Roman" w:cs="Times New Roman"/>
        </w:rPr>
        <w:t xml:space="preserve"> both that </w:t>
      </w:r>
      <w:r w:rsidR="00FB3B7F">
        <w:rPr>
          <w:rFonts w:ascii="Times New Roman" w:hAnsi="Times New Roman" w:cs="Times New Roman"/>
        </w:rPr>
        <w:t>post-operative</w:t>
      </w:r>
      <w:r w:rsidR="003443CC">
        <w:rPr>
          <w:rFonts w:ascii="Times New Roman" w:hAnsi="Times New Roman" w:cs="Times New Roman"/>
        </w:rPr>
        <w:t xml:space="preserve"> hyperkalaemia due to this phenomenon is not rare and that there are clear</w:t>
      </w:r>
      <w:r w:rsidR="00FB3B7F">
        <w:rPr>
          <w:rFonts w:ascii="Times New Roman" w:hAnsi="Times New Roman" w:cs="Times New Roman"/>
        </w:rPr>
        <w:t xml:space="preserve"> pre-operative</w:t>
      </w:r>
      <w:r w:rsidR="00811C20">
        <w:rPr>
          <w:rFonts w:ascii="Times New Roman" w:hAnsi="Times New Roman" w:cs="Times New Roman"/>
        </w:rPr>
        <w:t xml:space="preserve"> risk factors such </w:t>
      </w:r>
      <w:r w:rsidR="00811C20" w:rsidRPr="00811C20">
        <w:rPr>
          <w:rFonts w:ascii="Times New Roman" w:hAnsi="Times New Roman" w:cs="Times New Roman"/>
        </w:rPr>
        <w:t xml:space="preserve">as </w:t>
      </w:r>
      <w:r w:rsidR="003443CC">
        <w:rPr>
          <w:rFonts w:ascii="Times New Roman" w:hAnsi="Times New Roman" w:cs="Times New Roman"/>
        </w:rPr>
        <w:t>o</w:t>
      </w:r>
      <w:r w:rsidR="00811C20" w:rsidRPr="00811C20">
        <w:rPr>
          <w:rFonts w:ascii="Times New Roman" w:hAnsi="Times New Roman" w:cs="Times New Roman"/>
          <w:color w:val="000000"/>
        </w:rPr>
        <w:t xml:space="preserve">lder age, longer duration of hypertension, impaired </w:t>
      </w:r>
      <w:r w:rsidR="00811C20">
        <w:rPr>
          <w:rFonts w:ascii="Times New Roman" w:hAnsi="Times New Roman" w:cs="Times New Roman"/>
          <w:color w:val="000000"/>
        </w:rPr>
        <w:t>renal function</w:t>
      </w:r>
      <w:r w:rsidR="00811C20" w:rsidRPr="00811C20">
        <w:rPr>
          <w:rFonts w:ascii="Times New Roman" w:hAnsi="Times New Roman" w:cs="Times New Roman"/>
          <w:color w:val="000000"/>
        </w:rPr>
        <w:t xml:space="preserve"> and higher levels </w:t>
      </w:r>
      <w:r w:rsidR="00FB3B7F">
        <w:rPr>
          <w:rFonts w:ascii="Times New Roman" w:hAnsi="Times New Roman" w:cs="Times New Roman"/>
          <w:color w:val="000000"/>
        </w:rPr>
        <w:t xml:space="preserve">of </w:t>
      </w:r>
      <w:r w:rsidR="00811C20" w:rsidRPr="00811C20">
        <w:rPr>
          <w:rFonts w:ascii="Times New Roman" w:hAnsi="Times New Roman" w:cs="Times New Roman"/>
          <w:color w:val="000000"/>
        </w:rPr>
        <w:t>aldosterone</w:t>
      </w:r>
      <w:r w:rsidR="00811C20">
        <w:rPr>
          <w:rFonts w:ascii="Times New Roman" w:hAnsi="Times New Roman" w:cs="Times New Roman"/>
          <w:color w:val="000000"/>
        </w:rPr>
        <w:t>.</w:t>
      </w:r>
      <w:r w:rsidR="00811C20">
        <w:rPr>
          <w:rStyle w:val="FootnoteReference"/>
          <w:rFonts w:ascii="Times New Roman" w:hAnsi="Times New Roman" w:cs="Times New Roman"/>
          <w:color w:val="000000"/>
        </w:rPr>
        <w:footnoteReference w:id="3"/>
      </w:r>
      <w:r w:rsidR="004F67AF">
        <w:rPr>
          <w:rStyle w:val="FootnoteReference"/>
          <w:rFonts w:ascii="Times New Roman" w:hAnsi="Times New Roman" w:cs="Times New Roman"/>
        </w:rPr>
        <w:t>,</w:t>
      </w:r>
      <w:r w:rsidR="00E976F7">
        <w:rPr>
          <w:rStyle w:val="FootnoteReference"/>
          <w:rFonts w:ascii="Times New Roman" w:hAnsi="Times New Roman" w:cs="Times New Roman"/>
        </w:rPr>
        <w:footnoteReference w:id="4"/>
      </w:r>
    </w:p>
    <w:p w:rsidR="0096677B" w:rsidRPr="00962CA1" w:rsidRDefault="00966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propose that functional hypoaldosteronism post unilateral adrenalectomy is an under recognised </w:t>
      </w:r>
      <w:r w:rsidR="009C0938">
        <w:rPr>
          <w:rFonts w:ascii="Times New Roman" w:hAnsi="Times New Roman" w:cs="Times New Roman"/>
        </w:rPr>
        <w:t>phenomenon</w:t>
      </w:r>
      <w:r>
        <w:rPr>
          <w:rFonts w:ascii="Times New Roman" w:hAnsi="Times New Roman" w:cs="Times New Roman"/>
        </w:rPr>
        <w:t xml:space="preserve"> and as such demands further </w:t>
      </w:r>
      <w:r w:rsidR="00964C54">
        <w:rPr>
          <w:rFonts w:ascii="Times New Roman" w:hAnsi="Times New Roman" w:cs="Times New Roman"/>
        </w:rPr>
        <w:t xml:space="preserve">investigation </w:t>
      </w:r>
      <w:r>
        <w:rPr>
          <w:rFonts w:ascii="Times New Roman" w:hAnsi="Times New Roman" w:cs="Times New Roman"/>
        </w:rPr>
        <w:t xml:space="preserve">to assess occurrence </w:t>
      </w:r>
      <w:r w:rsidR="00FB3B7F">
        <w:rPr>
          <w:rFonts w:ascii="Times New Roman" w:hAnsi="Times New Roman" w:cs="Times New Roman"/>
        </w:rPr>
        <w:t xml:space="preserve">and </w:t>
      </w:r>
      <w:r w:rsidR="000D112F">
        <w:rPr>
          <w:rFonts w:ascii="Times New Roman" w:hAnsi="Times New Roman" w:cs="Times New Roman"/>
        </w:rPr>
        <w:t>at-risk</w:t>
      </w:r>
      <w:r>
        <w:rPr>
          <w:rFonts w:ascii="Times New Roman" w:hAnsi="Times New Roman" w:cs="Times New Roman"/>
        </w:rPr>
        <w:t xml:space="preserve"> groups. We aim to </w:t>
      </w:r>
      <w:r w:rsidR="00811C20">
        <w:rPr>
          <w:rFonts w:ascii="Times New Roman" w:hAnsi="Times New Roman" w:cs="Times New Roman"/>
        </w:rPr>
        <w:t xml:space="preserve">promote recognition </w:t>
      </w:r>
      <w:r w:rsidR="00E2083C">
        <w:rPr>
          <w:rFonts w:ascii="Times New Roman" w:hAnsi="Times New Roman" w:cs="Times New Roman"/>
        </w:rPr>
        <w:t xml:space="preserve">amongst the nephrology community </w:t>
      </w:r>
      <w:r w:rsidR="00811C2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prompt mineralocorti</w:t>
      </w:r>
      <w:r w:rsidR="003443CC">
        <w:rPr>
          <w:rFonts w:ascii="Times New Roman" w:hAnsi="Times New Roman" w:cs="Times New Roman"/>
        </w:rPr>
        <w:t>coid</w:t>
      </w:r>
      <w:r>
        <w:rPr>
          <w:rFonts w:ascii="Times New Roman" w:hAnsi="Times New Roman" w:cs="Times New Roman"/>
        </w:rPr>
        <w:t xml:space="preserve"> therapy to those exhibiting functional hypoaldosteronism to minimise the risk of hyperkalaemia and permanent loss of renal function. </w:t>
      </w:r>
    </w:p>
    <w:p w:rsidR="00D7404A" w:rsidRDefault="00D7404A"/>
    <w:sectPr w:rsidR="00D7404A" w:rsidSect="00962CA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43" w:rsidRDefault="00F95D43" w:rsidP="00472D0D">
      <w:pPr>
        <w:spacing w:after="0" w:line="240" w:lineRule="auto"/>
      </w:pPr>
      <w:r>
        <w:separator/>
      </w:r>
    </w:p>
  </w:endnote>
  <w:endnote w:type="continuationSeparator" w:id="0">
    <w:p w:rsidR="00F95D43" w:rsidRDefault="00F95D43" w:rsidP="0047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43" w:rsidRDefault="00F95D43" w:rsidP="00472D0D">
      <w:pPr>
        <w:spacing w:after="0" w:line="240" w:lineRule="auto"/>
      </w:pPr>
      <w:r>
        <w:separator/>
      </w:r>
    </w:p>
  </w:footnote>
  <w:footnote w:type="continuationSeparator" w:id="0">
    <w:p w:rsidR="00F95D43" w:rsidRDefault="00F95D43" w:rsidP="00472D0D">
      <w:pPr>
        <w:spacing w:after="0" w:line="240" w:lineRule="auto"/>
      </w:pPr>
      <w:r>
        <w:continuationSeparator/>
      </w:r>
    </w:p>
  </w:footnote>
  <w:footnote w:id="1">
    <w:p w:rsidR="00D5656A" w:rsidRDefault="00D5656A" w:rsidP="00D565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656A">
        <w:rPr>
          <w:rFonts w:ascii="Times New Roman" w:hAnsi="Times New Roman" w:cs="Times New Roman"/>
        </w:rPr>
        <w:t>Journal of the American College of Cardiology 2006 Dec; 48 (11): 2293-2300. A Prospective Study of the Prevalence of Primary Aldosteronism in 1,125 Hypertensive Patients. Gian Paolo Rossi et al.</w:t>
      </w:r>
    </w:p>
    <w:p w:rsidR="00D5656A" w:rsidRDefault="00D5656A" w:rsidP="00D5656A">
      <w:pPr>
        <w:pStyle w:val="FootnoteText"/>
      </w:pPr>
    </w:p>
  </w:footnote>
  <w:footnote w:id="2">
    <w:p w:rsidR="00B17274" w:rsidRPr="00E976F7" w:rsidRDefault="00B17274" w:rsidP="00B17274">
      <w:pPr>
        <w:spacing w:line="238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E976F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976F7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tooltip="Surgery.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Surgery.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2018 Jan;163(1):183-190. Contralateral suppression of aldosterone at adrenal venous sampling predicts </w:t>
      </w:r>
      <w:proofErr w:type="spellStart"/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hyperkalemia</w:t>
      </w:r>
      <w:proofErr w:type="spellEnd"/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following </w:t>
      </w:r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adrenalectomy</w:t>
      </w:r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for primary aldosteronism. </w:t>
      </w:r>
      <w:hyperlink r:id="rId2" w:history="1"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Shariq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 OA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" w:history="1"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Bancos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 I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4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Cronin PA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5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Farley DR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6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Richards ML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Thompson GB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Young WF Jr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McKenzie TJ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3">
    <w:p w:rsidR="00811C20" w:rsidRPr="00E976F7" w:rsidRDefault="00811C20" w:rsidP="003443CC">
      <w:pPr>
        <w:spacing w:line="238" w:lineRule="atLeast"/>
        <w:rPr>
          <w:rFonts w:ascii="Times New Roman" w:hAnsi="Times New Roman" w:cs="Times New Roman"/>
          <w:sz w:val="20"/>
          <w:szCs w:val="20"/>
        </w:rPr>
      </w:pPr>
      <w:r w:rsidRPr="00E976F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976F7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tooltip="BMC endocrine disorders.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BMC </w:t>
        </w:r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Endocr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 </w:t>
        </w:r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Disord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.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2016 Jul 27;16(1):43. Severe </w:t>
      </w:r>
      <w:proofErr w:type="spellStart"/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hyperkalemia</w:t>
      </w:r>
      <w:proofErr w:type="spellEnd"/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following </w:t>
      </w:r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adrenalectomy</w:t>
      </w:r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for </w:t>
      </w:r>
      <w:proofErr w:type="spellStart"/>
      <w:r w:rsidRPr="00E976F7">
        <w:rPr>
          <w:rFonts w:ascii="Times New Roman" w:hAnsi="Times New Roman" w:cs="Times New Roman"/>
          <w:color w:val="000000"/>
          <w:sz w:val="20"/>
          <w:szCs w:val="20"/>
        </w:rPr>
        <w:t>aldosteronoma</w:t>
      </w:r>
      <w:proofErr w:type="spellEnd"/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: prediction, pathogenesis and approach to clinical management- a case series. </w:t>
      </w:r>
      <w:hyperlink r:id="rId11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Tahir A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2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McLaughlin K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3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Kline G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4">
    <w:p w:rsidR="00E976F7" w:rsidRPr="00E976F7" w:rsidRDefault="00E976F7" w:rsidP="00E976F7">
      <w:pPr>
        <w:spacing w:line="238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E976F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976F7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tooltip="Clinica chimica acta; international journal of clinical chemistry." w:history="1"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Clin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 </w:t>
        </w:r>
        <w:proofErr w:type="spellStart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Chim</w:t>
        </w:r>
        <w:proofErr w:type="spellEnd"/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 xml:space="preserve"> Acta.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2013 Sep 23;424:114-8 Incidence and factors of post-</w:t>
      </w:r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adrenalectomy</w:t>
      </w:r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6F7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hyperkalemia</w:t>
      </w:r>
      <w:proofErr w:type="spellEnd"/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 in patients with aldosterone producing adenoma. </w:t>
      </w:r>
      <w:hyperlink r:id="rId15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Chiang WF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6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Cheng CJ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7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Wu ST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8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Sun GH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9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Lin MY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20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Sung CC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21" w:history="1">
        <w:r w:rsidRPr="00E976F7">
          <w:rPr>
            <w:rStyle w:val="Hyperlink"/>
            <w:rFonts w:ascii="Times New Roman" w:hAnsi="Times New Roman" w:cs="Times New Roman"/>
            <w:color w:val="333333"/>
            <w:sz w:val="20"/>
            <w:szCs w:val="20"/>
            <w:u w:val="none"/>
          </w:rPr>
          <w:t>Lin SH</w:t>
        </w:r>
      </w:hyperlink>
      <w:r w:rsidRPr="00E976F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76F7" w:rsidRDefault="00E976F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4A"/>
    <w:rsid w:val="00001761"/>
    <w:rsid w:val="000D112F"/>
    <w:rsid w:val="000E48A7"/>
    <w:rsid w:val="002B430B"/>
    <w:rsid w:val="002C3ED3"/>
    <w:rsid w:val="002C787C"/>
    <w:rsid w:val="002D61D1"/>
    <w:rsid w:val="0030269F"/>
    <w:rsid w:val="00314E9F"/>
    <w:rsid w:val="003443CC"/>
    <w:rsid w:val="00375D22"/>
    <w:rsid w:val="00472D0D"/>
    <w:rsid w:val="004F67AF"/>
    <w:rsid w:val="00576D8F"/>
    <w:rsid w:val="005E7420"/>
    <w:rsid w:val="00667272"/>
    <w:rsid w:val="006A3507"/>
    <w:rsid w:val="0070734D"/>
    <w:rsid w:val="007C7F03"/>
    <w:rsid w:val="007D252C"/>
    <w:rsid w:val="00811C20"/>
    <w:rsid w:val="00846E82"/>
    <w:rsid w:val="008D27B1"/>
    <w:rsid w:val="00901ECE"/>
    <w:rsid w:val="00917A5A"/>
    <w:rsid w:val="00962CA1"/>
    <w:rsid w:val="00964C54"/>
    <w:rsid w:val="0096677B"/>
    <w:rsid w:val="00966D44"/>
    <w:rsid w:val="009C0938"/>
    <w:rsid w:val="009C12D8"/>
    <w:rsid w:val="00A34E4E"/>
    <w:rsid w:val="00A9573E"/>
    <w:rsid w:val="00B0553B"/>
    <w:rsid w:val="00B17274"/>
    <w:rsid w:val="00C0557F"/>
    <w:rsid w:val="00C407FA"/>
    <w:rsid w:val="00C542A3"/>
    <w:rsid w:val="00C81E44"/>
    <w:rsid w:val="00C859FC"/>
    <w:rsid w:val="00CF72F2"/>
    <w:rsid w:val="00D5656A"/>
    <w:rsid w:val="00D7404A"/>
    <w:rsid w:val="00D821D3"/>
    <w:rsid w:val="00DA2125"/>
    <w:rsid w:val="00E0554E"/>
    <w:rsid w:val="00E2083C"/>
    <w:rsid w:val="00E302F7"/>
    <w:rsid w:val="00E976F7"/>
    <w:rsid w:val="00F52A27"/>
    <w:rsid w:val="00F95D43"/>
    <w:rsid w:val="00FB3B7F"/>
    <w:rsid w:val="00FB66CB"/>
    <w:rsid w:val="00FB786B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494C"/>
  <w15:docId w15:val="{FFB4F184-C337-4786-86D5-3CADA54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72D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D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D0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2D0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2D0D"/>
    <w:rPr>
      <w:color w:val="0000FF"/>
      <w:u w:val="single"/>
    </w:rPr>
  </w:style>
  <w:style w:type="character" w:customStyle="1" w:styleId="highlight">
    <w:name w:val="highlight"/>
    <w:basedOn w:val="DefaultParagraphFont"/>
    <w:rsid w:val="00472D0D"/>
  </w:style>
  <w:style w:type="character" w:styleId="CommentReference">
    <w:name w:val="annotation reference"/>
    <w:basedOn w:val="DefaultParagraphFont"/>
    <w:uiPriority w:val="99"/>
    <w:semiHidden/>
    <w:unhideWhenUsed/>
    <w:rsid w:val="00375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088">
          <w:marLeft w:val="0"/>
          <w:marRight w:val="0"/>
          <w:marTop w:val="98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Young%20WF%20Jr%5BAuthor%5D&amp;cauthor=true&amp;cauthor_uid=29129366" TargetMode="External"/><Relationship Id="rId13" Type="http://schemas.openxmlformats.org/officeDocument/2006/relationships/hyperlink" Target="https://www.ncbi.nlm.nih.gov/pubmed/?term=Kline%20G%5BAuthor%5D&amp;cauthor=true&amp;cauthor_uid=27460219" TargetMode="External"/><Relationship Id="rId18" Type="http://schemas.openxmlformats.org/officeDocument/2006/relationships/hyperlink" Target="https://www.ncbi.nlm.nih.gov/pubmed/?term=Sun%20GH%5BAuthor%5D&amp;cauthor=true&amp;cauthor_uid=23727469" TargetMode="External"/><Relationship Id="rId3" Type="http://schemas.openxmlformats.org/officeDocument/2006/relationships/hyperlink" Target="https://www.ncbi.nlm.nih.gov/pubmed/?term=Bancos%20I%5BAuthor%5D&amp;cauthor=true&amp;cauthor_uid=29129366" TargetMode="External"/><Relationship Id="rId21" Type="http://schemas.openxmlformats.org/officeDocument/2006/relationships/hyperlink" Target="https://www.ncbi.nlm.nih.gov/pubmed/?term=Lin%20SH%5BAuthor%5D&amp;cauthor=true&amp;cauthor_uid=23727469" TargetMode="External"/><Relationship Id="rId7" Type="http://schemas.openxmlformats.org/officeDocument/2006/relationships/hyperlink" Target="https://www.ncbi.nlm.nih.gov/pubmed/?term=Thompson%20GB%5BAuthor%5D&amp;cauthor=true&amp;cauthor_uid=29129366" TargetMode="External"/><Relationship Id="rId12" Type="http://schemas.openxmlformats.org/officeDocument/2006/relationships/hyperlink" Target="https://www.ncbi.nlm.nih.gov/pubmed/?term=McLaughlin%20K%5BAuthor%5D&amp;cauthor=true&amp;cauthor_uid=27460219" TargetMode="External"/><Relationship Id="rId17" Type="http://schemas.openxmlformats.org/officeDocument/2006/relationships/hyperlink" Target="https://www.ncbi.nlm.nih.gov/pubmed/?term=Wu%20ST%5BAuthor%5D&amp;cauthor=true&amp;cauthor_uid=23727469" TargetMode="External"/><Relationship Id="rId2" Type="http://schemas.openxmlformats.org/officeDocument/2006/relationships/hyperlink" Target="https://www.ncbi.nlm.nih.gov/pubmed/?term=Shariq%20OA%5BAuthor%5D&amp;cauthor=true&amp;cauthor_uid=29129366" TargetMode="External"/><Relationship Id="rId16" Type="http://schemas.openxmlformats.org/officeDocument/2006/relationships/hyperlink" Target="https://www.ncbi.nlm.nih.gov/pubmed/?term=Cheng%20CJ%5BAuthor%5D&amp;cauthor=true&amp;cauthor_uid=23727469" TargetMode="External"/><Relationship Id="rId20" Type="http://schemas.openxmlformats.org/officeDocument/2006/relationships/hyperlink" Target="https://www.ncbi.nlm.nih.gov/pubmed/?term=Sung%20CC%5BAuthor%5D&amp;cauthor=true&amp;cauthor_uid=23727469" TargetMode="External"/><Relationship Id="rId1" Type="http://schemas.openxmlformats.org/officeDocument/2006/relationships/hyperlink" Target="https://www.ncbi.nlm.nih.gov/pubmed/29129366" TargetMode="External"/><Relationship Id="rId6" Type="http://schemas.openxmlformats.org/officeDocument/2006/relationships/hyperlink" Target="https://www.ncbi.nlm.nih.gov/pubmed/?term=Richards%20ML%5BAuthor%5D&amp;cauthor=true&amp;cauthor_uid=29129366" TargetMode="External"/><Relationship Id="rId11" Type="http://schemas.openxmlformats.org/officeDocument/2006/relationships/hyperlink" Target="https://www.ncbi.nlm.nih.gov/pubmed/?term=Tahir%20A%5BAuthor%5D&amp;cauthor=true&amp;cauthor_uid=27460219" TargetMode="External"/><Relationship Id="rId5" Type="http://schemas.openxmlformats.org/officeDocument/2006/relationships/hyperlink" Target="https://www.ncbi.nlm.nih.gov/pubmed/?term=Farley%20DR%5BAuthor%5D&amp;cauthor=true&amp;cauthor_uid=29129366" TargetMode="External"/><Relationship Id="rId15" Type="http://schemas.openxmlformats.org/officeDocument/2006/relationships/hyperlink" Target="https://www.ncbi.nlm.nih.gov/pubmed/?term=Chiang%20WF%5BAuthor%5D&amp;cauthor=true&amp;cauthor_uid=23727469" TargetMode="External"/><Relationship Id="rId10" Type="http://schemas.openxmlformats.org/officeDocument/2006/relationships/hyperlink" Target="https://www.ncbi.nlm.nih.gov/pubmed/27460219" TargetMode="External"/><Relationship Id="rId19" Type="http://schemas.openxmlformats.org/officeDocument/2006/relationships/hyperlink" Target="https://www.ncbi.nlm.nih.gov/pubmed/?term=Lin%20MY%5BAuthor%5D&amp;cauthor=true&amp;cauthor_uid=23727469" TargetMode="External"/><Relationship Id="rId4" Type="http://schemas.openxmlformats.org/officeDocument/2006/relationships/hyperlink" Target="https://www.ncbi.nlm.nih.gov/pubmed/?term=Cronin%20PA%5BAuthor%5D&amp;cauthor=true&amp;cauthor_uid=29129366" TargetMode="External"/><Relationship Id="rId9" Type="http://schemas.openxmlformats.org/officeDocument/2006/relationships/hyperlink" Target="https://www.ncbi.nlm.nih.gov/pubmed/?term=McKenzie%20TJ%5BAuthor%5D&amp;cauthor=true&amp;cauthor_uid=29129366" TargetMode="External"/><Relationship Id="rId14" Type="http://schemas.openxmlformats.org/officeDocument/2006/relationships/hyperlink" Target="https://www.ncbi.nlm.nih.gov/pubmed/23727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9294-F565-4AE8-AB31-5A976FEB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Kathryn</dc:creator>
  <cp:lastModifiedBy>Kathryn Griffiths</cp:lastModifiedBy>
  <cp:revision>3</cp:revision>
  <dcterms:created xsi:type="dcterms:W3CDTF">2018-02-02T15:07:00Z</dcterms:created>
  <dcterms:modified xsi:type="dcterms:W3CDTF">2018-02-02T15:09:00Z</dcterms:modified>
</cp:coreProperties>
</file>