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F17B" w14:textId="3DC4286B" w:rsidR="00B247C5" w:rsidRPr="00E931FB" w:rsidRDefault="004971EC" w:rsidP="00E93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93583364"/>
      <w:r w:rsidRPr="00E931FB">
        <w:rPr>
          <w:rFonts w:ascii="Times New Roman" w:hAnsi="Times New Roman" w:cs="Times New Roman"/>
          <w:b/>
          <w:sz w:val="24"/>
          <w:szCs w:val="24"/>
        </w:rPr>
        <w:t xml:space="preserve">Association of Non-alcoholic fatty liver disease with renal progression in </w:t>
      </w:r>
    </w:p>
    <w:p w14:paraId="0644E76F" w14:textId="075CBB8C" w:rsidR="00B247C5" w:rsidRPr="00E931FB" w:rsidRDefault="004971EC" w:rsidP="00E93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1FB">
        <w:rPr>
          <w:rFonts w:ascii="Times New Roman" w:hAnsi="Times New Roman" w:cs="Times New Roman"/>
          <w:b/>
          <w:sz w:val="24"/>
          <w:szCs w:val="24"/>
        </w:rPr>
        <w:t>advanced diabetic nephropathy</w:t>
      </w:r>
      <w:bookmarkStart w:id="1" w:name="_Hlk493583328"/>
      <w:bookmarkEnd w:id="0"/>
    </w:p>
    <w:p w14:paraId="7149A5BB" w14:textId="77777777" w:rsidR="00E931FB" w:rsidRDefault="00E931FB" w:rsidP="00E931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589C5D" w14:textId="58A5F234" w:rsidR="005B0080" w:rsidRPr="00E931FB" w:rsidRDefault="00E1430D" w:rsidP="00E93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1FB">
        <w:rPr>
          <w:rFonts w:ascii="Times New Roman" w:hAnsi="Times New Roman" w:cs="Times New Roman"/>
          <w:b/>
        </w:rPr>
        <w:t>Introduction:</w:t>
      </w:r>
      <w:r w:rsidR="00BB57EA" w:rsidRPr="00E931FB">
        <w:rPr>
          <w:rFonts w:ascii="Times New Roman" w:hAnsi="Times New Roman" w:cs="Times New Roman"/>
        </w:rPr>
        <w:t xml:space="preserve"> </w:t>
      </w:r>
      <w:r w:rsidRPr="00E931FB">
        <w:rPr>
          <w:rFonts w:ascii="Times New Roman" w:hAnsi="Times New Roman" w:cs="Times New Roman"/>
        </w:rPr>
        <w:t>Non-Alcoholic Fatty liver disease(NAFLD)</w:t>
      </w:r>
      <w:r w:rsidR="001F3609" w:rsidRPr="00E931FB">
        <w:rPr>
          <w:rFonts w:ascii="Times New Roman" w:hAnsi="Times New Roman" w:cs="Times New Roman"/>
        </w:rPr>
        <w:t xml:space="preserve"> has been shown to be a risk factor for </w:t>
      </w:r>
      <w:r w:rsidR="00841082" w:rsidRPr="00E931FB">
        <w:rPr>
          <w:rFonts w:ascii="Times New Roman" w:hAnsi="Times New Roman" w:cs="Times New Roman"/>
        </w:rPr>
        <w:t xml:space="preserve">the </w:t>
      </w:r>
      <w:r w:rsidR="001F3609" w:rsidRPr="00E931FB">
        <w:rPr>
          <w:rFonts w:ascii="Times New Roman" w:hAnsi="Times New Roman" w:cs="Times New Roman"/>
        </w:rPr>
        <w:t>development of diabetic nephropathy in patient</w:t>
      </w:r>
      <w:r w:rsidR="00841082" w:rsidRPr="00E931FB">
        <w:rPr>
          <w:rFonts w:ascii="Times New Roman" w:hAnsi="Times New Roman" w:cs="Times New Roman"/>
        </w:rPr>
        <w:t>s</w:t>
      </w:r>
      <w:r w:rsidR="001F3609" w:rsidRPr="00E931FB">
        <w:rPr>
          <w:rFonts w:ascii="Times New Roman" w:hAnsi="Times New Roman" w:cs="Times New Roman"/>
        </w:rPr>
        <w:t xml:space="preserve"> with type 2 diabetes mellitus. </w:t>
      </w:r>
      <w:r w:rsidR="00C426ED" w:rsidRPr="00E931FB">
        <w:rPr>
          <w:rFonts w:ascii="Times New Roman" w:hAnsi="Times New Roman" w:cs="Times New Roman"/>
        </w:rPr>
        <w:t>T</w:t>
      </w:r>
      <w:r w:rsidRPr="00E931FB">
        <w:rPr>
          <w:rFonts w:ascii="Times New Roman" w:hAnsi="Times New Roman" w:cs="Times New Roman"/>
        </w:rPr>
        <w:t>he association of NAFLD with renal</w:t>
      </w:r>
      <w:r w:rsidR="002142B5" w:rsidRPr="00E931FB">
        <w:rPr>
          <w:rFonts w:ascii="Times New Roman" w:hAnsi="Times New Roman" w:cs="Times New Roman"/>
        </w:rPr>
        <w:t xml:space="preserve"> progression</w:t>
      </w:r>
      <w:r w:rsidRPr="00E931FB">
        <w:rPr>
          <w:rFonts w:ascii="Times New Roman" w:hAnsi="Times New Roman" w:cs="Times New Roman"/>
        </w:rPr>
        <w:t xml:space="preserve"> in </w:t>
      </w:r>
      <w:r w:rsidR="00B247C5" w:rsidRPr="00E931FB">
        <w:rPr>
          <w:rFonts w:ascii="Times New Roman" w:hAnsi="Times New Roman" w:cs="Times New Roman"/>
        </w:rPr>
        <w:t>advanced diabetic nephropathy h</w:t>
      </w:r>
      <w:r w:rsidR="00BB57EA" w:rsidRPr="00E931FB">
        <w:rPr>
          <w:rFonts w:ascii="Times New Roman" w:hAnsi="Times New Roman" w:cs="Times New Roman"/>
        </w:rPr>
        <w:t xml:space="preserve">as not been </w:t>
      </w:r>
      <w:r w:rsidR="00812CDD" w:rsidRPr="00E931FB">
        <w:rPr>
          <w:rFonts w:ascii="Times New Roman" w:hAnsi="Times New Roman" w:cs="Times New Roman"/>
        </w:rPr>
        <w:t>explored</w:t>
      </w:r>
      <w:r w:rsidR="00BB57EA" w:rsidRPr="00E931FB">
        <w:rPr>
          <w:rFonts w:ascii="Times New Roman" w:hAnsi="Times New Roman" w:cs="Times New Roman"/>
        </w:rPr>
        <w:t>.</w:t>
      </w:r>
      <w:r w:rsidR="00CD51C4" w:rsidRPr="00E931FB">
        <w:rPr>
          <w:rFonts w:ascii="Times New Roman" w:hAnsi="Times New Roman" w:cs="Times New Roman"/>
        </w:rPr>
        <w:t xml:space="preserve"> </w:t>
      </w:r>
    </w:p>
    <w:p w14:paraId="434C9123" w14:textId="4BB1DDFF" w:rsidR="0002211B" w:rsidRPr="00E931FB" w:rsidRDefault="005B0080" w:rsidP="00E931F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931FB">
        <w:rPr>
          <w:rFonts w:ascii="Times New Roman" w:hAnsi="Times New Roman" w:cs="Times New Roman"/>
          <w:b/>
        </w:rPr>
        <w:t>Objective:</w:t>
      </w:r>
      <w:r w:rsidRPr="00E931FB">
        <w:rPr>
          <w:rFonts w:ascii="Times New Roman" w:hAnsi="Times New Roman" w:cs="Times New Roman"/>
        </w:rPr>
        <w:t xml:space="preserve"> T</w:t>
      </w:r>
      <w:r w:rsidR="00E1430D" w:rsidRPr="00E931FB">
        <w:rPr>
          <w:rFonts w:ascii="Times New Roman" w:hAnsi="Times New Roman" w:cs="Times New Roman"/>
        </w:rPr>
        <w:t>o a</w:t>
      </w:r>
      <w:r w:rsidR="002139F5" w:rsidRPr="00E931FB">
        <w:rPr>
          <w:rFonts w:ascii="Times New Roman" w:hAnsi="Times New Roman" w:cs="Times New Roman"/>
        </w:rPr>
        <w:t>ssess</w:t>
      </w:r>
      <w:r w:rsidR="00E1430D" w:rsidRPr="00E931FB">
        <w:rPr>
          <w:rFonts w:ascii="Times New Roman" w:hAnsi="Times New Roman" w:cs="Times New Roman"/>
        </w:rPr>
        <w:t xml:space="preserve"> the impact of NAFLD on the rate of progression of CKD</w:t>
      </w:r>
      <w:r w:rsidR="00FA5F39" w:rsidRPr="00E931FB">
        <w:rPr>
          <w:rFonts w:ascii="Times New Roman" w:hAnsi="Times New Roman" w:cs="Times New Roman"/>
        </w:rPr>
        <w:t xml:space="preserve"> </w:t>
      </w:r>
      <w:r w:rsidR="00B247C5" w:rsidRPr="00E931FB">
        <w:rPr>
          <w:rFonts w:ascii="Times New Roman" w:hAnsi="Times New Roman" w:cs="Times New Roman"/>
        </w:rPr>
        <w:t xml:space="preserve">in a cohort of patients with </w:t>
      </w:r>
      <w:r w:rsidR="001F3609" w:rsidRPr="00E931FB">
        <w:rPr>
          <w:rFonts w:ascii="Times New Roman" w:hAnsi="Times New Roman" w:cs="Times New Roman"/>
        </w:rPr>
        <w:t xml:space="preserve">advanced </w:t>
      </w:r>
      <w:r w:rsidR="00B247C5" w:rsidRPr="00E931FB">
        <w:rPr>
          <w:rFonts w:ascii="Times New Roman" w:hAnsi="Times New Roman" w:cs="Times New Roman"/>
        </w:rPr>
        <w:t>diabetic nephropathy</w:t>
      </w:r>
      <w:r w:rsidR="00D531D6" w:rsidRPr="00E931FB">
        <w:rPr>
          <w:rFonts w:ascii="Times New Roman" w:hAnsi="Times New Roman" w:cs="Times New Roman"/>
        </w:rPr>
        <w:t xml:space="preserve"> (CKD 3-5</w:t>
      </w:r>
      <w:r w:rsidR="002139F5" w:rsidRPr="00E931FB">
        <w:rPr>
          <w:rFonts w:ascii="Times New Roman" w:hAnsi="Times New Roman" w:cs="Times New Roman"/>
        </w:rPr>
        <w:t xml:space="preserve"> not on dialysis</w:t>
      </w:r>
      <w:r w:rsidR="00D531D6" w:rsidRPr="00E931FB">
        <w:rPr>
          <w:rFonts w:ascii="Times New Roman" w:hAnsi="Times New Roman" w:cs="Times New Roman"/>
        </w:rPr>
        <w:t>)</w:t>
      </w:r>
      <w:r w:rsidR="00AB5DE7" w:rsidRPr="00E931FB">
        <w:rPr>
          <w:rFonts w:ascii="Times New Roman" w:hAnsi="Times New Roman" w:cs="Times New Roman"/>
        </w:rPr>
        <w:t>.</w:t>
      </w:r>
    </w:p>
    <w:p w14:paraId="6B68CC4C" w14:textId="77777777" w:rsidR="00B247C5" w:rsidRPr="00E931FB" w:rsidRDefault="00B247C5" w:rsidP="00E931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725E9F" w14:textId="278C8F07" w:rsidR="0002211B" w:rsidRPr="00E931FB" w:rsidRDefault="00BB57EA" w:rsidP="00E93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1FB">
        <w:rPr>
          <w:rFonts w:ascii="Times New Roman" w:hAnsi="Times New Roman" w:cs="Times New Roman"/>
          <w:b/>
        </w:rPr>
        <w:t>Methods:</w:t>
      </w:r>
      <w:r w:rsidRPr="00E931FB">
        <w:rPr>
          <w:rFonts w:ascii="Times New Roman" w:hAnsi="Times New Roman" w:cs="Times New Roman"/>
        </w:rPr>
        <w:t xml:space="preserve"> </w:t>
      </w:r>
      <w:r w:rsidR="00370A74" w:rsidRPr="00E931FB">
        <w:rPr>
          <w:rFonts w:ascii="Times New Roman" w:hAnsi="Times New Roman" w:cs="Times New Roman"/>
        </w:rPr>
        <w:t>All patients registered in the Salford Kidney Study (SKS) (</w:t>
      </w:r>
      <w:r w:rsidR="002139F5" w:rsidRPr="00E931FB">
        <w:rPr>
          <w:rFonts w:ascii="Times New Roman" w:hAnsi="Times New Roman" w:cs="Times New Roman"/>
        </w:rPr>
        <w:t xml:space="preserve">a </w:t>
      </w:r>
      <w:r w:rsidR="00370A74" w:rsidRPr="00E931FB">
        <w:rPr>
          <w:rFonts w:ascii="Times New Roman" w:hAnsi="Times New Roman" w:cs="Times New Roman"/>
        </w:rPr>
        <w:t xml:space="preserve">large prospective CKD </w:t>
      </w:r>
      <w:r w:rsidR="002139F5" w:rsidRPr="00E931FB">
        <w:rPr>
          <w:rFonts w:ascii="Times New Roman" w:hAnsi="Times New Roman" w:cs="Times New Roman"/>
        </w:rPr>
        <w:t>cohort</w:t>
      </w:r>
      <w:r w:rsidR="00370A74" w:rsidRPr="00E931FB">
        <w:rPr>
          <w:rFonts w:ascii="Times New Roman" w:hAnsi="Times New Roman" w:cs="Times New Roman"/>
        </w:rPr>
        <w:t xml:space="preserve">) with </w:t>
      </w:r>
      <w:r w:rsidR="002139F5" w:rsidRPr="00E931FB">
        <w:rPr>
          <w:rFonts w:ascii="Times New Roman" w:hAnsi="Times New Roman" w:cs="Times New Roman"/>
        </w:rPr>
        <w:t xml:space="preserve">a </w:t>
      </w:r>
      <w:r w:rsidR="00370A74" w:rsidRPr="00E931FB">
        <w:rPr>
          <w:rFonts w:ascii="Times New Roman" w:hAnsi="Times New Roman" w:cs="Times New Roman"/>
        </w:rPr>
        <w:t xml:space="preserve">diagnosis of </w:t>
      </w:r>
      <w:r w:rsidR="00B247C5" w:rsidRPr="00E931FB">
        <w:rPr>
          <w:rFonts w:ascii="Times New Roman" w:hAnsi="Times New Roman" w:cs="Times New Roman"/>
        </w:rPr>
        <w:t>diabetic nephropathy</w:t>
      </w:r>
      <w:r w:rsidR="00370A74" w:rsidRPr="00E931FB">
        <w:rPr>
          <w:rFonts w:ascii="Times New Roman" w:hAnsi="Times New Roman" w:cs="Times New Roman"/>
        </w:rPr>
        <w:t xml:space="preserve"> and </w:t>
      </w:r>
      <w:r w:rsidR="00841082" w:rsidRPr="00E931FB">
        <w:rPr>
          <w:rFonts w:ascii="Times New Roman" w:hAnsi="Times New Roman" w:cs="Times New Roman"/>
        </w:rPr>
        <w:t xml:space="preserve">who had an Ultrasound (US) of the liver performed between January 2000 </w:t>
      </w:r>
      <w:r w:rsidR="002139F5" w:rsidRPr="00E931FB">
        <w:rPr>
          <w:rFonts w:ascii="Times New Roman" w:hAnsi="Times New Roman" w:cs="Times New Roman"/>
        </w:rPr>
        <w:t>and</w:t>
      </w:r>
      <w:r w:rsidR="00841082" w:rsidRPr="00E931FB">
        <w:rPr>
          <w:rFonts w:ascii="Times New Roman" w:hAnsi="Times New Roman" w:cs="Times New Roman"/>
        </w:rPr>
        <w:t xml:space="preserve"> December 2014</w:t>
      </w:r>
      <w:r w:rsidR="00B247C5" w:rsidRPr="00E931FB">
        <w:rPr>
          <w:rFonts w:ascii="Times New Roman" w:hAnsi="Times New Roman" w:cs="Times New Roman"/>
        </w:rPr>
        <w:t>,</w:t>
      </w:r>
      <w:r w:rsidR="005B0080" w:rsidRPr="00E931FB">
        <w:rPr>
          <w:rFonts w:ascii="Times New Roman" w:hAnsi="Times New Roman" w:cs="Times New Roman"/>
        </w:rPr>
        <w:t xml:space="preserve"> </w:t>
      </w:r>
      <w:r w:rsidR="00370A74" w:rsidRPr="00E931FB">
        <w:rPr>
          <w:rFonts w:ascii="Times New Roman" w:hAnsi="Times New Roman" w:cs="Times New Roman"/>
        </w:rPr>
        <w:t>were</w:t>
      </w:r>
      <w:r w:rsidRPr="00E931FB">
        <w:rPr>
          <w:rFonts w:ascii="Times New Roman" w:hAnsi="Times New Roman" w:cs="Times New Roman"/>
        </w:rPr>
        <w:t xml:space="preserve"> sampled in this retrospective observational study. Estimated </w:t>
      </w:r>
      <w:r w:rsidR="00A83ADD" w:rsidRPr="00E931FB">
        <w:rPr>
          <w:rFonts w:ascii="Times New Roman" w:hAnsi="Times New Roman" w:cs="Times New Roman"/>
        </w:rPr>
        <w:t>g</w:t>
      </w:r>
      <w:r w:rsidRPr="00E931FB">
        <w:rPr>
          <w:rFonts w:ascii="Times New Roman" w:hAnsi="Times New Roman" w:cs="Times New Roman"/>
        </w:rPr>
        <w:t xml:space="preserve">lomerular </w:t>
      </w:r>
      <w:r w:rsidR="00A83ADD" w:rsidRPr="00E931FB">
        <w:rPr>
          <w:rFonts w:ascii="Times New Roman" w:hAnsi="Times New Roman" w:cs="Times New Roman"/>
        </w:rPr>
        <w:t>f</w:t>
      </w:r>
      <w:r w:rsidRPr="00E931FB">
        <w:rPr>
          <w:rFonts w:ascii="Times New Roman" w:hAnsi="Times New Roman" w:cs="Times New Roman"/>
        </w:rPr>
        <w:t xml:space="preserve">iltration </w:t>
      </w:r>
      <w:r w:rsidR="00A83ADD" w:rsidRPr="00E931FB">
        <w:rPr>
          <w:rFonts w:ascii="Times New Roman" w:hAnsi="Times New Roman" w:cs="Times New Roman"/>
        </w:rPr>
        <w:t>r</w:t>
      </w:r>
      <w:r w:rsidRPr="00E931FB">
        <w:rPr>
          <w:rFonts w:ascii="Times New Roman" w:hAnsi="Times New Roman" w:cs="Times New Roman"/>
        </w:rPr>
        <w:t xml:space="preserve">ate (eGFR) as measured by </w:t>
      </w:r>
      <w:r w:rsidR="002139F5" w:rsidRPr="00E931FB">
        <w:rPr>
          <w:rFonts w:ascii="Times New Roman" w:hAnsi="Times New Roman" w:cs="Times New Roman"/>
        </w:rPr>
        <w:t xml:space="preserve">the </w:t>
      </w:r>
      <w:r w:rsidRPr="00E931FB">
        <w:rPr>
          <w:rFonts w:ascii="Times New Roman" w:hAnsi="Times New Roman" w:cs="Times New Roman"/>
        </w:rPr>
        <w:t xml:space="preserve">CKD-EPI formula was collected for all patients from </w:t>
      </w:r>
      <w:r w:rsidR="002139F5" w:rsidRPr="00E931FB">
        <w:rPr>
          <w:rFonts w:ascii="Times New Roman" w:hAnsi="Times New Roman" w:cs="Times New Roman"/>
        </w:rPr>
        <w:t xml:space="preserve">the </w:t>
      </w:r>
      <w:r w:rsidRPr="00E931FB">
        <w:rPr>
          <w:rFonts w:ascii="Times New Roman" w:hAnsi="Times New Roman" w:cs="Times New Roman"/>
        </w:rPr>
        <w:t xml:space="preserve">study </w:t>
      </w:r>
      <w:r w:rsidR="00AC2118" w:rsidRPr="00E931FB">
        <w:rPr>
          <w:rFonts w:ascii="Times New Roman" w:hAnsi="Times New Roman" w:cs="Times New Roman"/>
        </w:rPr>
        <w:t xml:space="preserve">start date </w:t>
      </w:r>
      <w:r w:rsidRPr="00E931FB">
        <w:rPr>
          <w:rFonts w:ascii="Times New Roman" w:hAnsi="Times New Roman" w:cs="Times New Roman"/>
        </w:rPr>
        <w:t>(</w:t>
      </w:r>
      <w:r w:rsidR="00DA1BC2" w:rsidRPr="00E931FB">
        <w:rPr>
          <w:rFonts w:ascii="Times New Roman" w:hAnsi="Times New Roman" w:cs="Times New Roman"/>
        </w:rPr>
        <w:t>US</w:t>
      </w:r>
      <w:r w:rsidR="00A96338" w:rsidRPr="00E931FB">
        <w:rPr>
          <w:rFonts w:ascii="Times New Roman" w:hAnsi="Times New Roman" w:cs="Times New Roman"/>
        </w:rPr>
        <w:t xml:space="preserve"> date</w:t>
      </w:r>
      <w:r w:rsidRPr="00E931FB">
        <w:rPr>
          <w:rFonts w:ascii="Times New Roman" w:hAnsi="Times New Roman" w:cs="Times New Roman"/>
        </w:rPr>
        <w:t xml:space="preserve">) until the study end which included commencement of </w:t>
      </w:r>
      <w:r w:rsidR="00D27058" w:rsidRPr="00E931FB">
        <w:rPr>
          <w:rFonts w:ascii="Times New Roman" w:hAnsi="Times New Roman" w:cs="Times New Roman"/>
        </w:rPr>
        <w:t>r</w:t>
      </w:r>
      <w:r w:rsidRPr="00E931FB">
        <w:rPr>
          <w:rFonts w:ascii="Times New Roman" w:hAnsi="Times New Roman" w:cs="Times New Roman"/>
        </w:rPr>
        <w:t xml:space="preserve">enal </w:t>
      </w:r>
      <w:r w:rsidR="00D27058" w:rsidRPr="00E931FB">
        <w:rPr>
          <w:rFonts w:ascii="Times New Roman" w:hAnsi="Times New Roman" w:cs="Times New Roman"/>
        </w:rPr>
        <w:t>r</w:t>
      </w:r>
      <w:r w:rsidRPr="00E931FB">
        <w:rPr>
          <w:rFonts w:ascii="Times New Roman" w:hAnsi="Times New Roman" w:cs="Times New Roman"/>
        </w:rPr>
        <w:t xml:space="preserve">eplacement </w:t>
      </w:r>
      <w:r w:rsidR="00D27058" w:rsidRPr="00E931FB">
        <w:rPr>
          <w:rFonts w:ascii="Times New Roman" w:hAnsi="Times New Roman" w:cs="Times New Roman"/>
        </w:rPr>
        <w:t>t</w:t>
      </w:r>
      <w:r w:rsidRPr="00E931FB">
        <w:rPr>
          <w:rFonts w:ascii="Times New Roman" w:hAnsi="Times New Roman" w:cs="Times New Roman"/>
        </w:rPr>
        <w:t xml:space="preserve">herapy or </w:t>
      </w:r>
      <w:r w:rsidR="00E41DFC" w:rsidRPr="00E931FB">
        <w:rPr>
          <w:rFonts w:ascii="Times New Roman" w:hAnsi="Times New Roman" w:cs="Times New Roman"/>
        </w:rPr>
        <w:t xml:space="preserve">reaching </w:t>
      </w:r>
      <w:r w:rsidRPr="00E931FB">
        <w:rPr>
          <w:rFonts w:ascii="Times New Roman" w:hAnsi="Times New Roman" w:cs="Times New Roman"/>
        </w:rPr>
        <w:t>eGFR &lt;10</w:t>
      </w:r>
      <w:r w:rsidR="00D27058" w:rsidRPr="00E931FB">
        <w:rPr>
          <w:rFonts w:ascii="Times New Roman" w:hAnsi="Times New Roman" w:cs="Times New Roman"/>
        </w:rPr>
        <w:t xml:space="preserve"> ml/min</w:t>
      </w:r>
      <w:r w:rsidRPr="00E931FB">
        <w:rPr>
          <w:rFonts w:ascii="Times New Roman" w:hAnsi="Times New Roman" w:cs="Times New Roman"/>
        </w:rPr>
        <w:t xml:space="preserve">, </w:t>
      </w:r>
      <w:r w:rsidR="00D27058" w:rsidRPr="00E931FB">
        <w:rPr>
          <w:rFonts w:ascii="Times New Roman" w:hAnsi="Times New Roman" w:cs="Times New Roman"/>
        </w:rPr>
        <w:t xml:space="preserve">death, </w:t>
      </w:r>
      <w:r w:rsidRPr="00E931FB">
        <w:rPr>
          <w:rFonts w:ascii="Times New Roman" w:hAnsi="Times New Roman" w:cs="Times New Roman"/>
        </w:rPr>
        <w:t xml:space="preserve">loss </w:t>
      </w:r>
      <w:r w:rsidR="00560D86" w:rsidRPr="00E931FB">
        <w:rPr>
          <w:rFonts w:ascii="Times New Roman" w:hAnsi="Times New Roman" w:cs="Times New Roman"/>
        </w:rPr>
        <w:t>to follow-</w:t>
      </w:r>
      <w:r w:rsidRPr="00E931FB">
        <w:rPr>
          <w:rFonts w:ascii="Times New Roman" w:hAnsi="Times New Roman" w:cs="Times New Roman"/>
        </w:rPr>
        <w:t xml:space="preserve">up or </w:t>
      </w:r>
      <w:r w:rsidR="00D27058" w:rsidRPr="00E931FB">
        <w:rPr>
          <w:rFonts w:ascii="Times New Roman" w:hAnsi="Times New Roman" w:cs="Times New Roman"/>
        </w:rPr>
        <w:t xml:space="preserve">censoring at </w:t>
      </w:r>
      <w:r w:rsidR="00E41DFC" w:rsidRPr="00E931FB">
        <w:rPr>
          <w:rFonts w:ascii="Times New Roman" w:hAnsi="Times New Roman" w:cs="Times New Roman"/>
        </w:rPr>
        <w:t xml:space="preserve">31 </w:t>
      </w:r>
      <w:r w:rsidRPr="00E931FB">
        <w:rPr>
          <w:rFonts w:ascii="Times New Roman" w:hAnsi="Times New Roman" w:cs="Times New Roman"/>
        </w:rPr>
        <w:t xml:space="preserve">December 2015. </w:t>
      </w:r>
      <w:r w:rsidR="00560D86" w:rsidRPr="00E931FB">
        <w:rPr>
          <w:rFonts w:ascii="Times New Roman" w:hAnsi="Times New Roman" w:cs="Times New Roman"/>
        </w:rPr>
        <w:t>The r</w:t>
      </w:r>
      <w:r w:rsidRPr="00E931FB">
        <w:rPr>
          <w:rFonts w:ascii="Times New Roman" w:hAnsi="Times New Roman" w:cs="Times New Roman"/>
        </w:rPr>
        <w:t xml:space="preserve">ate of decline in eGFR was calculated by </w:t>
      </w:r>
      <w:r w:rsidR="00D27058" w:rsidRPr="00E931FB">
        <w:rPr>
          <w:rFonts w:ascii="Times New Roman" w:hAnsi="Times New Roman" w:cs="Times New Roman"/>
        </w:rPr>
        <w:t xml:space="preserve">the </w:t>
      </w:r>
      <w:r w:rsidRPr="00E931FB">
        <w:rPr>
          <w:rFonts w:ascii="Times New Roman" w:hAnsi="Times New Roman" w:cs="Times New Roman"/>
        </w:rPr>
        <w:t>slope of linear regression</w:t>
      </w:r>
      <w:r w:rsidR="00B247C5" w:rsidRPr="00E931FB">
        <w:rPr>
          <w:rFonts w:ascii="Times New Roman" w:hAnsi="Times New Roman" w:cs="Times New Roman"/>
        </w:rPr>
        <w:t>.</w:t>
      </w:r>
      <w:r w:rsidR="00FA5F39" w:rsidRPr="00E931FB">
        <w:rPr>
          <w:rFonts w:ascii="Times New Roman" w:hAnsi="Times New Roman" w:cs="Times New Roman"/>
        </w:rPr>
        <w:t xml:space="preserve"> Cox regression analysis was used to study the association of NAFLD with ESRD.</w:t>
      </w:r>
    </w:p>
    <w:p w14:paraId="74A4B986" w14:textId="77777777" w:rsidR="00841082" w:rsidRPr="00E931FB" w:rsidRDefault="00841082" w:rsidP="00E931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6E399F" w14:textId="4315D807" w:rsidR="0002211B" w:rsidRPr="00E931FB" w:rsidRDefault="00BB57EA" w:rsidP="00E931FB">
      <w:pPr>
        <w:spacing w:after="0"/>
        <w:jc w:val="both"/>
        <w:rPr>
          <w:rFonts w:ascii="Times New Roman" w:hAnsi="Times New Roman" w:cs="Times New Roman"/>
          <w:b/>
        </w:rPr>
      </w:pPr>
      <w:r w:rsidRPr="00E931FB">
        <w:rPr>
          <w:rFonts w:ascii="Times New Roman" w:hAnsi="Times New Roman" w:cs="Times New Roman"/>
          <w:b/>
        </w:rPr>
        <w:t>Results:</w:t>
      </w:r>
      <w:r w:rsidRPr="00E931FB">
        <w:rPr>
          <w:rFonts w:ascii="Times New Roman" w:hAnsi="Times New Roman" w:cs="Times New Roman"/>
        </w:rPr>
        <w:t xml:space="preserve"> Of the </w:t>
      </w:r>
      <w:r w:rsidR="005B0080" w:rsidRPr="00E931FB">
        <w:rPr>
          <w:rFonts w:ascii="Times New Roman" w:hAnsi="Times New Roman" w:cs="Times New Roman"/>
        </w:rPr>
        <w:t>2974</w:t>
      </w:r>
      <w:r w:rsidRPr="00E931FB">
        <w:rPr>
          <w:rFonts w:ascii="Times New Roman" w:hAnsi="Times New Roman" w:cs="Times New Roman"/>
        </w:rPr>
        <w:t xml:space="preserve"> patients registered in the SKS</w:t>
      </w:r>
      <w:r w:rsidR="00DF48AB" w:rsidRPr="00E931FB">
        <w:rPr>
          <w:rFonts w:ascii="Times New Roman" w:hAnsi="Times New Roman" w:cs="Times New Roman"/>
        </w:rPr>
        <w:t xml:space="preserve"> during the study period</w:t>
      </w:r>
      <w:r w:rsidRPr="00E931FB">
        <w:rPr>
          <w:rFonts w:ascii="Times New Roman" w:hAnsi="Times New Roman" w:cs="Times New Roman"/>
        </w:rPr>
        <w:t xml:space="preserve">, </w:t>
      </w:r>
      <w:r w:rsidR="005B0080" w:rsidRPr="00E931FB">
        <w:rPr>
          <w:rFonts w:ascii="Times New Roman" w:hAnsi="Times New Roman" w:cs="Times New Roman"/>
        </w:rPr>
        <w:t>508</w:t>
      </w:r>
      <w:r w:rsidR="00B90C8E" w:rsidRPr="00E931FB">
        <w:rPr>
          <w:rFonts w:ascii="Times New Roman" w:hAnsi="Times New Roman" w:cs="Times New Roman"/>
        </w:rPr>
        <w:t xml:space="preserve"> </w:t>
      </w:r>
      <w:r w:rsidR="00D203C1" w:rsidRPr="00E931FB">
        <w:rPr>
          <w:rFonts w:ascii="Times New Roman" w:hAnsi="Times New Roman" w:cs="Times New Roman"/>
        </w:rPr>
        <w:t>(17%)</w:t>
      </w:r>
      <w:r w:rsidR="005B0080" w:rsidRPr="00E931FB">
        <w:rPr>
          <w:rFonts w:ascii="Times New Roman" w:hAnsi="Times New Roman" w:cs="Times New Roman"/>
        </w:rPr>
        <w:t xml:space="preserve"> were diagnosed with </w:t>
      </w:r>
      <w:r w:rsidR="00D27A67" w:rsidRPr="00E931FB">
        <w:rPr>
          <w:rFonts w:ascii="Times New Roman" w:hAnsi="Times New Roman" w:cs="Times New Roman"/>
        </w:rPr>
        <w:t xml:space="preserve">diabetic nephropathy. </w:t>
      </w:r>
      <w:r w:rsidR="005B0080" w:rsidRPr="00E931FB">
        <w:rPr>
          <w:rFonts w:ascii="Times New Roman" w:hAnsi="Times New Roman" w:cs="Times New Roman"/>
        </w:rPr>
        <w:t>245</w:t>
      </w:r>
      <w:r w:rsidR="00B90C8E" w:rsidRPr="00E931FB">
        <w:rPr>
          <w:rFonts w:ascii="Times New Roman" w:hAnsi="Times New Roman" w:cs="Times New Roman"/>
        </w:rPr>
        <w:t xml:space="preserve"> </w:t>
      </w:r>
      <w:r w:rsidR="00D203C1" w:rsidRPr="00E931FB">
        <w:rPr>
          <w:rFonts w:ascii="Times New Roman" w:hAnsi="Times New Roman" w:cs="Times New Roman"/>
        </w:rPr>
        <w:t>(48%)</w:t>
      </w:r>
      <w:r w:rsidR="00D27A67" w:rsidRPr="00E931FB">
        <w:rPr>
          <w:rFonts w:ascii="Times New Roman" w:hAnsi="Times New Roman" w:cs="Times New Roman"/>
        </w:rPr>
        <w:t xml:space="preserve"> of the 508</w:t>
      </w:r>
      <w:r w:rsidR="005B0080" w:rsidRPr="00E931FB">
        <w:rPr>
          <w:rFonts w:ascii="Times New Roman" w:hAnsi="Times New Roman" w:cs="Times New Roman"/>
        </w:rPr>
        <w:t xml:space="preserve"> </w:t>
      </w:r>
      <w:r w:rsidRPr="00E931FB">
        <w:rPr>
          <w:rFonts w:ascii="Times New Roman" w:hAnsi="Times New Roman" w:cs="Times New Roman"/>
        </w:rPr>
        <w:t xml:space="preserve">patients had US </w:t>
      </w:r>
      <w:r w:rsidR="00D27058" w:rsidRPr="00E931FB">
        <w:rPr>
          <w:rFonts w:ascii="Times New Roman" w:hAnsi="Times New Roman" w:cs="Times New Roman"/>
        </w:rPr>
        <w:t>imaging of th</w:t>
      </w:r>
      <w:r w:rsidR="00DF48AB" w:rsidRPr="00E931FB">
        <w:rPr>
          <w:rFonts w:ascii="Times New Roman" w:hAnsi="Times New Roman" w:cs="Times New Roman"/>
        </w:rPr>
        <w:t>e liver.</w:t>
      </w:r>
      <w:r w:rsidRPr="00E931FB">
        <w:rPr>
          <w:rFonts w:ascii="Times New Roman" w:hAnsi="Times New Roman" w:cs="Times New Roman"/>
        </w:rPr>
        <w:t xml:space="preserve"> After excluding patients based on pre-set criteria, a sample</w:t>
      </w:r>
      <w:r w:rsidR="002F2FB2" w:rsidRPr="00E931FB">
        <w:rPr>
          <w:rFonts w:ascii="Times New Roman" w:hAnsi="Times New Roman" w:cs="Times New Roman"/>
        </w:rPr>
        <w:t xml:space="preserve"> of </w:t>
      </w:r>
      <w:r w:rsidR="005B0080" w:rsidRPr="00E931FB">
        <w:rPr>
          <w:rFonts w:ascii="Times New Roman" w:hAnsi="Times New Roman" w:cs="Times New Roman"/>
        </w:rPr>
        <w:t>149</w:t>
      </w:r>
      <w:r w:rsidR="002F2FB2" w:rsidRPr="00E931FB">
        <w:rPr>
          <w:rFonts w:ascii="Times New Roman" w:hAnsi="Times New Roman" w:cs="Times New Roman"/>
        </w:rPr>
        <w:t xml:space="preserve"> (</w:t>
      </w:r>
      <w:r w:rsidR="005B0080" w:rsidRPr="00E931FB">
        <w:rPr>
          <w:rFonts w:ascii="Times New Roman" w:hAnsi="Times New Roman" w:cs="Times New Roman"/>
        </w:rPr>
        <w:t>48</w:t>
      </w:r>
      <w:r w:rsidR="002F2FB2" w:rsidRPr="00E931FB">
        <w:rPr>
          <w:rFonts w:ascii="Times New Roman" w:hAnsi="Times New Roman" w:cs="Times New Roman"/>
        </w:rPr>
        <w:t xml:space="preserve"> NAFLD and </w:t>
      </w:r>
      <w:r w:rsidR="005B0080" w:rsidRPr="00E931FB">
        <w:rPr>
          <w:rFonts w:ascii="Times New Roman" w:hAnsi="Times New Roman" w:cs="Times New Roman"/>
        </w:rPr>
        <w:t>101</w:t>
      </w:r>
      <w:r w:rsidR="002F2FB2" w:rsidRPr="00E931FB">
        <w:rPr>
          <w:rFonts w:ascii="Times New Roman" w:hAnsi="Times New Roman" w:cs="Times New Roman"/>
        </w:rPr>
        <w:t xml:space="preserve"> normal US)</w:t>
      </w:r>
      <w:r w:rsidRPr="00E931FB">
        <w:rPr>
          <w:rFonts w:ascii="Times New Roman" w:hAnsi="Times New Roman" w:cs="Times New Roman"/>
        </w:rPr>
        <w:t xml:space="preserve"> patients with complete datasets </w:t>
      </w:r>
      <w:r w:rsidR="00D27058" w:rsidRPr="00E931FB">
        <w:rPr>
          <w:rFonts w:ascii="Times New Roman" w:hAnsi="Times New Roman" w:cs="Times New Roman"/>
        </w:rPr>
        <w:t>remained</w:t>
      </w:r>
      <w:r w:rsidR="00693501" w:rsidRPr="00E931FB">
        <w:rPr>
          <w:rFonts w:ascii="Times New Roman" w:hAnsi="Times New Roman" w:cs="Times New Roman"/>
        </w:rPr>
        <w:t xml:space="preserve">. </w:t>
      </w:r>
      <w:r w:rsidRPr="00E931FB">
        <w:rPr>
          <w:rFonts w:ascii="Times New Roman" w:hAnsi="Times New Roman" w:cs="Times New Roman"/>
        </w:rPr>
        <w:t xml:space="preserve">At baseline, </w:t>
      </w:r>
      <w:r w:rsidR="00560D86" w:rsidRPr="00E931FB">
        <w:rPr>
          <w:rFonts w:ascii="Times New Roman" w:hAnsi="Times New Roman" w:cs="Times New Roman"/>
        </w:rPr>
        <w:t xml:space="preserve">the </w:t>
      </w:r>
      <w:r w:rsidRPr="00E931FB">
        <w:rPr>
          <w:rFonts w:ascii="Times New Roman" w:hAnsi="Times New Roman" w:cs="Times New Roman"/>
        </w:rPr>
        <w:t>medi</w:t>
      </w:r>
      <w:r w:rsidR="005B0080" w:rsidRPr="00E931FB">
        <w:rPr>
          <w:rFonts w:ascii="Times New Roman" w:hAnsi="Times New Roman" w:cs="Times New Roman"/>
        </w:rPr>
        <w:t>an age of the study group was 65</w:t>
      </w:r>
      <w:r w:rsidRPr="00E931FB">
        <w:rPr>
          <w:rFonts w:ascii="Times New Roman" w:hAnsi="Times New Roman" w:cs="Times New Roman"/>
        </w:rPr>
        <w:t xml:space="preserve"> years</w:t>
      </w:r>
      <w:r w:rsidR="00560D86" w:rsidRPr="00E931FB">
        <w:rPr>
          <w:rFonts w:ascii="Times New Roman" w:hAnsi="Times New Roman" w:cs="Times New Roman"/>
        </w:rPr>
        <w:t>,</w:t>
      </w:r>
      <w:r w:rsidR="005B0080" w:rsidRPr="00E931FB">
        <w:rPr>
          <w:rFonts w:ascii="Times New Roman" w:hAnsi="Times New Roman" w:cs="Times New Roman"/>
        </w:rPr>
        <w:t xml:space="preserve"> median eGFR was 31.6</w:t>
      </w:r>
      <w:r w:rsidR="00E4660E" w:rsidRPr="00E931FB">
        <w:rPr>
          <w:rFonts w:ascii="Times New Roman" w:hAnsi="Times New Roman" w:cs="Times New Roman"/>
          <w:color w:val="000000"/>
          <w:shd w:val="clear" w:color="auto" w:fill="FFFFFF"/>
        </w:rPr>
        <w:t xml:space="preserve"> mL/min/1.73m</w:t>
      </w:r>
      <w:r w:rsidR="00E4660E" w:rsidRPr="00E931FB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 w:rsidR="00FA5F39" w:rsidRPr="00E931F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A5F39" w:rsidRPr="00E931FB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</w:t>
      </w:r>
      <w:r w:rsidR="00FA5F39" w:rsidRPr="00E931FB">
        <w:rPr>
          <w:rFonts w:ascii="Times New Roman" w:hAnsi="Times New Roman" w:cs="Times New Roman"/>
          <w:color w:val="000000"/>
          <w:shd w:val="clear" w:color="auto" w:fill="FFFFFF"/>
        </w:rPr>
        <w:t xml:space="preserve">with </w:t>
      </w:r>
      <w:r w:rsidR="00FA5F39" w:rsidRPr="00E931FB">
        <w:rPr>
          <w:rFonts w:ascii="Times New Roman" w:hAnsi="Times New Roman" w:cs="Times New Roman"/>
        </w:rPr>
        <w:t xml:space="preserve">urine protein creatinine ratio </w:t>
      </w:r>
      <w:r w:rsidR="002142B5" w:rsidRPr="00E931FB">
        <w:rPr>
          <w:rFonts w:ascii="Times New Roman" w:hAnsi="Times New Roman" w:cs="Times New Roman"/>
        </w:rPr>
        <w:t>46</w:t>
      </w:r>
      <w:r w:rsidR="00FA5F39" w:rsidRPr="00E931FB">
        <w:rPr>
          <w:rFonts w:ascii="Times New Roman" w:hAnsi="Times New Roman" w:cs="Times New Roman"/>
        </w:rPr>
        <w:t xml:space="preserve"> g/mol and HBA1C 57.3 mmol/mol. </w:t>
      </w:r>
      <w:r w:rsidRPr="00E931FB">
        <w:rPr>
          <w:rFonts w:ascii="Times New Roman" w:hAnsi="Times New Roman" w:cs="Times New Roman"/>
        </w:rPr>
        <w:t xml:space="preserve">Patients with NAFLD had </w:t>
      </w:r>
      <w:r w:rsidR="002139F5" w:rsidRPr="00E931FB">
        <w:rPr>
          <w:rFonts w:ascii="Times New Roman" w:hAnsi="Times New Roman" w:cs="Times New Roman"/>
        </w:rPr>
        <w:t>greater prevalence of</w:t>
      </w:r>
      <w:r w:rsidRPr="00E931FB">
        <w:rPr>
          <w:rFonts w:ascii="Times New Roman" w:hAnsi="Times New Roman" w:cs="Times New Roman"/>
        </w:rPr>
        <w:t xml:space="preserve"> </w:t>
      </w:r>
      <w:r w:rsidR="00D27058" w:rsidRPr="00E931FB">
        <w:rPr>
          <w:rFonts w:ascii="Times New Roman" w:hAnsi="Times New Roman" w:cs="Times New Roman"/>
        </w:rPr>
        <w:t>h</w:t>
      </w:r>
      <w:r w:rsidR="005B0080" w:rsidRPr="00E931FB">
        <w:rPr>
          <w:rFonts w:ascii="Times New Roman" w:hAnsi="Times New Roman" w:cs="Times New Roman"/>
        </w:rPr>
        <w:t>ypertension</w:t>
      </w:r>
      <w:r w:rsidR="00F16DB8" w:rsidRPr="00E931FB">
        <w:rPr>
          <w:rFonts w:ascii="Times New Roman" w:hAnsi="Times New Roman" w:cs="Times New Roman"/>
        </w:rPr>
        <w:t>,</w:t>
      </w:r>
      <w:r w:rsidRPr="00E931FB">
        <w:rPr>
          <w:rFonts w:ascii="Times New Roman" w:hAnsi="Times New Roman" w:cs="Times New Roman"/>
        </w:rPr>
        <w:t xml:space="preserve"> </w:t>
      </w:r>
      <w:proofErr w:type="gramStart"/>
      <w:r w:rsidR="00D27058" w:rsidRPr="00E931FB">
        <w:rPr>
          <w:rFonts w:ascii="Times New Roman" w:hAnsi="Times New Roman" w:cs="Times New Roman"/>
        </w:rPr>
        <w:t>h</w:t>
      </w:r>
      <w:r w:rsidRPr="00E931FB">
        <w:rPr>
          <w:rFonts w:ascii="Times New Roman" w:hAnsi="Times New Roman" w:cs="Times New Roman"/>
        </w:rPr>
        <w:t>ypercholesterolemia</w:t>
      </w:r>
      <w:proofErr w:type="gramEnd"/>
      <w:r w:rsidR="00F16DB8" w:rsidRPr="00E931FB">
        <w:rPr>
          <w:rFonts w:ascii="Times New Roman" w:hAnsi="Times New Roman" w:cs="Times New Roman"/>
        </w:rPr>
        <w:t xml:space="preserve"> and ischemic heart disease at baseline</w:t>
      </w:r>
      <w:r w:rsidR="00A83ADD" w:rsidRPr="00E931FB">
        <w:rPr>
          <w:rFonts w:ascii="Times New Roman" w:hAnsi="Times New Roman" w:cs="Times New Roman"/>
        </w:rPr>
        <w:t xml:space="preserve"> </w:t>
      </w:r>
      <w:r w:rsidR="00CD4A39" w:rsidRPr="00E931FB">
        <w:rPr>
          <w:rFonts w:ascii="Times New Roman" w:hAnsi="Times New Roman" w:cs="Times New Roman"/>
        </w:rPr>
        <w:t>(Tabe-1)</w:t>
      </w:r>
      <w:r w:rsidR="00A83ADD" w:rsidRPr="00E931FB">
        <w:rPr>
          <w:rFonts w:ascii="Times New Roman" w:hAnsi="Times New Roman" w:cs="Times New Roman"/>
        </w:rPr>
        <w:t>.</w:t>
      </w:r>
      <w:r w:rsidRPr="00E931FB">
        <w:rPr>
          <w:rFonts w:ascii="Times New Roman" w:hAnsi="Times New Roman" w:cs="Times New Roman"/>
        </w:rPr>
        <w:t xml:space="preserve"> </w:t>
      </w:r>
      <w:r w:rsidR="00DA1BC2" w:rsidRPr="00E931FB">
        <w:rPr>
          <w:rFonts w:ascii="Times New Roman" w:hAnsi="Times New Roman" w:cs="Times New Roman"/>
        </w:rPr>
        <w:t>B</w:t>
      </w:r>
      <w:r w:rsidR="005C0064" w:rsidRPr="00E931FB">
        <w:rPr>
          <w:rFonts w:ascii="Times New Roman" w:hAnsi="Times New Roman" w:cs="Times New Roman"/>
        </w:rPr>
        <w:t>MI</w:t>
      </w:r>
      <w:r w:rsidRPr="00E931FB">
        <w:rPr>
          <w:rFonts w:ascii="Times New Roman" w:hAnsi="Times New Roman" w:cs="Times New Roman"/>
        </w:rPr>
        <w:t xml:space="preserve"> was significantly higher in </w:t>
      </w:r>
      <w:r w:rsidR="00D27058" w:rsidRPr="00E931FB">
        <w:rPr>
          <w:rFonts w:ascii="Times New Roman" w:hAnsi="Times New Roman" w:cs="Times New Roman"/>
        </w:rPr>
        <w:t xml:space="preserve">the </w:t>
      </w:r>
      <w:r w:rsidR="005B0080" w:rsidRPr="00E931FB">
        <w:rPr>
          <w:rFonts w:ascii="Times New Roman" w:hAnsi="Times New Roman" w:cs="Times New Roman"/>
        </w:rPr>
        <w:t xml:space="preserve">NAFLD group </w:t>
      </w:r>
      <w:r w:rsidR="002139F5" w:rsidRPr="00E931FB">
        <w:rPr>
          <w:rFonts w:ascii="Times New Roman" w:hAnsi="Times New Roman" w:cs="Times New Roman"/>
        </w:rPr>
        <w:t>(</w:t>
      </w:r>
      <w:r w:rsidR="005B0080" w:rsidRPr="00E931FB">
        <w:rPr>
          <w:rFonts w:ascii="Times New Roman" w:hAnsi="Times New Roman" w:cs="Times New Roman"/>
        </w:rPr>
        <w:t>32 vs 29</w:t>
      </w:r>
      <w:r w:rsidRPr="00E931FB">
        <w:rPr>
          <w:rFonts w:ascii="Times New Roman" w:hAnsi="Times New Roman" w:cs="Times New Roman"/>
        </w:rPr>
        <w:t xml:space="preserve"> kg/m</w:t>
      </w:r>
      <w:r w:rsidRPr="00E931FB">
        <w:rPr>
          <w:rFonts w:ascii="Times New Roman" w:hAnsi="Times New Roman" w:cs="Times New Roman"/>
          <w:vertAlign w:val="superscript"/>
        </w:rPr>
        <w:t>2</w:t>
      </w:r>
      <w:r w:rsidR="002139F5" w:rsidRPr="00E931FB">
        <w:rPr>
          <w:rFonts w:ascii="Times New Roman" w:hAnsi="Times New Roman" w:cs="Times New Roman"/>
        </w:rPr>
        <w:t>;</w:t>
      </w:r>
      <w:r w:rsidR="00D203C1" w:rsidRPr="00E931FB">
        <w:rPr>
          <w:rFonts w:ascii="Times New Roman" w:hAnsi="Times New Roman" w:cs="Times New Roman"/>
        </w:rPr>
        <w:t xml:space="preserve"> </w:t>
      </w:r>
      <w:r w:rsidR="005B0080" w:rsidRPr="00E931FB">
        <w:rPr>
          <w:rFonts w:ascii="Times New Roman" w:hAnsi="Times New Roman" w:cs="Times New Roman"/>
        </w:rPr>
        <w:t>p= &lt;0.05</w:t>
      </w:r>
      <w:r w:rsidRPr="00E931FB">
        <w:rPr>
          <w:rFonts w:ascii="Times New Roman" w:hAnsi="Times New Roman" w:cs="Times New Roman"/>
        </w:rPr>
        <w:t xml:space="preserve">). </w:t>
      </w:r>
      <w:r w:rsidR="00DA1BC2" w:rsidRPr="00E931FB">
        <w:rPr>
          <w:rFonts w:ascii="Times New Roman" w:hAnsi="Times New Roman" w:cs="Times New Roman"/>
        </w:rPr>
        <w:t>Median f</w:t>
      </w:r>
      <w:r w:rsidR="00560D86" w:rsidRPr="00E931FB">
        <w:rPr>
          <w:rFonts w:ascii="Times New Roman" w:hAnsi="Times New Roman" w:cs="Times New Roman"/>
        </w:rPr>
        <w:t>ollow-</w:t>
      </w:r>
      <w:r w:rsidR="005B0080" w:rsidRPr="00E931FB">
        <w:rPr>
          <w:rFonts w:ascii="Times New Roman" w:hAnsi="Times New Roman" w:cs="Times New Roman"/>
        </w:rPr>
        <w:t>up time was 69</w:t>
      </w:r>
      <w:r w:rsidRPr="00E931FB">
        <w:rPr>
          <w:rFonts w:ascii="Times New Roman" w:hAnsi="Times New Roman" w:cs="Times New Roman"/>
        </w:rPr>
        <w:t xml:space="preserve"> months with no difference between </w:t>
      </w:r>
      <w:r w:rsidR="005B0080" w:rsidRPr="00E931FB">
        <w:rPr>
          <w:rFonts w:ascii="Times New Roman" w:hAnsi="Times New Roman" w:cs="Times New Roman"/>
        </w:rPr>
        <w:t>groups</w:t>
      </w:r>
      <w:r w:rsidR="00A83ADD" w:rsidRPr="00E931FB">
        <w:rPr>
          <w:rFonts w:ascii="Times New Roman" w:hAnsi="Times New Roman" w:cs="Times New Roman"/>
        </w:rPr>
        <w:t xml:space="preserve"> </w:t>
      </w:r>
      <w:r w:rsidR="005B0080" w:rsidRPr="00E931FB">
        <w:rPr>
          <w:rFonts w:ascii="Times New Roman" w:hAnsi="Times New Roman" w:cs="Times New Roman"/>
        </w:rPr>
        <w:t>(p=0.094</w:t>
      </w:r>
      <w:r w:rsidRPr="00E931FB">
        <w:rPr>
          <w:rFonts w:ascii="Times New Roman" w:hAnsi="Times New Roman" w:cs="Times New Roman"/>
        </w:rPr>
        <w:t>).</w:t>
      </w:r>
      <w:r w:rsidR="00894C59" w:rsidRPr="00E931FB">
        <w:rPr>
          <w:rFonts w:ascii="Times New Roman" w:hAnsi="Times New Roman" w:cs="Times New Roman"/>
        </w:rPr>
        <w:t xml:space="preserve"> </w:t>
      </w:r>
      <w:r w:rsidR="00F5473E" w:rsidRPr="00E931FB">
        <w:rPr>
          <w:rFonts w:ascii="Times New Roman" w:hAnsi="Times New Roman" w:cs="Times New Roman"/>
        </w:rPr>
        <w:t xml:space="preserve">Regarding </w:t>
      </w:r>
      <w:r w:rsidR="00894C59" w:rsidRPr="00E931FB">
        <w:rPr>
          <w:rFonts w:ascii="Times New Roman" w:hAnsi="Times New Roman" w:cs="Times New Roman"/>
        </w:rPr>
        <w:t>CKD progression,</w:t>
      </w:r>
      <w:r w:rsidR="00A83ADD" w:rsidRPr="00E931FB">
        <w:rPr>
          <w:rFonts w:ascii="Times New Roman" w:hAnsi="Times New Roman" w:cs="Times New Roman"/>
        </w:rPr>
        <w:t xml:space="preserve"> although</w:t>
      </w:r>
      <w:r w:rsidR="00894C59" w:rsidRPr="00E931FB">
        <w:rPr>
          <w:rFonts w:ascii="Times New Roman" w:hAnsi="Times New Roman" w:cs="Times New Roman"/>
        </w:rPr>
        <w:t xml:space="preserve"> there was </w:t>
      </w:r>
      <w:r w:rsidR="00A83ADD" w:rsidRPr="00E931FB">
        <w:rPr>
          <w:rFonts w:ascii="Times New Roman" w:hAnsi="Times New Roman" w:cs="Times New Roman"/>
        </w:rPr>
        <w:t xml:space="preserve">faster decline of eGFR noted in patients with NAFLD, this did not reach statistical significance. </w:t>
      </w:r>
      <w:r w:rsidR="005B0080" w:rsidRPr="00E931FB">
        <w:rPr>
          <w:rFonts w:ascii="Times New Roman" w:hAnsi="Times New Roman" w:cs="Times New Roman"/>
        </w:rPr>
        <w:t>(NAFLD: -3.97</w:t>
      </w:r>
      <w:r w:rsidR="00D27058" w:rsidRPr="00E931FB">
        <w:rPr>
          <w:rFonts w:ascii="Times New Roman" w:hAnsi="Times New Roman" w:cs="Times New Roman"/>
        </w:rPr>
        <w:t xml:space="preserve"> ml/min</w:t>
      </w:r>
      <w:r w:rsidR="00876C53" w:rsidRPr="00E931FB">
        <w:rPr>
          <w:rFonts w:ascii="Times New Roman" w:hAnsi="Times New Roman" w:cs="Times New Roman"/>
        </w:rPr>
        <w:t>/</w:t>
      </w:r>
      <w:proofErr w:type="spellStart"/>
      <w:r w:rsidR="00D27058" w:rsidRPr="00E931FB">
        <w:rPr>
          <w:rFonts w:ascii="Times New Roman" w:hAnsi="Times New Roman" w:cs="Times New Roman"/>
        </w:rPr>
        <w:t>yr</w:t>
      </w:r>
      <w:proofErr w:type="spellEnd"/>
      <w:r w:rsidR="00894C59" w:rsidRPr="00E931FB">
        <w:rPr>
          <w:rFonts w:ascii="Times New Roman" w:hAnsi="Times New Roman" w:cs="Times New Roman"/>
        </w:rPr>
        <w:t xml:space="preserve">; </w:t>
      </w:r>
      <w:r w:rsidR="008C5C84" w:rsidRPr="00E931FB">
        <w:rPr>
          <w:rFonts w:ascii="Times New Roman" w:hAnsi="Times New Roman" w:cs="Times New Roman"/>
        </w:rPr>
        <w:t>n</w:t>
      </w:r>
      <w:r w:rsidR="00894C59" w:rsidRPr="00E931FB">
        <w:rPr>
          <w:rFonts w:ascii="Times New Roman" w:hAnsi="Times New Roman" w:cs="Times New Roman"/>
        </w:rPr>
        <w:t>ormal</w:t>
      </w:r>
      <w:r w:rsidR="00D27058" w:rsidRPr="00E931FB">
        <w:rPr>
          <w:rFonts w:ascii="Times New Roman" w:hAnsi="Times New Roman" w:cs="Times New Roman"/>
        </w:rPr>
        <w:t xml:space="preserve"> liver</w:t>
      </w:r>
      <w:r w:rsidR="005B0080" w:rsidRPr="00E931FB">
        <w:rPr>
          <w:rFonts w:ascii="Times New Roman" w:hAnsi="Times New Roman" w:cs="Times New Roman"/>
        </w:rPr>
        <w:t>: -2.</w:t>
      </w:r>
      <w:r w:rsidR="00894C59" w:rsidRPr="00E931FB">
        <w:rPr>
          <w:rFonts w:ascii="Times New Roman" w:hAnsi="Times New Roman" w:cs="Times New Roman"/>
        </w:rPr>
        <w:t>9</w:t>
      </w:r>
      <w:r w:rsidR="005B0080" w:rsidRPr="00E931FB">
        <w:rPr>
          <w:rFonts w:ascii="Times New Roman" w:hAnsi="Times New Roman" w:cs="Times New Roman"/>
        </w:rPr>
        <w:t>5</w:t>
      </w:r>
      <w:r w:rsidR="00D27058" w:rsidRPr="00E931FB">
        <w:rPr>
          <w:rFonts w:ascii="Times New Roman" w:hAnsi="Times New Roman" w:cs="Times New Roman"/>
        </w:rPr>
        <w:t xml:space="preserve"> ml/min/</w:t>
      </w:r>
      <w:proofErr w:type="spellStart"/>
      <w:r w:rsidR="00D27058" w:rsidRPr="00E931FB">
        <w:rPr>
          <w:rFonts w:ascii="Times New Roman" w:hAnsi="Times New Roman" w:cs="Times New Roman"/>
        </w:rPr>
        <w:t>yr</w:t>
      </w:r>
      <w:proofErr w:type="spellEnd"/>
      <w:r w:rsidR="005B0080" w:rsidRPr="00E931FB">
        <w:rPr>
          <w:rFonts w:ascii="Times New Roman" w:hAnsi="Times New Roman" w:cs="Times New Roman"/>
        </w:rPr>
        <w:t>; p=0.650</w:t>
      </w:r>
      <w:r w:rsidR="00894C59" w:rsidRPr="00E931FB">
        <w:rPr>
          <w:rFonts w:ascii="Times New Roman" w:hAnsi="Times New Roman" w:cs="Times New Roman"/>
        </w:rPr>
        <w:t xml:space="preserve">). </w:t>
      </w:r>
      <w:r w:rsidR="00B77082" w:rsidRPr="00E931FB">
        <w:rPr>
          <w:rFonts w:ascii="Times New Roman" w:hAnsi="Times New Roman" w:cs="Times New Roman"/>
        </w:rPr>
        <w:t>Also, in a Cox regression model adjusted for baseline eGFR</w:t>
      </w:r>
      <w:r w:rsidR="00A527AD" w:rsidRPr="00E931FB">
        <w:rPr>
          <w:rFonts w:ascii="Times New Roman" w:hAnsi="Times New Roman" w:cs="Times New Roman"/>
        </w:rPr>
        <w:t xml:space="preserve">, </w:t>
      </w:r>
      <w:r w:rsidR="00B77082" w:rsidRPr="00E931FB">
        <w:rPr>
          <w:rFonts w:ascii="Times New Roman" w:hAnsi="Times New Roman" w:cs="Times New Roman"/>
        </w:rPr>
        <w:t xml:space="preserve">NAFLD </w:t>
      </w:r>
      <w:r w:rsidR="00B90C8E" w:rsidRPr="00E931FB">
        <w:rPr>
          <w:rFonts w:ascii="Times New Roman" w:hAnsi="Times New Roman" w:cs="Times New Roman"/>
        </w:rPr>
        <w:t>did not show any correlation with ESRD (HR: 0.84; 95%CI 0.40-1.76; p=0.65)</w:t>
      </w:r>
    </w:p>
    <w:p w14:paraId="15A570FD" w14:textId="77777777" w:rsidR="0002211B" w:rsidRPr="00E931FB" w:rsidRDefault="0002211B" w:rsidP="00E931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EC66DE" w14:textId="090BF304" w:rsidR="00BB57EA" w:rsidRPr="00E931FB" w:rsidRDefault="00BB57EA" w:rsidP="00E93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1FB">
        <w:rPr>
          <w:rFonts w:ascii="Times New Roman" w:hAnsi="Times New Roman" w:cs="Times New Roman"/>
          <w:b/>
        </w:rPr>
        <w:t>Conclusions</w:t>
      </w:r>
      <w:r w:rsidRPr="00E931FB">
        <w:rPr>
          <w:rFonts w:ascii="Times New Roman" w:hAnsi="Times New Roman" w:cs="Times New Roman"/>
        </w:rPr>
        <w:t xml:space="preserve">: </w:t>
      </w:r>
      <w:r w:rsidR="00DF48AB" w:rsidRPr="00E931FB">
        <w:rPr>
          <w:rFonts w:ascii="Times New Roman" w:hAnsi="Times New Roman" w:cs="Times New Roman"/>
        </w:rPr>
        <w:t>In our c</w:t>
      </w:r>
      <w:r w:rsidR="005B4357" w:rsidRPr="00E931FB">
        <w:rPr>
          <w:rFonts w:ascii="Times New Roman" w:hAnsi="Times New Roman" w:cs="Times New Roman"/>
        </w:rPr>
        <w:t xml:space="preserve">ohort of </w:t>
      </w:r>
      <w:r w:rsidR="00F5473E" w:rsidRPr="00E931FB">
        <w:rPr>
          <w:rFonts w:ascii="Times New Roman" w:hAnsi="Times New Roman" w:cs="Times New Roman"/>
        </w:rPr>
        <w:t xml:space="preserve">advanced </w:t>
      </w:r>
      <w:r w:rsidR="005B0080" w:rsidRPr="00E931FB">
        <w:rPr>
          <w:rFonts w:ascii="Times New Roman" w:hAnsi="Times New Roman" w:cs="Times New Roman"/>
        </w:rPr>
        <w:t>diabetic nephropathy</w:t>
      </w:r>
      <w:r w:rsidR="005B4357" w:rsidRPr="00E931FB">
        <w:rPr>
          <w:rFonts w:ascii="Times New Roman" w:hAnsi="Times New Roman" w:cs="Times New Roman"/>
        </w:rPr>
        <w:t xml:space="preserve"> patients the p</w:t>
      </w:r>
      <w:r w:rsidR="001964FD" w:rsidRPr="00E931FB">
        <w:rPr>
          <w:rFonts w:ascii="Times New Roman" w:hAnsi="Times New Roman" w:cs="Times New Roman"/>
        </w:rPr>
        <w:t xml:space="preserve">resence of </w:t>
      </w:r>
      <w:r w:rsidR="00E362CC" w:rsidRPr="00E931FB">
        <w:rPr>
          <w:rFonts w:ascii="Times New Roman" w:hAnsi="Times New Roman" w:cs="Times New Roman"/>
        </w:rPr>
        <w:t>NAFLD did</w:t>
      </w:r>
      <w:r w:rsidR="008606DB" w:rsidRPr="00E931FB">
        <w:rPr>
          <w:rFonts w:ascii="Times New Roman" w:hAnsi="Times New Roman" w:cs="Times New Roman"/>
        </w:rPr>
        <w:t xml:space="preserve"> n</w:t>
      </w:r>
      <w:r w:rsidR="00A83ADD" w:rsidRPr="00E931FB">
        <w:rPr>
          <w:rFonts w:ascii="Times New Roman" w:hAnsi="Times New Roman" w:cs="Times New Roman"/>
        </w:rPr>
        <w:t>either</w:t>
      </w:r>
      <w:r w:rsidR="00E362CC" w:rsidRPr="00E931FB">
        <w:rPr>
          <w:rFonts w:ascii="Times New Roman" w:hAnsi="Times New Roman" w:cs="Times New Roman"/>
        </w:rPr>
        <w:t xml:space="preserve"> </w:t>
      </w:r>
      <w:r w:rsidR="00EA68B5" w:rsidRPr="00E931FB">
        <w:rPr>
          <w:rFonts w:ascii="Times New Roman" w:hAnsi="Times New Roman" w:cs="Times New Roman"/>
        </w:rPr>
        <w:t>accelerate the rate of</w:t>
      </w:r>
      <w:r w:rsidR="00B90C8E" w:rsidRPr="00E931FB">
        <w:rPr>
          <w:rFonts w:ascii="Times New Roman" w:hAnsi="Times New Roman" w:cs="Times New Roman"/>
        </w:rPr>
        <w:t xml:space="preserve"> </w:t>
      </w:r>
      <w:r w:rsidR="005B4357" w:rsidRPr="00E931FB">
        <w:rPr>
          <w:rFonts w:ascii="Times New Roman" w:hAnsi="Times New Roman" w:cs="Times New Roman"/>
        </w:rPr>
        <w:t>progress</w:t>
      </w:r>
      <w:r w:rsidR="00B90C8E" w:rsidRPr="00E931FB">
        <w:rPr>
          <w:rFonts w:ascii="Times New Roman" w:hAnsi="Times New Roman" w:cs="Times New Roman"/>
        </w:rPr>
        <w:t xml:space="preserve">ion of CKD </w:t>
      </w:r>
      <w:r w:rsidR="00A83ADD" w:rsidRPr="00E931FB">
        <w:rPr>
          <w:rFonts w:ascii="Times New Roman" w:hAnsi="Times New Roman" w:cs="Times New Roman"/>
        </w:rPr>
        <w:t xml:space="preserve">nor showed an </w:t>
      </w:r>
      <w:r w:rsidR="00B90C8E" w:rsidRPr="00E931FB">
        <w:rPr>
          <w:rFonts w:ascii="Times New Roman" w:hAnsi="Times New Roman" w:cs="Times New Roman"/>
        </w:rPr>
        <w:t>associat</w:t>
      </w:r>
      <w:r w:rsidR="00A83ADD" w:rsidRPr="00E931FB">
        <w:rPr>
          <w:rFonts w:ascii="Times New Roman" w:hAnsi="Times New Roman" w:cs="Times New Roman"/>
        </w:rPr>
        <w:t>ion</w:t>
      </w:r>
      <w:r w:rsidR="00B90C8E" w:rsidRPr="00E931FB">
        <w:rPr>
          <w:rFonts w:ascii="Times New Roman" w:hAnsi="Times New Roman" w:cs="Times New Roman"/>
        </w:rPr>
        <w:t xml:space="preserve"> with </w:t>
      </w:r>
      <w:r w:rsidR="008606DB" w:rsidRPr="00E931FB">
        <w:rPr>
          <w:rFonts w:ascii="Times New Roman" w:hAnsi="Times New Roman" w:cs="Times New Roman"/>
        </w:rPr>
        <w:t xml:space="preserve">reaching </w:t>
      </w:r>
      <w:r w:rsidR="00B90C8E" w:rsidRPr="00E931FB">
        <w:rPr>
          <w:rFonts w:ascii="Times New Roman" w:hAnsi="Times New Roman" w:cs="Times New Roman"/>
        </w:rPr>
        <w:t>ESRD.</w:t>
      </w:r>
      <w:r w:rsidR="004C2411" w:rsidRPr="00E931FB">
        <w:rPr>
          <w:rFonts w:ascii="Times New Roman" w:hAnsi="Times New Roman" w:cs="Times New Roman"/>
        </w:rPr>
        <w:t xml:space="preserve"> </w:t>
      </w:r>
    </w:p>
    <w:p w14:paraId="0977299F" w14:textId="3B845C34" w:rsidR="00CD4A39" w:rsidRPr="00E931FB" w:rsidRDefault="00CD4A39" w:rsidP="00B247C5">
      <w:pPr>
        <w:spacing w:after="0" w:line="240" w:lineRule="auto"/>
        <w:rPr>
          <w:rFonts w:ascii="Times New Roman" w:hAnsi="Times New Roman" w:cs="Times New Roman"/>
        </w:rPr>
      </w:pPr>
    </w:p>
    <w:p w14:paraId="26A4A4D2" w14:textId="2532ED76" w:rsidR="00F16DB8" w:rsidRPr="00E931FB" w:rsidRDefault="00713CE3" w:rsidP="00B247C5">
      <w:pPr>
        <w:spacing w:after="0" w:line="240" w:lineRule="auto"/>
        <w:rPr>
          <w:rFonts w:ascii="Times New Roman" w:hAnsi="Times New Roman" w:cs="Times New Roman"/>
        </w:rPr>
      </w:pPr>
      <w:r w:rsidRPr="00E931FB">
        <w:rPr>
          <w:rFonts w:ascii="Times New Roman" w:hAnsi="Times New Roman" w:cs="Times New Roman"/>
        </w:rPr>
        <w:t>Table</w:t>
      </w:r>
      <w:r w:rsidR="00CD4A39" w:rsidRPr="00E931FB">
        <w:rPr>
          <w:rFonts w:ascii="Times New Roman" w:hAnsi="Times New Roman" w:cs="Times New Roman"/>
        </w:rPr>
        <w:t>-1: Baseline Characteristics</w:t>
      </w:r>
    </w:p>
    <w:tbl>
      <w:tblPr>
        <w:tblStyle w:val="TableGrid"/>
        <w:tblW w:w="8966" w:type="dxa"/>
        <w:tblLook w:val="04A0" w:firstRow="1" w:lastRow="0" w:firstColumn="1" w:lastColumn="0" w:noHBand="0" w:noVBand="1"/>
      </w:tblPr>
      <w:tblGrid>
        <w:gridCol w:w="3539"/>
        <w:gridCol w:w="1780"/>
        <w:gridCol w:w="2001"/>
        <w:gridCol w:w="1646"/>
      </w:tblGrid>
      <w:tr w:rsidR="00E931FB" w:rsidRPr="00E931FB" w14:paraId="7502AAEA" w14:textId="77777777" w:rsidTr="00162213">
        <w:trPr>
          <w:trHeight w:val="242"/>
        </w:trPr>
        <w:tc>
          <w:tcPr>
            <w:tcW w:w="3539" w:type="dxa"/>
          </w:tcPr>
          <w:p w14:paraId="420BAAF1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1780" w:type="dxa"/>
          </w:tcPr>
          <w:p w14:paraId="2E025902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NAFLD</w:t>
            </w:r>
          </w:p>
          <w:p w14:paraId="0FC5CB25" w14:textId="677DD330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 xml:space="preserve">n=48 </w:t>
            </w:r>
          </w:p>
        </w:tc>
        <w:tc>
          <w:tcPr>
            <w:tcW w:w="2001" w:type="dxa"/>
          </w:tcPr>
          <w:p w14:paraId="20549250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 xml:space="preserve">NORMAL </w:t>
            </w:r>
          </w:p>
          <w:p w14:paraId="320F044A" w14:textId="2B1D5BB9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 xml:space="preserve">n=101 </w:t>
            </w:r>
          </w:p>
        </w:tc>
        <w:tc>
          <w:tcPr>
            <w:tcW w:w="1646" w:type="dxa"/>
          </w:tcPr>
          <w:p w14:paraId="0524470E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P-VALUE</w:t>
            </w:r>
          </w:p>
          <w:p w14:paraId="5BC69217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 xml:space="preserve">NAFLD </w:t>
            </w:r>
          </w:p>
          <w:p w14:paraId="6BDF6A6C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vs Normal</w:t>
            </w:r>
          </w:p>
        </w:tc>
      </w:tr>
      <w:tr w:rsidR="00E931FB" w:rsidRPr="00E931FB" w14:paraId="69940061" w14:textId="77777777" w:rsidTr="00162213">
        <w:trPr>
          <w:trHeight w:val="162"/>
        </w:trPr>
        <w:tc>
          <w:tcPr>
            <w:tcW w:w="3539" w:type="dxa"/>
          </w:tcPr>
          <w:p w14:paraId="08314B75" w14:textId="480EF8FC" w:rsidR="00E931FB" w:rsidRPr="00E931FB" w:rsidRDefault="00162213" w:rsidP="00A36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E931FB" w:rsidRPr="00E931FB">
              <w:rPr>
                <w:rFonts w:ascii="Times New Roman" w:hAnsi="Times New Roman" w:cs="Times New Roman"/>
              </w:rPr>
              <w:t>MI</w:t>
            </w:r>
            <w:r w:rsidR="00A36DCF">
              <w:rPr>
                <w:rFonts w:ascii="Times New Roman" w:hAnsi="Times New Roman" w:cs="Times New Roman"/>
              </w:rPr>
              <w:t xml:space="preserve">, </w:t>
            </w:r>
            <w:bookmarkStart w:id="2" w:name="_GoBack"/>
            <w:bookmarkEnd w:id="2"/>
            <w:r w:rsidR="00E931FB" w:rsidRPr="00E931FB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780" w:type="dxa"/>
          </w:tcPr>
          <w:p w14:paraId="3B9DCE5D" w14:textId="2AF204D7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31.6 (28.7- 35.1)</w:t>
            </w:r>
          </w:p>
        </w:tc>
        <w:tc>
          <w:tcPr>
            <w:tcW w:w="2001" w:type="dxa"/>
          </w:tcPr>
          <w:p w14:paraId="30029150" w14:textId="1DE1D91C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29.41 (25.9-34.08)</w:t>
            </w:r>
          </w:p>
        </w:tc>
        <w:tc>
          <w:tcPr>
            <w:tcW w:w="1646" w:type="dxa"/>
          </w:tcPr>
          <w:p w14:paraId="6D8D877F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0.040</w:t>
            </w:r>
          </w:p>
        </w:tc>
      </w:tr>
      <w:tr w:rsidR="00E931FB" w:rsidRPr="00E931FB" w14:paraId="1304596A" w14:textId="77777777" w:rsidTr="00162213">
        <w:trPr>
          <w:trHeight w:val="120"/>
        </w:trPr>
        <w:tc>
          <w:tcPr>
            <w:tcW w:w="3539" w:type="dxa"/>
          </w:tcPr>
          <w:p w14:paraId="786CB869" w14:textId="77777777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 xml:space="preserve">H/o Hypertension </w:t>
            </w:r>
          </w:p>
        </w:tc>
        <w:tc>
          <w:tcPr>
            <w:tcW w:w="1780" w:type="dxa"/>
          </w:tcPr>
          <w:p w14:paraId="4FDB00C5" w14:textId="21B07FF4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47 (97.9%)</w:t>
            </w:r>
          </w:p>
        </w:tc>
        <w:tc>
          <w:tcPr>
            <w:tcW w:w="2001" w:type="dxa"/>
          </w:tcPr>
          <w:p w14:paraId="1FB96D32" w14:textId="7C52B9BF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83 (82%)</w:t>
            </w:r>
          </w:p>
        </w:tc>
        <w:tc>
          <w:tcPr>
            <w:tcW w:w="1646" w:type="dxa"/>
          </w:tcPr>
          <w:p w14:paraId="279ED2A9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0.007</w:t>
            </w:r>
          </w:p>
        </w:tc>
      </w:tr>
      <w:tr w:rsidR="00E931FB" w:rsidRPr="00E931FB" w14:paraId="100CAFA2" w14:textId="77777777" w:rsidTr="00162213">
        <w:trPr>
          <w:trHeight w:val="157"/>
        </w:trPr>
        <w:tc>
          <w:tcPr>
            <w:tcW w:w="3539" w:type="dxa"/>
          </w:tcPr>
          <w:p w14:paraId="28E6FDF1" w14:textId="77777777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H/o Hypercholesterolemia</w:t>
            </w:r>
          </w:p>
        </w:tc>
        <w:tc>
          <w:tcPr>
            <w:tcW w:w="1780" w:type="dxa"/>
          </w:tcPr>
          <w:p w14:paraId="2839BF13" w14:textId="0B2970EF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43 (89.5%)</w:t>
            </w:r>
          </w:p>
        </w:tc>
        <w:tc>
          <w:tcPr>
            <w:tcW w:w="2001" w:type="dxa"/>
          </w:tcPr>
          <w:p w14:paraId="4A63F5D2" w14:textId="0CACC588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75 (74.2%)</w:t>
            </w:r>
          </w:p>
        </w:tc>
        <w:tc>
          <w:tcPr>
            <w:tcW w:w="1646" w:type="dxa"/>
          </w:tcPr>
          <w:p w14:paraId="77DA62C9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0.031</w:t>
            </w:r>
          </w:p>
        </w:tc>
      </w:tr>
      <w:tr w:rsidR="00E931FB" w:rsidRPr="00E931FB" w14:paraId="2ECEDFDB" w14:textId="77777777" w:rsidTr="00162213">
        <w:trPr>
          <w:trHeight w:val="77"/>
        </w:trPr>
        <w:tc>
          <w:tcPr>
            <w:tcW w:w="3539" w:type="dxa"/>
          </w:tcPr>
          <w:p w14:paraId="248A6C8B" w14:textId="6D0D6541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H/o Ischemic Heart Disease</w:t>
            </w:r>
          </w:p>
        </w:tc>
        <w:tc>
          <w:tcPr>
            <w:tcW w:w="1780" w:type="dxa"/>
          </w:tcPr>
          <w:p w14:paraId="6B1947FC" w14:textId="4FDE4AA1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24 (50%)</w:t>
            </w:r>
          </w:p>
        </w:tc>
        <w:tc>
          <w:tcPr>
            <w:tcW w:w="2001" w:type="dxa"/>
          </w:tcPr>
          <w:p w14:paraId="43EB6EFB" w14:textId="5B22B0AC" w:rsidR="00E931FB" w:rsidRPr="00E931FB" w:rsidRDefault="00E931FB" w:rsidP="00273C0B">
            <w:pPr>
              <w:rPr>
                <w:rFonts w:ascii="Times New Roman" w:hAnsi="Times New Roman" w:cs="Times New Roman"/>
              </w:rPr>
            </w:pPr>
            <w:r w:rsidRPr="00E931FB">
              <w:rPr>
                <w:rFonts w:ascii="Times New Roman" w:hAnsi="Times New Roman" w:cs="Times New Roman"/>
              </w:rPr>
              <w:t>27 (26.7%)</w:t>
            </w:r>
          </w:p>
        </w:tc>
        <w:tc>
          <w:tcPr>
            <w:tcW w:w="1646" w:type="dxa"/>
          </w:tcPr>
          <w:p w14:paraId="3A0D6455" w14:textId="77777777" w:rsidR="00E931FB" w:rsidRPr="00E931FB" w:rsidRDefault="00E931FB" w:rsidP="00273C0B">
            <w:pPr>
              <w:rPr>
                <w:rFonts w:ascii="Times New Roman" w:hAnsi="Times New Roman" w:cs="Times New Roman"/>
                <w:b/>
              </w:rPr>
            </w:pPr>
            <w:r w:rsidRPr="00E931FB">
              <w:rPr>
                <w:rFonts w:ascii="Times New Roman" w:hAnsi="Times New Roman" w:cs="Times New Roman"/>
                <w:b/>
              </w:rPr>
              <w:t>0.005</w:t>
            </w:r>
          </w:p>
        </w:tc>
      </w:tr>
    </w:tbl>
    <w:p w14:paraId="1EEF940E" w14:textId="1F77C6A9" w:rsidR="00F16DB8" w:rsidRPr="00E931FB" w:rsidRDefault="00F16DB8" w:rsidP="00B247C5">
      <w:pPr>
        <w:spacing w:after="0" w:line="240" w:lineRule="auto"/>
        <w:rPr>
          <w:rFonts w:ascii="Times New Roman" w:hAnsi="Times New Roman" w:cs="Times New Roman"/>
        </w:rPr>
      </w:pPr>
    </w:p>
    <w:bookmarkEnd w:id="1"/>
    <w:p w14:paraId="415A770B" w14:textId="77777777" w:rsidR="00713CE3" w:rsidRDefault="00713CE3" w:rsidP="0071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5AD0C" w14:textId="77777777" w:rsidR="00713CE3" w:rsidRDefault="00713CE3" w:rsidP="00713C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6D1A424" w14:textId="4D8C0499" w:rsidR="00713CE3" w:rsidRDefault="00713CE3" w:rsidP="0071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B6C0" w14:textId="77777777" w:rsidR="00713CE3" w:rsidRDefault="00713CE3" w:rsidP="0071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983AC" w14:textId="77777777" w:rsidR="00713CE3" w:rsidRDefault="00713CE3" w:rsidP="00713C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E05AFB" w14:textId="48B037FC" w:rsidR="00D167D1" w:rsidRPr="00E1682C" w:rsidRDefault="00D167D1" w:rsidP="00F8520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sectPr w:rsidR="00D167D1" w:rsidRPr="00E1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6EA"/>
    <w:multiLevelType w:val="multilevel"/>
    <w:tmpl w:val="8486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1E"/>
    <w:rsid w:val="00021C71"/>
    <w:rsid w:val="0002211B"/>
    <w:rsid w:val="00117337"/>
    <w:rsid w:val="00162213"/>
    <w:rsid w:val="00163357"/>
    <w:rsid w:val="001964FD"/>
    <w:rsid w:val="001F3609"/>
    <w:rsid w:val="002139F5"/>
    <w:rsid w:val="002142B5"/>
    <w:rsid w:val="00242508"/>
    <w:rsid w:val="00290202"/>
    <w:rsid w:val="002F2FB2"/>
    <w:rsid w:val="00361BF7"/>
    <w:rsid w:val="00370A74"/>
    <w:rsid w:val="003B312C"/>
    <w:rsid w:val="003B5C80"/>
    <w:rsid w:val="003D03F2"/>
    <w:rsid w:val="00413319"/>
    <w:rsid w:val="00421047"/>
    <w:rsid w:val="004272BB"/>
    <w:rsid w:val="00451DD1"/>
    <w:rsid w:val="004971EC"/>
    <w:rsid w:val="004C2411"/>
    <w:rsid w:val="00507ED6"/>
    <w:rsid w:val="00560D86"/>
    <w:rsid w:val="005757EA"/>
    <w:rsid w:val="005B0080"/>
    <w:rsid w:val="005B4357"/>
    <w:rsid w:val="005C0064"/>
    <w:rsid w:val="005F5F08"/>
    <w:rsid w:val="00644630"/>
    <w:rsid w:val="006634B6"/>
    <w:rsid w:val="00680CF9"/>
    <w:rsid w:val="00693501"/>
    <w:rsid w:val="006D0C5B"/>
    <w:rsid w:val="00713CE3"/>
    <w:rsid w:val="007D59B9"/>
    <w:rsid w:val="00812CDD"/>
    <w:rsid w:val="00826ED5"/>
    <w:rsid w:val="0083484A"/>
    <w:rsid w:val="00841082"/>
    <w:rsid w:val="008606DB"/>
    <w:rsid w:val="00876C53"/>
    <w:rsid w:val="00894C59"/>
    <w:rsid w:val="008B02DB"/>
    <w:rsid w:val="008B5F18"/>
    <w:rsid w:val="008C5C84"/>
    <w:rsid w:val="008D777B"/>
    <w:rsid w:val="0090530E"/>
    <w:rsid w:val="009A0C6F"/>
    <w:rsid w:val="00A01A5A"/>
    <w:rsid w:val="00A1604D"/>
    <w:rsid w:val="00A20988"/>
    <w:rsid w:val="00A36DCF"/>
    <w:rsid w:val="00A527AD"/>
    <w:rsid w:val="00A83ADD"/>
    <w:rsid w:val="00A96338"/>
    <w:rsid w:val="00AB5DE7"/>
    <w:rsid w:val="00AC2118"/>
    <w:rsid w:val="00AD2D94"/>
    <w:rsid w:val="00B016C3"/>
    <w:rsid w:val="00B247C5"/>
    <w:rsid w:val="00B3091E"/>
    <w:rsid w:val="00B670F7"/>
    <w:rsid w:val="00B77082"/>
    <w:rsid w:val="00B90C8E"/>
    <w:rsid w:val="00BA5719"/>
    <w:rsid w:val="00BB57EA"/>
    <w:rsid w:val="00C02FB8"/>
    <w:rsid w:val="00C426ED"/>
    <w:rsid w:val="00C55399"/>
    <w:rsid w:val="00CD4A39"/>
    <w:rsid w:val="00CD51C4"/>
    <w:rsid w:val="00CF5281"/>
    <w:rsid w:val="00D167D1"/>
    <w:rsid w:val="00D203C1"/>
    <w:rsid w:val="00D27058"/>
    <w:rsid w:val="00D27A67"/>
    <w:rsid w:val="00D531D6"/>
    <w:rsid w:val="00D9211E"/>
    <w:rsid w:val="00DA1BC2"/>
    <w:rsid w:val="00DF48AB"/>
    <w:rsid w:val="00E1430D"/>
    <w:rsid w:val="00E1682C"/>
    <w:rsid w:val="00E362CC"/>
    <w:rsid w:val="00E41DFC"/>
    <w:rsid w:val="00E4660E"/>
    <w:rsid w:val="00E51342"/>
    <w:rsid w:val="00E53A9C"/>
    <w:rsid w:val="00E634DF"/>
    <w:rsid w:val="00E931FB"/>
    <w:rsid w:val="00EA68B5"/>
    <w:rsid w:val="00EC4C67"/>
    <w:rsid w:val="00ED08F2"/>
    <w:rsid w:val="00F16DB8"/>
    <w:rsid w:val="00F5473E"/>
    <w:rsid w:val="00F85200"/>
    <w:rsid w:val="00F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3788"/>
  <w15:docId w15:val="{73C5DDC6-1602-4C4A-A67B-F2D85A3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3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453E-C44C-4506-BDA7-358E3452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CHINNADURAI</dc:creator>
  <cp:keywords/>
  <dc:description/>
  <cp:lastModifiedBy>RAJKUMAR CHINNADURAI</cp:lastModifiedBy>
  <cp:revision>20</cp:revision>
  <dcterms:created xsi:type="dcterms:W3CDTF">2017-10-18T09:01:00Z</dcterms:created>
  <dcterms:modified xsi:type="dcterms:W3CDTF">2018-01-31T21:35:00Z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Harvard - Cite Them Right 9th edition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d6bc973f-1e75-3592-ac7b-fdad99bc3188</vt:lpwstr>
  </property>
  <property fmtid="{D5CDD505-2E9C-101B-9397-08002B2CF9AE}" pid="24" name="Mendeley Citation Style_1">
    <vt:lpwstr>http://www.zotero.org/styles/harvard1</vt:lpwstr>
  </property>
</Properties>
</file>