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F2" w:rsidRPr="003C532B" w:rsidRDefault="00F202F2">
      <w:bookmarkStart w:id="0" w:name="_GoBack"/>
      <w:bookmarkEnd w:id="0"/>
      <w:r w:rsidRPr="00E349B2">
        <w:rPr>
          <w:b/>
        </w:rPr>
        <w:t>Title</w:t>
      </w:r>
    </w:p>
    <w:p w:rsidR="002363E5" w:rsidRDefault="002363E5">
      <w:r>
        <w:t xml:space="preserve">The role of the </w:t>
      </w:r>
      <w:r w:rsidR="00E349B2">
        <w:t xml:space="preserve">methyltransferase </w:t>
      </w:r>
      <w:r>
        <w:t>SET</w:t>
      </w:r>
      <w:r w:rsidR="00E349B2">
        <w:t>DB1</w:t>
      </w:r>
      <w:r>
        <w:t xml:space="preserve"> in Chronic Kidney Disease</w:t>
      </w:r>
    </w:p>
    <w:p w:rsidR="00F202F2" w:rsidRDefault="00F202F2"/>
    <w:p w:rsidR="00F202F2" w:rsidRPr="00E349B2" w:rsidRDefault="00F202F2">
      <w:pPr>
        <w:rPr>
          <w:b/>
        </w:rPr>
      </w:pPr>
      <w:r w:rsidRPr="00E349B2">
        <w:rPr>
          <w:b/>
        </w:rPr>
        <w:t>Background</w:t>
      </w:r>
    </w:p>
    <w:p w:rsidR="00B22DF7" w:rsidRDefault="005B7BDE">
      <w:r>
        <w:t xml:space="preserve">Chronic Kidney Disease (CKD) is characterised by the expression of </w:t>
      </w:r>
      <w:proofErr w:type="spellStart"/>
      <w:r>
        <w:t>aSMA</w:t>
      </w:r>
      <w:proofErr w:type="spellEnd"/>
      <w:r>
        <w:t xml:space="preserve"> from</w:t>
      </w:r>
      <w:r w:rsidR="004F5CC0">
        <w:t xml:space="preserve"> the </w:t>
      </w:r>
      <w:r w:rsidR="006E1C93">
        <w:t>aberrant</w:t>
      </w:r>
      <w:r>
        <w:t xml:space="preserve"> </w:t>
      </w:r>
      <w:r w:rsidR="00DB6573">
        <w:t>infiltr</w:t>
      </w:r>
      <w:r w:rsidR="004F5CC0">
        <w:t>ation of</w:t>
      </w:r>
      <w:r w:rsidR="00DB6573">
        <w:t xml:space="preserve"> </w:t>
      </w:r>
      <w:proofErr w:type="spellStart"/>
      <w:r>
        <w:t>myofibroblasts</w:t>
      </w:r>
      <w:proofErr w:type="spellEnd"/>
      <w:r>
        <w:t xml:space="preserve">. </w:t>
      </w:r>
      <w:r w:rsidR="00DB6573">
        <w:t xml:space="preserve">This results in </w:t>
      </w:r>
      <w:r w:rsidR="004F5CC0">
        <w:t xml:space="preserve">the </w:t>
      </w:r>
      <w:r w:rsidR="00DB6573">
        <w:t>deposition of ECM proteins</w:t>
      </w:r>
      <w:r w:rsidR="004F5CC0">
        <w:t xml:space="preserve">, replacing normal kidney tissue and </w:t>
      </w:r>
      <w:r w:rsidR="00DB6573">
        <w:t>causing fibrosis</w:t>
      </w:r>
      <w:r w:rsidR="006E1C93">
        <w:t>,</w:t>
      </w:r>
      <w:r w:rsidR="00DB6573">
        <w:t xml:space="preserve"> </w:t>
      </w:r>
      <w:r w:rsidR="006E1C93">
        <w:t>which subsequently leads</w:t>
      </w:r>
      <w:r w:rsidR="00DB6573">
        <w:t xml:space="preserve"> to organ failure. </w:t>
      </w:r>
    </w:p>
    <w:p w:rsidR="002363E5" w:rsidRDefault="00A56953">
      <w:r>
        <w:t>TGF</w:t>
      </w:r>
      <w:r>
        <w:sym w:font="Symbol" w:char="F062"/>
      </w:r>
      <w:r w:rsidR="002D1B7F">
        <w:t xml:space="preserve">1 has been found to play a major role in the </w:t>
      </w:r>
      <w:r w:rsidR="004F5CC0">
        <w:t xml:space="preserve">persistent </w:t>
      </w:r>
      <w:r w:rsidR="002D1B7F">
        <w:t>activation and proliferation of fibroblasts leading to fibrosis.</w:t>
      </w:r>
    </w:p>
    <w:p w:rsidR="006E1C93" w:rsidRDefault="00A56953">
      <w:r>
        <w:t>TGF</w:t>
      </w:r>
      <w:r>
        <w:sym w:font="Symbol" w:char="F062"/>
      </w:r>
      <w:r w:rsidR="006E1C93" w:rsidRPr="006E1C93">
        <w:t>1 signal</w:t>
      </w:r>
      <w:r w:rsidR="006E1C93">
        <w:t>s</w:t>
      </w:r>
      <w:r w:rsidR="006E1C93" w:rsidRPr="006E1C93">
        <w:t xml:space="preserve"> through </w:t>
      </w:r>
      <w:r w:rsidR="00DA2820">
        <w:t xml:space="preserve">transmembrane </w:t>
      </w:r>
      <w:r w:rsidR="006E1C93" w:rsidRPr="006E1C93">
        <w:t xml:space="preserve">serine-threonine kinase </w:t>
      </w:r>
      <w:r w:rsidR="00DA2820">
        <w:t xml:space="preserve">type I and II </w:t>
      </w:r>
      <w:r w:rsidR="006E1C93" w:rsidRPr="006E1C93">
        <w:t>receptors</w:t>
      </w:r>
      <w:r w:rsidR="00F528B7">
        <w:t xml:space="preserve"> to</w:t>
      </w:r>
      <w:r w:rsidR="006E1C93" w:rsidRPr="006E1C93">
        <w:t xml:space="preserve"> phosphorylate </w:t>
      </w:r>
      <w:r w:rsidR="006E1C93">
        <w:t xml:space="preserve">SMAD3, a </w:t>
      </w:r>
      <w:r w:rsidR="006E1C93" w:rsidRPr="006E1C93">
        <w:t>downstream intracellular receptor-regulated SMAD</w:t>
      </w:r>
      <w:r w:rsidR="006E1C93">
        <w:t xml:space="preserve"> pr</w:t>
      </w:r>
      <w:r w:rsidR="008E44F8">
        <w:t>otein</w:t>
      </w:r>
      <w:r w:rsidR="006E1C93">
        <w:t xml:space="preserve"> (R-SMAD). Upon phosphorylation, activated SMAD3 </w:t>
      </w:r>
      <w:proofErr w:type="spellStart"/>
      <w:r w:rsidR="006E1C93">
        <w:t>translocates</w:t>
      </w:r>
      <w:proofErr w:type="spellEnd"/>
      <w:r w:rsidR="006E1C93">
        <w:t xml:space="preserve"> to the nucleus to regulate</w:t>
      </w:r>
      <w:r w:rsidR="00DA2820">
        <w:t xml:space="preserve"> the transcription of </w:t>
      </w:r>
      <w:r>
        <w:t xml:space="preserve">fibrotic genes such as </w:t>
      </w:r>
      <w:r>
        <w:rPr>
          <w:rFonts w:ascii="Times New Roman" w:hAnsi="Times New Roman" w:cs="Times New Roman"/>
        </w:rPr>
        <w:t>α</w:t>
      </w:r>
      <w:r>
        <w:t>SMA and c</w:t>
      </w:r>
      <w:r w:rsidR="00DA2820">
        <w:t>ollagen. Studies have shown SMAD3</w:t>
      </w:r>
      <w:r w:rsidR="00F528B7">
        <w:t xml:space="preserve"> to have</w:t>
      </w:r>
      <w:r w:rsidR="00DA2820">
        <w:t xml:space="preserve"> a</w:t>
      </w:r>
      <w:r w:rsidR="00F528B7">
        <w:t xml:space="preserve">n important role in fibrosis, SMAD3 null mice are resistant </w:t>
      </w:r>
      <w:r w:rsidR="008E44F8">
        <w:t xml:space="preserve">to </w:t>
      </w:r>
      <w:proofErr w:type="spellStart"/>
      <w:r w:rsidR="008E44F8">
        <w:t>tubulointerstitial</w:t>
      </w:r>
      <w:proofErr w:type="spellEnd"/>
      <w:r w:rsidR="00F528B7">
        <w:t xml:space="preserve"> fibrosis and glomerular fibrosis. </w:t>
      </w:r>
      <w:r w:rsidR="00DA2820">
        <w:t xml:space="preserve"> </w:t>
      </w:r>
    </w:p>
    <w:p w:rsidR="00102561" w:rsidRDefault="00102561">
      <w:r w:rsidRPr="00102561">
        <w:t>ERG-assoc</w:t>
      </w:r>
      <w:r>
        <w:t>iated protein with SET domain (</w:t>
      </w:r>
      <w:r w:rsidRPr="00102561">
        <w:t>SET</w:t>
      </w:r>
      <w:r>
        <w:t>DB1</w:t>
      </w:r>
      <w:r w:rsidRPr="00102561">
        <w:t xml:space="preserve">), a methyltransferase, has been shown to mediate histone H3 lysine-9 (H3K9) </w:t>
      </w:r>
      <w:proofErr w:type="spellStart"/>
      <w:r w:rsidRPr="00102561">
        <w:t>trimethylation</w:t>
      </w:r>
      <w:proofErr w:type="spellEnd"/>
      <w:r w:rsidRPr="00102561">
        <w:t xml:space="preserve">, gene silencing and transcriptional repression. H3K9 </w:t>
      </w:r>
      <w:proofErr w:type="spellStart"/>
      <w:r w:rsidRPr="00102561">
        <w:t>trimethylation</w:t>
      </w:r>
      <w:proofErr w:type="spellEnd"/>
      <w:r w:rsidRPr="00102561">
        <w:t xml:space="preserve"> is an epigenetic modification associated with transcriptional repression by recruiting HP1 proteins (amongst other transcriptional factors) to methylated histones.</w:t>
      </w:r>
    </w:p>
    <w:p w:rsidR="00E349B2" w:rsidRDefault="003C5098">
      <w:r>
        <w:t>Here we identify the involvement of the</w:t>
      </w:r>
      <w:r w:rsidR="00E349B2">
        <w:t xml:space="preserve"> methyltransferase </w:t>
      </w:r>
      <w:r>
        <w:t>SET</w:t>
      </w:r>
      <w:r w:rsidR="00E349B2">
        <w:t>DB1</w:t>
      </w:r>
      <w:r>
        <w:t xml:space="preserve"> </w:t>
      </w:r>
      <w:r w:rsidR="00A56953">
        <w:t>in the TGF</w:t>
      </w:r>
      <w:r w:rsidR="00A56953">
        <w:sym w:font="Symbol" w:char="F062"/>
      </w:r>
      <w:r>
        <w:t>1</w:t>
      </w:r>
      <w:r w:rsidR="00F35C93">
        <w:t>/SMAD</w:t>
      </w:r>
      <w:r w:rsidR="00A56953">
        <w:t>3</w:t>
      </w:r>
      <w:r>
        <w:t xml:space="preserve"> pathway in relation to renal fibrosis. </w:t>
      </w:r>
    </w:p>
    <w:p w:rsidR="00F202F2" w:rsidRDefault="00F202F2"/>
    <w:p w:rsidR="00F202F2" w:rsidRDefault="00F202F2">
      <w:pPr>
        <w:rPr>
          <w:b/>
        </w:rPr>
      </w:pPr>
      <w:r w:rsidRPr="00E349B2">
        <w:rPr>
          <w:b/>
        </w:rPr>
        <w:t>Methods</w:t>
      </w:r>
    </w:p>
    <w:p w:rsidR="00E349B2" w:rsidRDefault="00D96561" w:rsidP="00E349B2">
      <w:r w:rsidRPr="00D96561">
        <w:rPr>
          <w:b/>
        </w:rPr>
        <w:t>Luciferase Screen</w:t>
      </w:r>
      <w:r>
        <w:rPr>
          <w:b/>
        </w:rPr>
        <w:t xml:space="preserve">. </w:t>
      </w:r>
      <w:r w:rsidR="00E349B2">
        <w:t xml:space="preserve">3 pooled siRNAs targeting 48 known </w:t>
      </w:r>
      <w:proofErr w:type="spellStart"/>
      <w:r w:rsidR="00E349B2">
        <w:t>methytransferases</w:t>
      </w:r>
      <w:proofErr w:type="spellEnd"/>
      <w:r w:rsidR="00E349B2">
        <w:t xml:space="preserve"> were transfected into human renal epithelial cells s</w:t>
      </w:r>
      <w:r w:rsidR="002A46E6">
        <w:t>tably transfected with the TGFβ</w:t>
      </w:r>
      <w:r w:rsidR="00E349B2">
        <w:t>1 reporter pCAGA12-luc</w:t>
      </w:r>
      <w:r>
        <w:t xml:space="preserve">. </w:t>
      </w:r>
      <w:r w:rsidR="00E349B2">
        <w:t xml:space="preserve">Controls were </w:t>
      </w:r>
      <w:proofErr w:type="spellStart"/>
      <w:r w:rsidR="00E349B2">
        <w:t>untransfected</w:t>
      </w:r>
      <w:proofErr w:type="spellEnd"/>
      <w:r w:rsidR="00E349B2">
        <w:t xml:space="preserve"> cells (UT), scrambled siRNA (SCR) and SMAD3 si</w:t>
      </w:r>
      <w:r w:rsidR="002A46E6">
        <w:t>RNA with or without 1ng/ml TGFβ</w:t>
      </w:r>
      <w:r w:rsidR="00E349B2">
        <w:t xml:space="preserve">1. The cells were transfected with 25nM </w:t>
      </w:r>
      <w:proofErr w:type="spellStart"/>
      <w:r w:rsidR="00E349B2">
        <w:t>methytransferase</w:t>
      </w:r>
      <w:proofErr w:type="spellEnd"/>
      <w:r w:rsidR="00E349B2">
        <w:t xml:space="preserve"> siRNA</w:t>
      </w:r>
      <w:r w:rsidR="002A46E6">
        <w:t>s then treated with 1ng/ml TGFβ</w:t>
      </w:r>
      <w:r w:rsidR="00E349B2">
        <w:t xml:space="preserve">1 for 24h. </w:t>
      </w:r>
    </w:p>
    <w:p w:rsidR="00D96561" w:rsidRDefault="00D96561" w:rsidP="00E349B2">
      <w:r w:rsidRPr="00EA404F">
        <w:rPr>
          <w:b/>
        </w:rPr>
        <w:t>Immunoprecipitation.</w:t>
      </w:r>
      <w:r>
        <w:t xml:space="preserve"> Human renal epithelial cells were starved in serum free medium for 36h then treated with or without 10ng/ml </w:t>
      </w:r>
      <w:r w:rsidR="007822A9">
        <w:t>TGF</w:t>
      </w:r>
      <w:r w:rsidR="007822A9">
        <w:sym w:font="Symbol" w:char="F062"/>
      </w:r>
      <w:r>
        <w:t>1 for 48h. Immunoprecipitation of SETDB1 was performed on nuclear fractions</w:t>
      </w:r>
      <w:r w:rsidR="007822A9">
        <w:t>.</w:t>
      </w:r>
    </w:p>
    <w:p w:rsidR="007822A9" w:rsidRDefault="00EA404F" w:rsidP="00E349B2">
      <w:r w:rsidRPr="00EA404F">
        <w:rPr>
          <w:b/>
        </w:rPr>
        <w:t>Immunofluorescence.</w:t>
      </w:r>
      <w:r>
        <w:t xml:space="preserve"> </w:t>
      </w:r>
      <w:r w:rsidR="007822A9" w:rsidRPr="00B354A3">
        <w:t>Human renal epithelial cells were</w:t>
      </w:r>
      <w:r w:rsidR="007822A9">
        <w:t xml:space="preserve"> starved in serum free medium </w:t>
      </w:r>
      <w:r w:rsidR="002A46E6">
        <w:t xml:space="preserve">for 36h </w:t>
      </w:r>
      <w:r w:rsidR="007822A9">
        <w:t>then</w:t>
      </w:r>
      <w:r w:rsidR="007822A9" w:rsidRPr="00B354A3">
        <w:t xml:space="preserve"> treated with </w:t>
      </w:r>
      <w:r w:rsidR="007822A9">
        <w:t>or</w:t>
      </w:r>
      <w:r w:rsidR="007822A9" w:rsidRPr="00B354A3">
        <w:t xml:space="preserve"> without</w:t>
      </w:r>
      <w:r w:rsidR="007822A9">
        <w:t xml:space="preserve"> 10ng/ml</w:t>
      </w:r>
      <w:r w:rsidR="007822A9" w:rsidRPr="00B354A3">
        <w:t xml:space="preserve"> TGF</w:t>
      </w:r>
      <w:r w:rsidR="007822A9" w:rsidRPr="00B354A3">
        <w:sym w:font="Symbol" w:char="F062"/>
      </w:r>
      <w:r w:rsidR="007822A9">
        <w:t xml:space="preserve">1 for 48h then subjected to dual-immunofluorescence using SMAD3 and SETDB1 primary antibodies and Alexa Fluor 568 (red) and 488 (green), respectively. </w:t>
      </w:r>
    </w:p>
    <w:p w:rsidR="00467B97" w:rsidRPr="00B354A3" w:rsidRDefault="00467B97" w:rsidP="00467B97">
      <w:r>
        <w:t xml:space="preserve">Human </w:t>
      </w:r>
      <w:r w:rsidR="00EA404F">
        <w:t>primary renal fibroblasts</w:t>
      </w:r>
      <w:r>
        <w:t xml:space="preserve"> were transfected with either a SCR control siRNA or SETDB1 siRNA at 40nM concentration then treated with 10ng/ml TGF</w:t>
      </w:r>
      <w:r>
        <w:sym w:font="Symbol" w:char="F062"/>
      </w:r>
      <w:r>
        <w:t xml:space="preserve">1 for 48h </w:t>
      </w:r>
      <w:r w:rsidR="002A46E6">
        <w:t>and</w:t>
      </w:r>
      <w:r>
        <w:t xml:space="preserve"> subjected to immunofluorescence staining for </w:t>
      </w:r>
      <w:proofErr w:type="spellStart"/>
      <w:r>
        <w:t>aSMA</w:t>
      </w:r>
      <w:proofErr w:type="spellEnd"/>
      <w:r>
        <w:t xml:space="preserve"> primary antibody then Alexa Fluor 488. </w:t>
      </w:r>
    </w:p>
    <w:p w:rsidR="00467B97" w:rsidRPr="00D96561" w:rsidRDefault="00467B97" w:rsidP="00E349B2">
      <w:pPr>
        <w:rPr>
          <w:b/>
        </w:rPr>
      </w:pPr>
    </w:p>
    <w:p w:rsidR="00F202F2" w:rsidRDefault="00F202F2"/>
    <w:p w:rsidR="00F202F2" w:rsidRPr="00E349B2" w:rsidRDefault="00F202F2">
      <w:pPr>
        <w:rPr>
          <w:b/>
        </w:rPr>
      </w:pPr>
      <w:r w:rsidRPr="00E349B2">
        <w:rPr>
          <w:b/>
        </w:rPr>
        <w:lastRenderedPageBreak/>
        <w:t>Results</w:t>
      </w:r>
    </w:p>
    <w:p w:rsidR="00E349B2" w:rsidRDefault="00E349B2" w:rsidP="00E349B2">
      <w:r>
        <w:t>A siRNA library screen targeting human methyltransferases was undertaken to identify potential methyltransferases involv</w:t>
      </w:r>
      <w:r w:rsidR="00A56953">
        <w:t>ed in TGFβ</w:t>
      </w:r>
      <w:r w:rsidR="000F71BF">
        <w:t xml:space="preserve">1/SMAD3 signalling. </w:t>
      </w:r>
      <w:r w:rsidRPr="000F71BF">
        <w:t>Resulting luciferase activity derived fro</w:t>
      </w:r>
      <w:r w:rsidR="00A56953">
        <w:t>m the TGF</w:t>
      </w:r>
      <w:r w:rsidR="00A56953">
        <w:sym w:font="Symbol" w:char="F062"/>
      </w:r>
      <w:r w:rsidRPr="000F71BF">
        <w:t xml:space="preserve">1 driven reporter </w:t>
      </w:r>
      <w:r w:rsidR="000F71BF" w:rsidRPr="000F71BF">
        <w:t xml:space="preserve">presented SETDB1 </w:t>
      </w:r>
      <w:r w:rsidRPr="000F71BF">
        <w:t>as a significant corepressor of SMAD3.</w:t>
      </w:r>
    </w:p>
    <w:p w:rsidR="00E349B2" w:rsidRDefault="00E349B2" w:rsidP="00E349B2">
      <w:r w:rsidRPr="00E349B2">
        <w:t xml:space="preserve">Immunoprecipitation of SETDB1 to </w:t>
      </w:r>
      <w:proofErr w:type="spellStart"/>
      <w:r w:rsidRPr="00E349B2">
        <w:t>dynabeads</w:t>
      </w:r>
      <w:proofErr w:type="spellEnd"/>
      <w:r w:rsidRPr="00E349B2">
        <w:t xml:space="preserve"> resulted in co-immunoprecipitation of SMAD3 from nuclear fractions of human renal epithelial cells in the presence of TGF</w:t>
      </w:r>
      <w:r w:rsidR="00A56953">
        <w:sym w:font="Symbol" w:char="F062"/>
      </w:r>
      <w:r w:rsidRPr="00E349B2">
        <w:t>1 treatment</w:t>
      </w:r>
      <w:r w:rsidR="00B354A3">
        <w:t xml:space="preserve">. </w:t>
      </w:r>
    </w:p>
    <w:p w:rsidR="005234BC" w:rsidRDefault="00EA404F" w:rsidP="00B354A3">
      <w:r w:rsidRPr="00B354A3">
        <w:t>Human renal epithelial cells were</w:t>
      </w:r>
      <w:r w:rsidR="007822A9">
        <w:t xml:space="preserve"> starved </w:t>
      </w:r>
      <w:r w:rsidR="00B354A3">
        <w:t>then</w:t>
      </w:r>
      <w:r w:rsidRPr="00B354A3">
        <w:t xml:space="preserve"> treated with </w:t>
      </w:r>
      <w:r w:rsidR="000F71BF">
        <w:t>or</w:t>
      </w:r>
      <w:r w:rsidRPr="00B354A3">
        <w:t xml:space="preserve"> without TGF</w:t>
      </w:r>
      <w:r w:rsidRPr="00B354A3">
        <w:sym w:font="Symbol" w:char="F062"/>
      </w:r>
      <w:r w:rsidRPr="00B354A3">
        <w:t xml:space="preserve">1 </w:t>
      </w:r>
      <w:r w:rsidR="007822A9">
        <w:t xml:space="preserve">for 48h </w:t>
      </w:r>
      <w:r w:rsidRPr="00B354A3">
        <w:t>then subjected to dual-immunofluorescence</w:t>
      </w:r>
      <w:r w:rsidR="000F71BF">
        <w:t>,</w:t>
      </w:r>
      <w:r w:rsidRPr="00B354A3">
        <w:t xml:space="preserve"> staining with SMAD3 and SETDB1.</w:t>
      </w:r>
      <w:r w:rsidR="00A56953">
        <w:t xml:space="preserve"> Upon TGF</w:t>
      </w:r>
      <w:r w:rsidR="00A56953">
        <w:sym w:font="Symbol" w:char="F062"/>
      </w:r>
      <w:r w:rsidR="00B354A3">
        <w:t xml:space="preserve">1 stimulation both SMAD3 and SETDB1 translocate to the nucleus demonstrating co-localisation. </w:t>
      </w:r>
    </w:p>
    <w:p w:rsidR="00D004AC" w:rsidRPr="00B354A3" w:rsidRDefault="00EA404F" w:rsidP="00B354A3">
      <w:r>
        <w:t xml:space="preserve">Human primary renal fibroblasts </w:t>
      </w:r>
      <w:r w:rsidR="00D004AC">
        <w:t xml:space="preserve">were transfected with either a SCR control siRNA or SETDB1 siRNA </w:t>
      </w:r>
      <w:r w:rsidR="002A46E6">
        <w:t>and treated with TGF</w:t>
      </w:r>
      <w:r w:rsidR="002A46E6">
        <w:sym w:font="Symbol" w:char="F062"/>
      </w:r>
      <w:r w:rsidR="00D004AC">
        <w:t>1 then subjected to i</w:t>
      </w:r>
      <w:r w:rsidR="002A46E6">
        <w:t xml:space="preserve">mmunofluorescence staining for </w:t>
      </w:r>
      <w:r w:rsidR="002A46E6">
        <w:rPr>
          <w:rFonts w:ascii="Times New Roman" w:hAnsi="Times New Roman" w:cs="Times New Roman"/>
        </w:rPr>
        <w:t>α</w:t>
      </w:r>
      <w:r w:rsidR="00D004AC">
        <w:t xml:space="preserve">SMA. Upon </w:t>
      </w:r>
      <w:r w:rsidR="002A46E6">
        <w:t xml:space="preserve">SETDB1 silencing </w:t>
      </w:r>
      <w:r w:rsidR="002A46E6">
        <w:rPr>
          <w:rFonts w:ascii="Times New Roman" w:hAnsi="Times New Roman" w:cs="Times New Roman"/>
        </w:rPr>
        <w:t>α</w:t>
      </w:r>
      <w:r w:rsidR="00D004AC">
        <w:t xml:space="preserve">SMA expression is increase compared to control siRNA. </w:t>
      </w:r>
    </w:p>
    <w:p w:rsidR="00B354A3" w:rsidRDefault="00B354A3" w:rsidP="00E349B2"/>
    <w:p w:rsidR="00F202F2" w:rsidRDefault="00B354A3">
      <w:pPr>
        <w:rPr>
          <w:b/>
        </w:rPr>
      </w:pPr>
      <w:r>
        <w:rPr>
          <w:b/>
        </w:rPr>
        <w:t>Conclusion</w:t>
      </w:r>
    </w:p>
    <w:p w:rsidR="00B354A3" w:rsidRPr="00B354A3" w:rsidRDefault="00B7785D">
      <w:r>
        <w:t xml:space="preserve">We have </w:t>
      </w:r>
      <w:r w:rsidR="00B354A3">
        <w:t xml:space="preserve">demonstrated </w:t>
      </w:r>
      <w:r w:rsidR="009C0422">
        <w:t xml:space="preserve">that SETDB1 </w:t>
      </w:r>
      <w:proofErr w:type="spellStart"/>
      <w:r w:rsidR="009C0422">
        <w:t>translocates</w:t>
      </w:r>
      <w:proofErr w:type="spellEnd"/>
      <w:r w:rsidR="009C0422">
        <w:t xml:space="preserve"> to the nucleus and interacts with SMAD3 in the presence of TGF</w:t>
      </w:r>
      <w:r w:rsidR="009C0422">
        <w:sym w:font="Symbol" w:char="F062"/>
      </w:r>
      <w:r w:rsidR="009C0422">
        <w:t xml:space="preserve">1. </w:t>
      </w:r>
      <w:r w:rsidR="00887D2D">
        <w:t>S</w:t>
      </w:r>
      <w:r w:rsidR="009C0422">
        <w:t>ilencing SETDB1</w:t>
      </w:r>
      <w:r w:rsidR="00887D2D" w:rsidRPr="00887D2D">
        <w:t xml:space="preserve"> </w:t>
      </w:r>
      <w:r w:rsidR="00887D2D">
        <w:t>in the presence of TGF</w:t>
      </w:r>
      <w:r w:rsidR="00887D2D">
        <w:sym w:font="Symbol" w:char="F062"/>
      </w:r>
      <w:r w:rsidR="00887D2D">
        <w:t xml:space="preserve">1 </w:t>
      </w:r>
      <w:r w:rsidR="009C0422">
        <w:t>increase</w:t>
      </w:r>
      <w:r w:rsidR="00887D2D">
        <w:t>s</w:t>
      </w:r>
      <w:r w:rsidR="002A46E6">
        <w:t xml:space="preserve"> the expression of </w:t>
      </w:r>
      <w:r w:rsidR="002A46E6">
        <w:rPr>
          <w:rFonts w:ascii="Times New Roman" w:hAnsi="Times New Roman" w:cs="Times New Roman"/>
        </w:rPr>
        <w:t>α</w:t>
      </w:r>
      <w:r w:rsidR="009C0422">
        <w:t xml:space="preserve">SMA. </w:t>
      </w:r>
      <w:r w:rsidR="00887D2D">
        <w:t>Our data suggests that SETDB1 is ac</w:t>
      </w:r>
      <w:r w:rsidR="002A46E6">
        <w:t>ting as a corepressor of SMAD3</w:t>
      </w:r>
      <w:r w:rsidR="000D0B8D">
        <w:t xml:space="preserve">. </w:t>
      </w:r>
      <w:r w:rsidR="002A46E6">
        <w:t xml:space="preserve"> </w:t>
      </w:r>
    </w:p>
    <w:p w:rsidR="003C532B" w:rsidRPr="00B354A3" w:rsidRDefault="003C532B"/>
    <w:sectPr w:rsidR="003C532B" w:rsidRPr="00B3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A74"/>
    <w:multiLevelType w:val="hybridMultilevel"/>
    <w:tmpl w:val="771257FE"/>
    <w:lvl w:ilvl="0" w:tplc="29341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1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AB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01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C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66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F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A0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EF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2"/>
    <w:rsid w:val="000D0B8D"/>
    <w:rsid w:val="000F71BF"/>
    <w:rsid w:val="00102561"/>
    <w:rsid w:val="002363E5"/>
    <w:rsid w:val="002A46E6"/>
    <w:rsid w:val="002B3DC9"/>
    <w:rsid w:val="002D1B7F"/>
    <w:rsid w:val="0038214E"/>
    <w:rsid w:val="003C5098"/>
    <w:rsid w:val="003C532B"/>
    <w:rsid w:val="00467B97"/>
    <w:rsid w:val="00483BB5"/>
    <w:rsid w:val="004F5CC0"/>
    <w:rsid w:val="005234BC"/>
    <w:rsid w:val="005B7BDE"/>
    <w:rsid w:val="006E1C93"/>
    <w:rsid w:val="006F7559"/>
    <w:rsid w:val="007822A9"/>
    <w:rsid w:val="00887D2D"/>
    <w:rsid w:val="008E44F8"/>
    <w:rsid w:val="009C0422"/>
    <w:rsid w:val="00A56953"/>
    <w:rsid w:val="00B22DF7"/>
    <w:rsid w:val="00B354A3"/>
    <w:rsid w:val="00B7785D"/>
    <w:rsid w:val="00D004AC"/>
    <w:rsid w:val="00D96561"/>
    <w:rsid w:val="00DA2820"/>
    <w:rsid w:val="00DB6573"/>
    <w:rsid w:val="00DE6203"/>
    <w:rsid w:val="00E349B2"/>
    <w:rsid w:val="00EA404F"/>
    <w:rsid w:val="00F202F2"/>
    <w:rsid w:val="00F35C93"/>
    <w:rsid w:val="00F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BF5F7-BC72-4BC6-B91D-31BEBA2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6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9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704F-63D4-48B3-B08A-E68755BC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Shuttleworth (PGR)</dc:creator>
  <cp:lastModifiedBy>Victoria Shuttleworth (PGR)</cp:lastModifiedBy>
  <cp:revision>2</cp:revision>
  <dcterms:created xsi:type="dcterms:W3CDTF">2018-02-02T13:22:00Z</dcterms:created>
  <dcterms:modified xsi:type="dcterms:W3CDTF">2018-02-02T13:22:00Z</dcterms:modified>
</cp:coreProperties>
</file>