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188EAC" w14:textId="77777777" w:rsidR="00BD38EE" w:rsidRPr="00BD38EE" w:rsidRDefault="00BD38EE" w:rsidP="00BD38EE">
      <w:pPr>
        <w:spacing w:after="0" w:line="240" w:lineRule="auto"/>
        <w:jc w:val="both"/>
        <w:rPr>
          <w:rFonts w:asciiTheme="majorBidi" w:eastAsia="Times New Roman" w:hAnsiTheme="majorBidi" w:cstheme="majorBidi"/>
          <w:lang w:val="en" w:eastAsia="en-GB"/>
        </w:rPr>
      </w:pPr>
      <w:bookmarkStart w:id="0" w:name="_GoBack"/>
      <w:bookmarkEnd w:id="0"/>
    </w:p>
    <w:p w14:paraId="17724776" w14:textId="1791EA09" w:rsidR="007472C3" w:rsidRPr="00BD38EE" w:rsidRDefault="00860BC1" w:rsidP="00BD38EE">
      <w:pPr>
        <w:shd w:val="clear" w:color="auto" w:fill="FFFFFF"/>
        <w:spacing w:line="240" w:lineRule="auto"/>
        <w:jc w:val="both"/>
        <w:rPr>
          <w:rFonts w:asciiTheme="majorBidi" w:hAnsiTheme="majorBidi" w:cstheme="majorBidi"/>
          <w:lang w:val="en"/>
        </w:rPr>
      </w:pPr>
      <w:r w:rsidRPr="00BD38EE">
        <w:rPr>
          <w:rFonts w:asciiTheme="majorBidi" w:eastAsia="Times New Roman" w:hAnsiTheme="majorBidi" w:cstheme="majorBidi"/>
          <w:b/>
          <w:bCs/>
          <w:lang w:val="en" w:eastAsia="en-GB"/>
        </w:rPr>
        <w:t>Background</w:t>
      </w:r>
      <w:r w:rsidRPr="00BD38EE">
        <w:rPr>
          <w:rFonts w:asciiTheme="majorBidi" w:eastAsia="Times New Roman" w:hAnsiTheme="majorBidi" w:cstheme="majorBidi"/>
          <w:lang w:val="en" w:eastAsia="en-GB"/>
        </w:rPr>
        <w:t xml:space="preserve">: </w:t>
      </w:r>
      <w:r w:rsidR="00332191" w:rsidRPr="00BD38EE">
        <w:rPr>
          <w:rFonts w:asciiTheme="majorBidi" w:hAnsiTheme="majorBidi" w:cstheme="majorBidi"/>
          <w:lang w:val="en"/>
        </w:rPr>
        <w:t xml:space="preserve">Acute kidney injury (AKI) is associated with high mortality up to 36% in AKI stage 3. However, care has improved since the </w:t>
      </w:r>
      <w:r w:rsidR="00537404" w:rsidRPr="00BD38EE">
        <w:rPr>
          <w:rFonts w:asciiTheme="majorBidi" w:hAnsiTheme="majorBidi" w:cstheme="majorBidi"/>
          <w:lang w:val="en"/>
        </w:rPr>
        <w:t>implementation</w:t>
      </w:r>
      <w:r w:rsidR="00332191" w:rsidRPr="00BD38EE">
        <w:rPr>
          <w:rFonts w:asciiTheme="majorBidi" w:hAnsiTheme="majorBidi" w:cstheme="majorBidi"/>
          <w:lang w:val="en"/>
        </w:rPr>
        <w:t xml:space="preserve"> of NICE guidelines and the introduction of the AKI Electronic alert in 2014.</w:t>
      </w:r>
      <w:r w:rsidR="007472C3" w:rsidRPr="00BD38EE">
        <w:rPr>
          <w:rFonts w:asciiTheme="majorBidi" w:hAnsiTheme="majorBidi" w:cstheme="majorBidi"/>
          <w:lang w:val="en"/>
        </w:rPr>
        <w:t xml:space="preserve"> AKI patients are mainly managed by non-nephrologist which can be challenging due to lack of resources and awareness. There is need for innovation and transformational change in AKI management which goes beyond just basic implementation of pathways.</w:t>
      </w:r>
    </w:p>
    <w:p w14:paraId="162C36B6" w14:textId="77777777" w:rsidR="007472C3" w:rsidRPr="00BD38EE" w:rsidRDefault="003A4521" w:rsidP="00BD38EE">
      <w:pPr>
        <w:shd w:val="clear" w:color="auto" w:fill="FFFFFF"/>
        <w:spacing w:line="240" w:lineRule="auto"/>
        <w:jc w:val="both"/>
        <w:rPr>
          <w:rFonts w:asciiTheme="majorBidi" w:eastAsia="Times New Roman" w:hAnsiTheme="majorBidi" w:cstheme="majorBidi"/>
          <w:lang w:val="en" w:eastAsia="en-GB"/>
        </w:rPr>
      </w:pPr>
      <w:r w:rsidRPr="00BD38EE">
        <w:rPr>
          <w:rFonts w:asciiTheme="majorBidi" w:hAnsiTheme="majorBidi" w:cstheme="majorBidi"/>
          <w:b/>
          <w:bCs/>
          <w:lang w:val="en"/>
        </w:rPr>
        <w:t>Objective:</w:t>
      </w:r>
      <w:r w:rsidRPr="00BD38EE">
        <w:rPr>
          <w:rFonts w:asciiTheme="majorBidi" w:hAnsiTheme="majorBidi" w:cstheme="majorBidi"/>
          <w:lang w:val="en"/>
        </w:rPr>
        <w:t xml:space="preserve"> To assess </w:t>
      </w:r>
      <w:r w:rsidR="004C5A8C" w:rsidRPr="00BD38EE">
        <w:rPr>
          <w:rFonts w:asciiTheme="majorBidi" w:hAnsiTheme="majorBidi" w:cstheme="majorBidi"/>
          <w:lang w:val="en"/>
        </w:rPr>
        <w:t xml:space="preserve">mortality and length of stay (LOS) following the initiation </w:t>
      </w:r>
      <w:r w:rsidR="00537404" w:rsidRPr="00BD38EE">
        <w:rPr>
          <w:rFonts w:asciiTheme="majorBidi" w:hAnsiTheme="majorBidi" w:cstheme="majorBidi"/>
          <w:lang w:val="en"/>
        </w:rPr>
        <w:t>of The</w:t>
      </w:r>
      <w:r w:rsidR="004C5A8C" w:rsidRPr="00BD38EE">
        <w:rPr>
          <w:rFonts w:asciiTheme="majorBidi" w:hAnsiTheme="majorBidi" w:cstheme="majorBidi"/>
          <w:lang w:val="en"/>
        </w:rPr>
        <w:t xml:space="preserve"> Wirral AKI </w:t>
      </w:r>
      <w:r w:rsidR="004C5A8C" w:rsidRPr="00BD38EE">
        <w:rPr>
          <w:rFonts w:asciiTheme="majorBidi" w:eastAsia="Times New Roman" w:hAnsiTheme="majorBidi" w:cstheme="majorBidi"/>
          <w:lang w:val="en" w:eastAsia="en-GB"/>
        </w:rPr>
        <w:t>Quality Improvement Project (QIP). To introduce innovative Digital AKI power plan</w:t>
      </w:r>
      <w:r w:rsidR="00537404" w:rsidRPr="00BD38EE">
        <w:rPr>
          <w:rFonts w:asciiTheme="majorBidi" w:eastAsia="Times New Roman" w:hAnsiTheme="majorBidi" w:cstheme="majorBidi"/>
          <w:lang w:val="en" w:eastAsia="en-GB"/>
        </w:rPr>
        <w:t>s</w:t>
      </w:r>
      <w:r w:rsidR="004C5A8C" w:rsidRPr="00BD38EE">
        <w:rPr>
          <w:rFonts w:asciiTheme="majorBidi" w:eastAsia="Times New Roman" w:hAnsiTheme="majorBidi" w:cstheme="majorBidi"/>
          <w:lang w:val="en" w:eastAsia="en-GB"/>
        </w:rPr>
        <w:t>.</w:t>
      </w:r>
    </w:p>
    <w:p w14:paraId="644207AA" w14:textId="45B8E66E" w:rsidR="004C5A8C" w:rsidRPr="00BD38EE" w:rsidRDefault="00537404" w:rsidP="00BD38EE">
      <w:pPr>
        <w:shd w:val="clear" w:color="auto" w:fill="FFFFFF"/>
        <w:spacing w:line="240" w:lineRule="auto"/>
        <w:jc w:val="both"/>
        <w:rPr>
          <w:rFonts w:asciiTheme="majorBidi" w:eastAsia="Times New Roman" w:hAnsiTheme="majorBidi" w:cstheme="majorBidi"/>
          <w:lang w:eastAsia="en-GB"/>
        </w:rPr>
      </w:pPr>
      <w:r w:rsidRPr="00BD38EE">
        <w:rPr>
          <w:rFonts w:asciiTheme="majorBidi" w:eastAsia="Times New Roman" w:hAnsiTheme="majorBidi" w:cstheme="majorBidi"/>
          <w:b/>
          <w:bCs/>
          <w:lang w:val="en" w:eastAsia="en-GB"/>
        </w:rPr>
        <w:t>Method</w:t>
      </w:r>
      <w:r w:rsidR="004C5A8C" w:rsidRPr="00BD38EE">
        <w:rPr>
          <w:rFonts w:asciiTheme="majorBidi" w:eastAsia="Times New Roman" w:hAnsiTheme="majorBidi" w:cstheme="majorBidi"/>
          <w:b/>
          <w:bCs/>
          <w:lang w:val="en" w:eastAsia="en-GB"/>
        </w:rPr>
        <w:t>:</w:t>
      </w:r>
      <w:r w:rsidR="004C5A8C" w:rsidRPr="00BD38EE">
        <w:rPr>
          <w:rFonts w:asciiTheme="majorBidi" w:eastAsia="Times New Roman" w:hAnsiTheme="majorBidi" w:cstheme="majorBidi"/>
          <w:lang w:val="en" w:eastAsia="en-GB"/>
        </w:rPr>
        <w:t xml:space="preserve"> AKI </w:t>
      </w:r>
      <w:r w:rsidR="00BD38EE">
        <w:rPr>
          <w:rFonts w:asciiTheme="majorBidi" w:eastAsia="Times New Roman" w:hAnsiTheme="majorBidi" w:cstheme="majorBidi"/>
          <w:lang w:val="en" w:eastAsia="en-GB"/>
        </w:rPr>
        <w:t xml:space="preserve">electronic </w:t>
      </w:r>
      <w:r w:rsidR="00BD38EE" w:rsidRPr="00BD38EE">
        <w:rPr>
          <w:rFonts w:asciiTheme="majorBidi" w:eastAsia="Times New Roman" w:hAnsiTheme="majorBidi" w:cstheme="majorBidi"/>
          <w:lang w:val="en" w:eastAsia="en-GB"/>
        </w:rPr>
        <w:t>alert</w:t>
      </w:r>
      <w:r w:rsidR="00BD38EE">
        <w:rPr>
          <w:rFonts w:asciiTheme="majorBidi" w:eastAsia="Times New Roman" w:hAnsiTheme="majorBidi" w:cstheme="majorBidi"/>
          <w:lang w:val="en" w:eastAsia="en-GB"/>
        </w:rPr>
        <w:t>,</w:t>
      </w:r>
      <w:r w:rsidR="00BD38EE" w:rsidRPr="00BD38EE">
        <w:rPr>
          <w:rFonts w:asciiTheme="majorBidi" w:eastAsia="Times New Roman" w:hAnsiTheme="majorBidi" w:cstheme="majorBidi"/>
          <w:lang w:val="en" w:eastAsia="en-GB"/>
        </w:rPr>
        <w:t xml:space="preserve"> pathways</w:t>
      </w:r>
      <w:r w:rsidR="00BD38EE">
        <w:rPr>
          <w:rFonts w:asciiTheme="majorBidi" w:eastAsia="Times New Roman" w:hAnsiTheme="majorBidi" w:cstheme="majorBidi"/>
          <w:lang w:val="en" w:eastAsia="en-GB"/>
        </w:rPr>
        <w:t xml:space="preserve"> and </w:t>
      </w:r>
      <w:r w:rsidR="004C5A8C" w:rsidRPr="00BD38EE">
        <w:rPr>
          <w:rFonts w:asciiTheme="majorBidi" w:eastAsia="Times New Roman" w:hAnsiTheme="majorBidi" w:cstheme="majorBidi"/>
          <w:lang w:val="en" w:eastAsia="en-GB"/>
        </w:rPr>
        <w:t xml:space="preserve">educational leaflet </w:t>
      </w:r>
      <w:r w:rsidR="00C73FD3" w:rsidRPr="00BD38EE">
        <w:rPr>
          <w:rFonts w:asciiTheme="majorBidi" w:eastAsia="Times New Roman" w:hAnsiTheme="majorBidi" w:cstheme="majorBidi"/>
          <w:lang w:val="en" w:eastAsia="en-GB"/>
        </w:rPr>
        <w:t>were implemented</w:t>
      </w:r>
      <w:r w:rsidR="004C5A8C" w:rsidRPr="00BD38EE">
        <w:rPr>
          <w:rFonts w:asciiTheme="majorBidi" w:eastAsia="Times New Roman" w:hAnsiTheme="majorBidi" w:cstheme="majorBidi"/>
          <w:lang w:val="en" w:eastAsia="en-GB"/>
        </w:rPr>
        <w:t xml:space="preserve"> parallel with ongoing awareness and education campaign</w:t>
      </w:r>
      <w:r w:rsidR="00C73FD3" w:rsidRPr="00BD38EE">
        <w:rPr>
          <w:rFonts w:asciiTheme="majorBidi" w:eastAsia="Times New Roman" w:hAnsiTheme="majorBidi" w:cstheme="majorBidi"/>
          <w:lang w:val="en" w:eastAsia="en-GB"/>
        </w:rPr>
        <w:t xml:space="preserve"> in primary and secondary care. As a result</w:t>
      </w:r>
      <w:r w:rsidR="000068C0" w:rsidRPr="00BD38EE">
        <w:rPr>
          <w:rFonts w:asciiTheme="majorBidi" w:eastAsia="Times New Roman" w:hAnsiTheme="majorBidi" w:cstheme="majorBidi"/>
          <w:lang w:val="en" w:eastAsia="en-GB"/>
        </w:rPr>
        <w:t xml:space="preserve">, managing AKI became more challenging in terms of demand and </w:t>
      </w:r>
      <w:r w:rsidR="000068C0" w:rsidRPr="00BD38EE">
        <w:rPr>
          <w:rFonts w:asciiTheme="majorBidi" w:eastAsia="Times New Roman" w:hAnsiTheme="majorBidi" w:cstheme="majorBidi"/>
          <w:lang w:eastAsia="en-GB"/>
        </w:rPr>
        <w:t xml:space="preserve">in terms of engaging clinical </w:t>
      </w:r>
      <w:r w:rsidRPr="00BD38EE">
        <w:rPr>
          <w:rFonts w:asciiTheme="majorBidi" w:eastAsia="Times New Roman" w:hAnsiTheme="majorBidi" w:cstheme="majorBidi"/>
          <w:lang w:eastAsia="en-GB"/>
        </w:rPr>
        <w:t>staff positively</w:t>
      </w:r>
      <w:r w:rsidR="000068C0" w:rsidRPr="00BD38EE">
        <w:rPr>
          <w:rFonts w:asciiTheme="majorBidi" w:eastAsia="Times New Roman" w:hAnsiTheme="majorBidi" w:cstheme="majorBidi"/>
          <w:lang w:eastAsia="en-GB"/>
        </w:rPr>
        <w:t xml:space="preserve"> about AKI care. Due to lack of </w:t>
      </w:r>
      <w:r w:rsidR="00BD38EE" w:rsidRPr="00BD38EE">
        <w:rPr>
          <w:rFonts w:asciiTheme="majorBidi" w:eastAsia="Times New Roman" w:hAnsiTheme="majorBidi" w:cstheme="majorBidi"/>
          <w:lang w:eastAsia="en-GB"/>
        </w:rPr>
        <w:t>resources in</w:t>
      </w:r>
      <w:r w:rsidR="000068C0" w:rsidRPr="00BD38EE">
        <w:rPr>
          <w:rFonts w:asciiTheme="majorBidi" w:eastAsia="Times New Roman" w:hAnsiTheme="majorBidi" w:cstheme="majorBidi"/>
          <w:lang w:eastAsia="en-GB"/>
        </w:rPr>
        <w:t xml:space="preserve"> a trust where there is only one AKI nurse </w:t>
      </w:r>
      <w:r w:rsidR="000068C0" w:rsidRPr="00BD38EE">
        <w:rPr>
          <w:rFonts w:asciiTheme="majorBidi" w:eastAsia="Times New Roman" w:hAnsiTheme="majorBidi" w:cstheme="majorBidi"/>
        </w:rPr>
        <w:t>we have created a meta-quality improvement (QI) project involving foundation year one (FY1) doct</w:t>
      </w:r>
      <w:r w:rsidR="00BD38EE" w:rsidRPr="00BD38EE">
        <w:rPr>
          <w:rFonts w:asciiTheme="majorBidi" w:eastAsia="Times New Roman" w:hAnsiTheme="majorBidi" w:cstheme="majorBidi"/>
        </w:rPr>
        <w:t>ors</w:t>
      </w:r>
      <w:r w:rsidR="000068C0" w:rsidRPr="00BD38EE">
        <w:rPr>
          <w:rFonts w:asciiTheme="majorBidi" w:eastAsia="Times New Roman" w:hAnsiTheme="majorBidi" w:cstheme="majorBidi"/>
        </w:rPr>
        <w:t>.</w:t>
      </w:r>
      <w:r w:rsidR="0062566E" w:rsidRPr="00BD38EE">
        <w:rPr>
          <w:rFonts w:asciiTheme="majorBidi" w:eastAsia="Times New Roman" w:hAnsiTheme="majorBidi" w:cstheme="majorBidi"/>
        </w:rPr>
        <w:t xml:space="preserve"> </w:t>
      </w:r>
      <w:r w:rsidR="0044211D" w:rsidRPr="00BD38EE">
        <w:rPr>
          <w:rFonts w:asciiTheme="majorBidi" w:eastAsia="Times New Roman" w:hAnsiTheme="majorBidi" w:cstheme="majorBidi"/>
          <w:lang w:eastAsia="en-GB"/>
        </w:rPr>
        <w:t>Their</w:t>
      </w:r>
      <w:r w:rsidR="000068C0" w:rsidRPr="00BD38EE">
        <w:rPr>
          <w:rFonts w:asciiTheme="majorBidi" w:eastAsia="Times New Roman" w:hAnsiTheme="majorBidi" w:cstheme="majorBidi"/>
          <w:lang w:eastAsia="en-GB"/>
        </w:rPr>
        <w:t xml:space="preserve"> role </w:t>
      </w:r>
      <w:r w:rsidR="0044211D" w:rsidRPr="00BD38EE">
        <w:rPr>
          <w:rFonts w:asciiTheme="majorBidi" w:eastAsia="Times New Roman" w:hAnsiTheme="majorBidi" w:cstheme="majorBidi"/>
          <w:lang w:eastAsia="en-GB"/>
        </w:rPr>
        <w:t>is</w:t>
      </w:r>
      <w:r w:rsidR="000068C0" w:rsidRPr="00BD38EE">
        <w:rPr>
          <w:rFonts w:asciiTheme="majorBidi" w:eastAsia="Times New Roman" w:hAnsiTheme="majorBidi" w:cstheme="majorBidi"/>
          <w:lang w:eastAsia="en-GB"/>
        </w:rPr>
        <w:t xml:space="preserve"> to review their wards performance weekly</w:t>
      </w:r>
      <w:r w:rsidR="00BD38EE" w:rsidRPr="00BD38EE">
        <w:rPr>
          <w:rFonts w:asciiTheme="majorBidi" w:eastAsia="Times New Roman" w:hAnsiTheme="majorBidi" w:cstheme="majorBidi"/>
          <w:lang w:eastAsia="en-GB"/>
        </w:rPr>
        <w:t>,</w:t>
      </w:r>
      <w:r w:rsidR="000068C0" w:rsidRPr="00BD38EE">
        <w:rPr>
          <w:rFonts w:asciiTheme="majorBidi" w:eastAsia="Times New Roman" w:hAnsiTheme="majorBidi" w:cstheme="majorBidi"/>
          <w:lang w:eastAsia="en-GB"/>
        </w:rPr>
        <w:t xml:space="preserve"> to identify weak areas and create individualised improvements</w:t>
      </w:r>
      <w:r w:rsidR="00BD38EE" w:rsidRPr="00BD38EE">
        <w:rPr>
          <w:rFonts w:asciiTheme="majorBidi" w:eastAsia="Times New Roman" w:hAnsiTheme="majorBidi" w:cstheme="majorBidi"/>
          <w:lang w:eastAsia="en-GB"/>
        </w:rPr>
        <w:t xml:space="preserve"> which </w:t>
      </w:r>
      <w:r w:rsidR="000068C0" w:rsidRPr="00BD38EE">
        <w:rPr>
          <w:rFonts w:asciiTheme="majorBidi" w:eastAsia="Times New Roman" w:hAnsiTheme="majorBidi" w:cstheme="majorBidi"/>
          <w:lang w:eastAsia="en-GB"/>
        </w:rPr>
        <w:t>report</w:t>
      </w:r>
      <w:r w:rsidR="00BD38EE" w:rsidRPr="00BD38EE">
        <w:rPr>
          <w:rFonts w:asciiTheme="majorBidi" w:eastAsia="Times New Roman" w:hAnsiTheme="majorBidi" w:cstheme="majorBidi"/>
          <w:lang w:eastAsia="en-GB"/>
        </w:rPr>
        <w:t>ed</w:t>
      </w:r>
      <w:r w:rsidR="000068C0" w:rsidRPr="00BD38EE">
        <w:rPr>
          <w:rFonts w:asciiTheme="majorBidi" w:eastAsia="Times New Roman" w:hAnsiTheme="majorBidi" w:cstheme="majorBidi"/>
          <w:lang w:eastAsia="en-GB"/>
        </w:rPr>
        <w:t xml:space="preserve"> back to </w:t>
      </w:r>
      <w:r w:rsidR="00BD38EE" w:rsidRPr="00BD38EE">
        <w:rPr>
          <w:rFonts w:asciiTheme="majorBidi" w:eastAsia="Times New Roman" w:hAnsiTheme="majorBidi" w:cstheme="majorBidi"/>
          <w:lang w:eastAsia="en-GB"/>
        </w:rPr>
        <w:t>an</w:t>
      </w:r>
      <w:r w:rsidR="000068C0" w:rsidRPr="00BD38EE">
        <w:rPr>
          <w:rFonts w:asciiTheme="majorBidi" w:eastAsia="Times New Roman" w:hAnsiTheme="majorBidi" w:cstheme="majorBidi"/>
          <w:lang w:eastAsia="en-GB"/>
        </w:rPr>
        <w:t xml:space="preserve"> AKI champion</w:t>
      </w:r>
      <w:r w:rsidR="00BD38EE" w:rsidRPr="00BD38EE">
        <w:rPr>
          <w:rFonts w:asciiTheme="majorBidi" w:eastAsia="Times New Roman" w:hAnsiTheme="majorBidi" w:cstheme="majorBidi"/>
          <w:lang w:eastAsia="en-GB"/>
        </w:rPr>
        <w:t xml:space="preserve"> (renal</w:t>
      </w:r>
      <w:r w:rsidR="000068C0" w:rsidRPr="00BD38EE">
        <w:rPr>
          <w:rFonts w:asciiTheme="majorBidi" w:eastAsia="Times New Roman" w:hAnsiTheme="majorBidi" w:cstheme="majorBidi"/>
          <w:lang w:eastAsia="en-GB"/>
        </w:rPr>
        <w:t xml:space="preserve"> registra</w:t>
      </w:r>
      <w:r w:rsidR="00BD38EE" w:rsidRPr="00BD38EE">
        <w:rPr>
          <w:rFonts w:asciiTheme="majorBidi" w:eastAsia="Times New Roman" w:hAnsiTheme="majorBidi" w:cstheme="majorBidi"/>
          <w:lang w:eastAsia="en-GB"/>
        </w:rPr>
        <w:t>r)</w:t>
      </w:r>
      <w:r w:rsidR="000068C0" w:rsidRPr="00BD38EE">
        <w:rPr>
          <w:rFonts w:asciiTheme="majorBidi" w:eastAsia="Times New Roman" w:hAnsiTheme="majorBidi" w:cstheme="majorBidi"/>
          <w:lang w:eastAsia="en-GB"/>
        </w:rPr>
        <w:t>.</w:t>
      </w:r>
    </w:p>
    <w:p w14:paraId="38357D03" w14:textId="7DB4043D" w:rsidR="00537404" w:rsidRPr="00BD38EE" w:rsidRDefault="0044211D" w:rsidP="00BD38EE">
      <w:pPr>
        <w:shd w:val="clear" w:color="auto" w:fill="FFFFFF"/>
        <w:spacing w:line="240" w:lineRule="auto"/>
        <w:jc w:val="both"/>
        <w:rPr>
          <w:rFonts w:asciiTheme="majorBidi" w:hAnsiTheme="majorBidi" w:cstheme="majorBidi"/>
          <w:lang w:val="en"/>
        </w:rPr>
      </w:pPr>
      <w:r w:rsidRPr="00BD38EE">
        <w:rPr>
          <w:rFonts w:asciiTheme="majorBidi" w:eastAsia="Times New Roman" w:hAnsiTheme="majorBidi" w:cstheme="majorBidi"/>
          <w:b/>
          <w:bCs/>
          <w:lang w:eastAsia="en-GB"/>
        </w:rPr>
        <w:t>Results:</w:t>
      </w:r>
      <w:r w:rsidR="0062566E" w:rsidRPr="00BD38EE">
        <w:rPr>
          <w:rFonts w:asciiTheme="majorBidi" w:eastAsia="Times New Roman" w:hAnsiTheme="majorBidi" w:cstheme="majorBidi"/>
          <w:lang w:eastAsia="en-GB"/>
        </w:rPr>
        <w:t xml:space="preserve"> </w:t>
      </w:r>
      <w:r w:rsidR="00C408A1" w:rsidRPr="00BD38EE">
        <w:rPr>
          <w:rFonts w:asciiTheme="majorBidi" w:hAnsiTheme="majorBidi" w:cstheme="majorBidi"/>
          <w:lang w:val="en"/>
        </w:rPr>
        <w:t xml:space="preserve">A total of </w:t>
      </w:r>
      <w:r w:rsidRPr="00BD38EE">
        <w:rPr>
          <w:rFonts w:asciiTheme="majorBidi" w:hAnsiTheme="majorBidi" w:cstheme="majorBidi"/>
          <w:lang w:val="en"/>
        </w:rPr>
        <w:t>12584</w:t>
      </w:r>
      <w:r w:rsidR="00C408A1" w:rsidRPr="00BD38EE">
        <w:rPr>
          <w:rFonts w:asciiTheme="majorBidi" w:hAnsiTheme="majorBidi" w:cstheme="majorBidi"/>
          <w:lang w:val="en"/>
        </w:rPr>
        <w:t xml:space="preserve"> incident episodes of AKI occurred between </w:t>
      </w:r>
      <w:r w:rsidRPr="00BD38EE">
        <w:rPr>
          <w:rFonts w:asciiTheme="majorBidi" w:hAnsiTheme="majorBidi" w:cstheme="majorBidi"/>
          <w:lang w:val="en"/>
        </w:rPr>
        <w:t>May 2015</w:t>
      </w:r>
      <w:r w:rsidR="00C408A1" w:rsidRPr="00BD38EE">
        <w:rPr>
          <w:rFonts w:asciiTheme="majorBidi" w:hAnsiTheme="majorBidi" w:cstheme="majorBidi"/>
          <w:lang w:val="en"/>
        </w:rPr>
        <w:t xml:space="preserve"> and A</w:t>
      </w:r>
      <w:r w:rsidRPr="00BD38EE">
        <w:rPr>
          <w:rFonts w:asciiTheme="majorBidi" w:hAnsiTheme="majorBidi" w:cstheme="majorBidi"/>
          <w:lang w:val="en"/>
        </w:rPr>
        <w:t xml:space="preserve">ugust 2017.10% AKI3, </w:t>
      </w:r>
      <w:r w:rsidR="001F37E9" w:rsidRPr="00BD38EE">
        <w:rPr>
          <w:rFonts w:asciiTheme="majorBidi" w:hAnsiTheme="majorBidi" w:cstheme="majorBidi"/>
          <w:lang w:val="en"/>
        </w:rPr>
        <w:t>13% AKI2&amp; 77% AKI1. Median age is 73y. F: M =1:1. 12% had Diabetes. LOS =15.67. Overall mortality is 16%.</w:t>
      </w:r>
      <w:r w:rsidR="008967BE" w:rsidRPr="00BD38EE">
        <w:rPr>
          <w:rFonts w:asciiTheme="majorBidi" w:hAnsiTheme="majorBidi" w:cstheme="majorBidi"/>
          <w:lang w:val="en"/>
        </w:rPr>
        <w:t xml:space="preserve"> 56% of total hospital deaths have AKI.</w:t>
      </w:r>
      <w:r w:rsidR="001F37E9" w:rsidRPr="00BD38EE">
        <w:rPr>
          <w:rFonts w:asciiTheme="majorBidi" w:hAnsiTheme="majorBidi" w:cstheme="majorBidi"/>
          <w:lang w:val="en"/>
        </w:rPr>
        <w:t xml:space="preserve"> AKI patents admitted to ITU/ HDU (987) had mortality of 27.7% compared to the rest of AKI patients (11599) having mortality of 15%.</w:t>
      </w:r>
      <w:r w:rsidR="0062566E" w:rsidRPr="00BD38EE">
        <w:rPr>
          <w:rFonts w:asciiTheme="majorBidi" w:hAnsiTheme="majorBidi" w:cstheme="majorBidi"/>
          <w:lang w:val="en"/>
        </w:rPr>
        <w:t xml:space="preserve"> </w:t>
      </w:r>
      <w:r w:rsidR="001F37E9" w:rsidRPr="00BD38EE">
        <w:rPr>
          <w:rFonts w:asciiTheme="majorBidi" w:hAnsiTheme="majorBidi" w:cstheme="majorBidi"/>
          <w:lang w:val="en"/>
        </w:rPr>
        <w:t>Unexpectedly, mortality rate for AKI patients with diabetes in our population</w:t>
      </w:r>
      <w:r w:rsidR="008967BE" w:rsidRPr="00BD38EE">
        <w:rPr>
          <w:rFonts w:asciiTheme="majorBidi" w:hAnsiTheme="majorBidi" w:cstheme="majorBidi"/>
          <w:lang w:val="en"/>
        </w:rPr>
        <w:t xml:space="preserve"> (1530) was only 12%.</w:t>
      </w:r>
      <w:r w:rsidR="0062566E" w:rsidRPr="00BD38EE">
        <w:rPr>
          <w:rFonts w:asciiTheme="majorBidi" w:hAnsiTheme="majorBidi" w:cstheme="majorBidi"/>
          <w:lang w:val="en"/>
        </w:rPr>
        <w:t xml:space="preserve"> </w:t>
      </w:r>
      <w:r w:rsidR="00537404" w:rsidRPr="00BD38EE">
        <w:rPr>
          <w:rFonts w:asciiTheme="majorBidi" w:hAnsiTheme="majorBidi" w:cstheme="majorBidi"/>
          <w:lang w:val="en"/>
        </w:rPr>
        <w:t xml:space="preserve">Reduction in overall AKI mortality rates from a baseline of 17.2% to 14.6% which represents 15.2% reduction. </w:t>
      </w:r>
    </w:p>
    <w:p w14:paraId="7709BD7F" w14:textId="77777777" w:rsidR="008967BE" w:rsidRPr="00BD38EE" w:rsidRDefault="00537404" w:rsidP="00BD38EE">
      <w:pPr>
        <w:shd w:val="clear" w:color="auto" w:fill="FFFFFF"/>
        <w:spacing w:line="240" w:lineRule="auto"/>
        <w:jc w:val="both"/>
        <w:rPr>
          <w:rFonts w:asciiTheme="majorBidi" w:eastAsia="Times New Roman" w:hAnsiTheme="majorBidi" w:cstheme="majorBidi"/>
          <w:lang w:val="en" w:eastAsia="en-GB"/>
        </w:rPr>
      </w:pPr>
      <w:r w:rsidRPr="00BD38EE">
        <w:rPr>
          <w:rFonts w:asciiTheme="majorBidi" w:eastAsia="Times New Roman" w:hAnsiTheme="majorBidi" w:cstheme="majorBidi"/>
          <w:noProof/>
          <w:lang w:eastAsia="en-GB"/>
        </w:rPr>
        <w:drawing>
          <wp:inline distT="0" distB="0" distL="0" distR="0" wp14:anchorId="4B50E71A" wp14:editId="5F7D6E17">
            <wp:extent cx="5543550" cy="22860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4BB7A713" w14:textId="77777777" w:rsidR="00A56725" w:rsidRPr="00BD38EE" w:rsidRDefault="00A56725" w:rsidP="00BD38EE">
      <w:pPr>
        <w:shd w:val="clear" w:color="auto" w:fill="FFFFFF"/>
        <w:spacing w:line="240" w:lineRule="auto"/>
        <w:jc w:val="both"/>
        <w:rPr>
          <w:rFonts w:asciiTheme="majorBidi" w:eastAsia="Times New Roman" w:hAnsiTheme="majorBidi" w:cstheme="majorBidi"/>
          <w:lang w:val="en" w:eastAsia="en-GB"/>
        </w:rPr>
      </w:pPr>
      <w:r w:rsidRPr="00BD38EE">
        <w:rPr>
          <w:rFonts w:asciiTheme="majorBidi" w:eastAsia="Times New Roman" w:hAnsiTheme="majorBidi" w:cstheme="majorBidi"/>
          <w:lang w:val="en" w:eastAsia="en-GB"/>
        </w:rPr>
        <w:t xml:space="preserve">Despite the fact that our overall LOS is one of the shortest in the region (15.67 days,) we have still managed to reduce it </w:t>
      </w:r>
      <w:r w:rsidR="000777AF" w:rsidRPr="00BD38EE">
        <w:rPr>
          <w:rFonts w:asciiTheme="majorBidi" w:eastAsia="Times New Roman" w:hAnsiTheme="majorBidi" w:cstheme="majorBidi"/>
          <w:lang w:val="en" w:eastAsia="en-GB"/>
        </w:rPr>
        <w:t xml:space="preserve">from a baseline of 15.8 days per admission to 15.2. </w:t>
      </w:r>
    </w:p>
    <w:p w14:paraId="5F915A25" w14:textId="27DABD14" w:rsidR="00B645B8" w:rsidRPr="00BD38EE" w:rsidRDefault="00B645B8" w:rsidP="00BD38EE">
      <w:pPr>
        <w:shd w:val="clear" w:color="auto" w:fill="FFFFFF"/>
        <w:spacing w:line="240" w:lineRule="auto"/>
        <w:jc w:val="both"/>
        <w:rPr>
          <w:rStyle w:val="Strong"/>
          <w:rFonts w:asciiTheme="majorBidi" w:hAnsiTheme="majorBidi" w:cstheme="majorBidi"/>
          <w:b w:val="0"/>
          <w:lang w:val="en"/>
        </w:rPr>
      </w:pPr>
      <w:r w:rsidRPr="00BD38EE">
        <w:rPr>
          <w:rFonts w:asciiTheme="majorBidi" w:eastAsia="Times New Roman" w:hAnsiTheme="majorBidi" w:cstheme="majorBidi"/>
          <w:lang w:val="en" w:eastAsia="en-GB"/>
        </w:rPr>
        <w:t xml:space="preserve">Two Digital AKI power plans were created using </w:t>
      </w:r>
      <w:r w:rsidRPr="00BD38EE">
        <w:rPr>
          <w:rStyle w:val="Strong"/>
          <w:rFonts w:asciiTheme="majorBidi" w:hAnsiTheme="majorBidi" w:cstheme="majorBidi"/>
          <w:b w:val="0"/>
          <w:lang w:val="en"/>
        </w:rPr>
        <w:t xml:space="preserve">Cerner Millennium IT system in order to improve early management of AKI. The project is being piloted between doctors, Nurses and pharmacist. Feedback and outcome will be shared </w:t>
      </w:r>
      <w:r w:rsidR="001B60EB" w:rsidRPr="00BD38EE">
        <w:rPr>
          <w:rStyle w:val="Strong"/>
          <w:rFonts w:asciiTheme="majorBidi" w:hAnsiTheme="majorBidi" w:cstheme="majorBidi"/>
          <w:b w:val="0"/>
          <w:lang w:val="en"/>
        </w:rPr>
        <w:t>in due time</w:t>
      </w:r>
      <w:r w:rsidRPr="00BD38EE">
        <w:rPr>
          <w:rStyle w:val="Strong"/>
          <w:rFonts w:asciiTheme="majorBidi" w:hAnsiTheme="majorBidi" w:cstheme="majorBidi"/>
          <w:b w:val="0"/>
          <w:lang w:val="en"/>
        </w:rPr>
        <w:t>.</w:t>
      </w:r>
      <w:r w:rsidR="0062566E" w:rsidRPr="00BD38EE">
        <w:rPr>
          <w:rStyle w:val="Strong"/>
          <w:rFonts w:asciiTheme="majorBidi" w:hAnsiTheme="majorBidi" w:cstheme="majorBidi"/>
          <w:b w:val="0"/>
          <w:lang w:val="en"/>
        </w:rPr>
        <w:t xml:space="preserve"> </w:t>
      </w:r>
    </w:p>
    <w:p w14:paraId="2ABA924E" w14:textId="04352498" w:rsidR="001B60EB" w:rsidRPr="00BD38EE" w:rsidRDefault="00B645B8" w:rsidP="00BD38EE">
      <w:pPr>
        <w:shd w:val="clear" w:color="auto" w:fill="FFFFFF"/>
        <w:spacing w:line="240" w:lineRule="auto"/>
        <w:jc w:val="both"/>
        <w:rPr>
          <w:rStyle w:val="Strong"/>
          <w:rFonts w:asciiTheme="majorBidi" w:hAnsiTheme="majorBidi" w:cstheme="majorBidi"/>
          <w:b w:val="0"/>
          <w:lang w:val="en"/>
        </w:rPr>
      </w:pPr>
      <w:r w:rsidRPr="00BD38EE">
        <w:rPr>
          <w:rStyle w:val="Strong"/>
          <w:rFonts w:asciiTheme="majorBidi" w:hAnsiTheme="majorBidi" w:cstheme="majorBidi"/>
          <w:bCs w:val="0"/>
          <w:lang w:val="en"/>
        </w:rPr>
        <w:t>Conclusion:</w:t>
      </w:r>
      <w:r w:rsidR="00BD38EE">
        <w:rPr>
          <w:rStyle w:val="Strong"/>
          <w:rFonts w:asciiTheme="majorBidi" w:hAnsiTheme="majorBidi" w:cstheme="majorBidi"/>
          <w:bCs w:val="0"/>
          <w:lang w:val="en"/>
        </w:rPr>
        <w:t xml:space="preserve"> </w:t>
      </w:r>
      <w:r w:rsidR="001B60EB" w:rsidRPr="00BD38EE">
        <w:rPr>
          <w:rStyle w:val="Strong"/>
          <w:rFonts w:asciiTheme="majorBidi" w:hAnsiTheme="majorBidi" w:cstheme="majorBidi"/>
          <w:b w:val="0"/>
          <w:lang w:val="en"/>
        </w:rPr>
        <w:t xml:space="preserve">The Wirral AKI project </w:t>
      </w:r>
      <w:r w:rsidR="006C3995" w:rsidRPr="00BD38EE">
        <w:rPr>
          <w:rStyle w:val="Strong"/>
          <w:rFonts w:asciiTheme="majorBidi" w:hAnsiTheme="majorBidi" w:cstheme="majorBidi"/>
          <w:b w:val="0"/>
          <w:lang w:val="en"/>
        </w:rPr>
        <w:t xml:space="preserve">has </w:t>
      </w:r>
      <w:r w:rsidR="001B60EB" w:rsidRPr="00BD38EE">
        <w:rPr>
          <w:rStyle w:val="Strong"/>
          <w:rFonts w:asciiTheme="majorBidi" w:hAnsiTheme="majorBidi" w:cstheme="majorBidi"/>
          <w:b w:val="0"/>
          <w:lang w:val="en"/>
        </w:rPr>
        <w:t>led to significant and sustained reduction in both Mortality and LOS.</w:t>
      </w:r>
      <w:r w:rsidR="006C3995" w:rsidRPr="00BD38EE">
        <w:rPr>
          <w:rStyle w:val="Strong"/>
          <w:rFonts w:asciiTheme="majorBidi" w:hAnsiTheme="majorBidi" w:cstheme="majorBidi"/>
          <w:b w:val="0"/>
          <w:lang w:val="en"/>
        </w:rPr>
        <w:t xml:space="preserve"> The engagement of junior doctors and Nurse</w:t>
      </w:r>
      <w:r w:rsidR="00395EF1" w:rsidRPr="00BD38EE">
        <w:rPr>
          <w:rStyle w:val="Strong"/>
          <w:rFonts w:asciiTheme="majorBidi" w:hAnsiTheme="majorBidi" w:cstheme="majorBidi"/>
          <w:b w:val="0"/>
          <w:lang w:val="en"/>
        </w:rPr>
        <w:t>s</w:t>
      </w:r>
      <w:r w:rsidR="006C3995" w:rsidRPr="00BD38EE">
        <w:rPr>
          <w:rStyle w:val="Strong"/>
          <w:rFonts w:asciiTheme="majorBidi" w:hAnsiTheme="majorBidi" w:cstheme="majorBidi"/>
          <w:b w:val="0"/>
          <w:lang w:val="en"/>
        </w:rPr>
        <w:t xml:space="preserve"> in AKI QIPs plays an important role in our success. Moving to using digitalised AKI power plans is to be tested.</w:t>
      </w:r>
    </w:p>
    <w:p w14:paraId="528B7694" w14:textId="77777777" w:rsidR="00B645B8" w:rsidRPr="00BD38EE" w:rsidRDefault="00B645B8" w:rsidP="00BD38EE">
      <w:pPr>
        <w:shd w:val="clear" w:color="auto" w:fill="FFFFFF"/>
        <w:spacing w:line="240" w:lineRule="auto"/>
        <w:jc w:val="both"/>
        <w:rPr>
          <w:rFonts w:asciiTheme="majorBidi" w:eastAsia="Times New Roman" w:hAnsiTheme="majorBidi" w:cstheme="majorBidi"/>
          <w:lang w:val="en" w:eastAsia="en-GB"/>
        </w:rPr>
      </w:pPr>
    </w:p>
    <w:sectPr w:rsidR="00B645B8" w:rsidRPr="00BD38E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525905" w14:textId="77777777" w:rsidR="00BE1A65" w:rsidRDefault="00BE1A65" w:rsidP="0062566E">
      <w:pPr>
        <w:spacing w:after="0" w:line="240" w:lineRule="auto"/>
      </w:pPr>
      <w:r>
        <w:separator/>
      </w:r>
    </w:p>
  </w:endnote>
  <w:endnote w:type="continuationSeparator" w:id="0">
    <w:p w14:paraId="73463368" w14:textId="77777777" w:rsidR="00BE1A65" w:rsidRDefault="00BE1A65" w:rsidP="006256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BCAF1E" w14:textId="77777777" w:rsidR="00BE1A65" w:rsidRDefault="00BE1A65" w:rsidP="0062566E">
      <w:pPr>
        <w:spacing w:after="0" w:line="240" w:lineRule="auto"/>
      </w:pPr>
      <w:r>
        <w:separator/>
      </w:r>
    </w:p>
  </w:footnote>
  <w:footnote w:type="continuationSeparator" w:id="0">
    <w:p w14:paraId="1093C6B3" w14:textId="77777777" w:rsidR="00BE1A65" w:rsidRDefault="00BE1A65" w:rsidP="0062566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5861"/>
    <w:rsid w:val="000068C0"/>
    <w:rsid w:val="00043CBF"/>
    <w:rsid w:val="000777AF"/>
    <w:rsid w:val="001B60EB"/>
    <w:rsid w:val="001F37E9"/>
    <w:rsid w:val="00325861"/>
    <w:rsid w:val="00332191"/>
    <w:rsid w:val="00395EF1"/>
    <w:rsid w:val="003A4521"/>
    <w:rsid w:val="0040455B"/>
    <w:rsid w:val="0044211D"/>
    <w:rsid w:val="004C5A8C"/>
    <w:rsid w:val="00537404"/>
    <w:rsid w:val="0062566E"/>
    <w:rsid w:val="006C3995"/>
    <w:rsid w:val="007472C3"/>
    <w:rsid w:val="00860BC1"/>
    <w:rsid w:val="008967BE"/>
    <w:rsid w:val="00A56725"/>
    <w:rsid w:val="00B645B8"/>
    <w:rsid w:val="00BD38EE"/>
    <w:rsid w:val="00BE1A65"/>
    <w:rsid w:val="00C408A1"/>
    <w:rsid w:val="00C73FD3"/>
    <w:rsid w:val="00D15D0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F40403"/>
  <w15:docId w15:val="{2AB5B266-7F88-4B38-A551-3857BF9CF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068C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8967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67BE"/>
    <w:rPr>
      <w:rFonts w:ascii="Tahoma" w:hAnsi="Tahoma" w:cs="Tahoma"/>
      <w:sz w:val="16"/>
      <w:szCs w:val="16"/>
    </w:rPr>
  </w:style>
  <w:style w:type="character" w:styleId="Strong">
    <w:name w:val="Strong"/>
    <w:basedOn w:val="DefaultParagraphFont"/>
    <w:uiPriority w:val="22"/>
    <w:qFormat/>
    <w:rsid w:val="00B645B8"/>
    <w:rPr>
      <w:b/>
      <w:bCs/>
    </w:rPr>
  </w:style>
  <w:style w:type="paragraph" w:styleId="NoSpacing">
    <w:name w:val="No Spacing"/>
    <w:uiPriority w:val="1"/>
    <w:qFormat/>
    <w:rsid w:val="00395EF1"/>
    <w:pPr>
      <w:spacing w:after="0" w:line="240" w:lineRule="auto"/>
    </w:pPr>
  </w:style>
  <w:style w:type="paragraph" w:styleId="Header">
    <w:name w:val="header"/>
    <w:basedOn w:val="Normal"/>
    <w:link w:val="HeaderChar"/>
    <w:uiPriority w:val="99"/>
    <w:unhideWhenUsed/>
    <w:rsid w:val="006256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566E"/>
  </w:style>
  <w:style w:type="paragraph" w:styleId="Footer">
    <w:name w:val="footer"/>
    <w:basedOn w:val="Normal"/>
    <w:link w:val="FooterChar"/>
    <w:uiPriority w:val="99"/>
    <w:unhideWhenUsed/>
    <w:rsid w:val="006256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56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3413003">
      <w:bodyDiv w:val="1"/>
      <w:marLeft w:val="0"/>
      <w:marRight w:val="0"/>
      <w:marTop w:val="0"/>
      <w:marBottom w:val="0"/>
      <w:divBdr>
        <w:top w:val="none" w:sz="0" w:space="0" w:color="auto"/>
        <w:left w:val="none" w:sz="0" w:space="0" w:color="auto"/>
        <w:bottom w:val="none" w:sz="0" w:space="0" w:color="auto"/>
        <w:right w:val="none" w:sz="0" w:space="0" w:color="auto"/>
      </w:divBdr>
    </w:div>
    <w:div w:id="1778670266">
      <w:bodyDiv w:val="1"/>
      <w:marLeft w:val="0"/>
      <w:marRight w:val="0"/>
      <w:marTop w:val="0"/>
      <w:marBottom w:val="0"/>
      <w:divBdr>
        <w:top w:val="none" w:sz="0" w:space="0" w:color="auto"/>
        <w:left w:val="none" w:sz="0" w:space="0" w:color="auto"/>
        <w:bottom w:val="none" w:sz="0" w:space="0" w:color="auto"/>
        <w:right w:val="none" w:sz="0" w:space="0" w:color="auto"/>
      </w:divBdr>
      <w:divsChild>
        <w:div w:id="388768389">
          <w:marLeft w:val="0"/>
          <w:marRight w:val="0"/>
          <w:marTop w:val="0"/>
          <w:marBottom w:val="0"/>
          <w:divBdr>
            <w:top w:val="none" w:sz="0" w:space="0" w:color="auto"/>
            <w:left w:val="none" w:sz="0" w:space="0" w:color="auto"/>
            <w:bottom w:val="none" w:sz="0" w:space="0" w:color="auto"/>
            <w:right w:val="none" w:sz="0" w:space="0" w:color="auto"/>
          </w:divBdr>
          <w:divsChild>
            <w:div w:id="1166819823">
              <w:marLeft w:val="0"/>
              <w:marRight w:val="0"/>
              <w:marTop w:val="0"/>
              <w:marBottom w:val="0"/>
              <w:divBdr>
                <w:top w:val="none" w:sz="0" w:space="0" w:color="auto"/>
                <w:left w:val="none" w:sz="0" w:space="0" w:color="auto"/>
                <w:bottom w:val="none" w:sz="0" w:space="0" w:color="auto"/>
                <w:right w:val="none" w:sz="0" w:space="0" w:color="auto"/>
              </w:divBdr>
              <w:divsChild>
                <w:div w:id="1446577094">
                  <w:marLeft w:val="0"/>
                  <w:marRight w:val="0"/>
                  <w:marTop w:val="900"/>
                  <w:marBottom w:val="0"/>
                  <w:divBdr>
                    <w:top w:val="none" w:sz="0" w:space="0" w:color="auto"/>
                    <w:left w:val="none" w:sz="0" w:space="0" w:color="auto"/>
                    <w:bottom w:val="none" w:sz="0" w:space="0" w:color="auto"/>
                    <w:right w:val="none" w:sz="0" w:space="0" w:color="auto"/>
                  </w:divBdr>
                  <w:divsChild>
                    <w:div w:id="1449082987">
                      <w:marLeft w:val="0"/>
                      <w:marRight w:val="0"/>
                      <w:marTop w:val="0"/>
                      <w:marBottom w:val="0"/>
                      <w:divBdr>
                        <w:top w:val="none" w:sz="0" w:space="0" w:color="auto"/>
                        <w:left w:val="none" w:sz="0" w:space="0" w:color="auto"/>
                        <w:bottom w:val="none" w:sz="0" w:space="0" w:color="auto"/>
                        <w:right w:val="none" w:sz="0" w:space="0" w:color="auto"/>
                      </w:divBdr>
                      <w:divsChild>
                        <w:div w:id="793910563">
                          <w:marLeft w:val="0"/>
                          <w:marRight w:val="0"/>
                          <w:marTop w:val="0"/>
                          <w:marBottom w:val="0"/>
                          <w:divBdr>
                            <w:top w:val="none" w:sz="0" w:space="0" w:color="auto"/>
                            <w:left w:val="none" w:sz="0" w:space="0" w:color="auto"/>
                            <w:bottom w:val="none" w:sz="0" w:space="0" w:color="auto"/>
                            <w:right w:val="none" w:sz="0" w:space="0" w:color="auto"/>
                          </w:divBdr>
                          <w:divsChild>
                            <w:div w:id="522472638">
                              <w:marLeft w:val="300"/>
                              <w:marRight w:val="300"/>
                              <w:marTop w:val="0"/>
                              <w:marBottom w:val="0"/>
                              <w:divBdr>
                                <w:top w:val="none" w:sz="0" w:space="0" w:color="auto"/>
                                <w:left w:val="none" w:sz="0" w:space="0" w:color="auto"/>
                                <w:bottom w:val="none" w:sz="0" w:space="0" w:color="auto"/>
                                <w:right w:val="none" w:sz="0" w:space="0" w:color="auto"/>
                              </w:divBdr>
                              <w:divsChild>
                                <w:div w:id="957836940">
                                  <w:marLeft w:val="0"/>
                                  <w:marRight w:val="0"/>
                                  <w:marTop w:val="0"/>
                                  <w:marBottom w:val="0"/>
                                  <w:divBdr>
                                    <w:top w:val="none" w:sz="0" w:space="0" w:color="auto"/>
                                    <w:left w:val="none" w:sz="0" w:space="0" w:color="auto"/>
                                    <w:bottom w:val="none" w:sz="0" w:space="0" w:color="auto"/>
                                    <w:right w:val="none" w:sz="0" w:space="0" w:color="auto"/>
                                  </w:divBdr>
                                  <w:divsChild>
                                    <w:div w:id="514417559">
                                      <w:marLeft w:val="0"/>
                                      <w:marRight w:val="0"/>
                                      <w:marTop w:val="0"/>
                                      <w:marBottom w:val="0"/>
                                      <w:divBdr>
                                        <w:top w:val="none" w:sz="0" w:space="0" w:color="auto"/>
                                        <w:left w:val="none" w:sz="0" w:space="0" w:color="auto"/>
                                        <w:bottom w:val="none" w:sz="0" w:space="0" w:color="auto"/>
                                        <w:right w:val="none" w:sz="0" w:space="0" w:color="auto"/>
                                      </w:divBdr>
                                      <w:divsChild>
                                        <w:div w:id="856310226">
                                          <w:marLeft w:val="0"/>
                                          <w:marRight w:val="0"/>
                                          <w:marTop w:val="0"/>
                                          <w:marBottom w:val="0"/>
                                          <w:divBdr>
                                            <w:top w:val="none" w:sz="0" w:space="0" w:color="auto"/>
                                            <w:left w:val="none" w:sz="0" w:space="0" w:color="auto"/>
                                            <w:bottom w:val="none" w:sz="0" w:space="0" w:color="auto"/>
                                            <w:right w:val="none" w:sz="0" w:space="0" w:color="auto"/>
                                          </w:divBdr>
                                          <w:divsChild>
                                            <w:div w:id="873352489">
                                              <w:marLeft w:val="0"/>
                                              <w:marRight w:val="0"/>
                                              <w:marTop w:val="0"/>
                                              <w:marBottom w:val="0"/>
                                              <w:divBdr>
                                                <w:top w:val="none" w:sz="0" w:space="0" w:color="auto"/>
                                                <w:left w:val="none" w:sz="0" w:space="0" w:color="auto"/>
                                                <w:bottom w:val="none" w:sz="0" w:space="0" w:color="auto"/>
                                                <w:right w:val="none" w:sz="0" w:space="0" w:color="auto"/>
                                              </w:divBdr>
                                              <w:divsChild>
                                                <w:div w:id="819537323">
                                                  <w:marLeft w:val="0"/>
                                                  <w:marRight w:val="-150"/>
                                                  <w:marTop w:val="0"/>
                                                  <w:marBottom w:val="225"/>
                                                  <w:divBdr>
                                                    <w:top w:val="none" w:sz="0" w:space="0" w:color="auto"/>
                                                    <w:left w:val="none" w:sz="0" w:space="0" w:color="auto"/>
                                                    <w:bottom w:val="none" w:sz="0" w:space="0" w:color="auto"/>
                                                    <w:right w:val="none" w:sz="0" w:space="0" w:color="auto"/>
                                                  </w:divBdr>
                                                  <w:divsChild>
                                                    <w:div w:id="598484599">
                                                      <w:marLeft w:val="0"/>
                                                      <w:marRight w:val="0"/>
                                                      <w:marTop w:val="0"/>
                                                      <w:marBottom w:val="343"/>
                                                      <w:divBdr>
                                                        <w:top w:val="none" w:sz="0" w:space="0" w:color="auto"/>
                                                        <w:left w:val="none" w:sz="0" w:space="0" w:color="auto"/>
                                                        <w:bottom w:val="none" w:sz="0" w:space="0" w:color="auto"/>
                                                        <w:right w:val="none" w:sz="0" w:space="0" w:color="auto"/>
                                                      </w:divBdr>
                                                    </w:div>
                                                  </w:divsChild>
                                                </w:div>
                                              </w:divsChild>
                                            </w:div>
                                            <w:div w:id="248539194">
                                              <w:marLeft w:val="0"/>
                                              <w:marRight w:val="0"/>
                                              <w:marTop w:val="300"/>
                                              <w:marBottom w:val="300"/>
                                              <w:divBdr>
                                                <w:top w:val="none" w:sz="0" w:space="0" w:color="auto"/>
                                                <w:left w:val="none" w:sz="0" w:space="0" w:color="auto"/>
                                                <w:bottom w:val="none" w:sz="0" w:space="0" w:color="auto"/>
                                                <w:right w:val="none" w:sz="0" w:space="0" w:color="auto"/>
                                              </w:divBdr>
                                              <w:divsChild>
                                                <w:div w:id="822625167">
                                                  <w:marLeft w:val="0"/>
                                                  <w:marRight w:val="0"/>
                                                  <w:marTop w:val="0"/>
                                                  <w:marBottom w:val="343"/>
                                                  <w:divBdr>
                                                    <w:top w:val="none" w:sz="0" w:space="0" w:color="auto"/>
                                                    <w:left w:val="none" w:sz="0" w:space="0" w:color="auto"/>
                                                    <w:bottom w:val="none" w:sz="0" w:space="0" w:color="auto"/>
                                                    <w:right w:val="none" w:sz="0" w:space="0" w:color="auto"/>
                                                  </w:divBdr>
                                                </w:div>
                                                <w:div w:id="1628389514">
                                                  <w:marLeft w:val="0"/>
                                                  <w:marRight w:val="0"/>
                                                  <w:marTop w:val="0"/>
                                                  <w:marBottom w:val="34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hart" Target="charts/chart1.xml"/><Relationship Id="rId5" Type="http://schemas.openxmlformats.org/officeDocument/2006/relationships/endnotes" Target="endnotes.xml"/><Relationship Id="rId4"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a:lstStyle/>
          <a:p>
            <a:pPr>
              <a:defRPr/>
            </a:pPr>
            <a:r>
              <a:rPr lang="en-US"/>
              <a:t>AKI Mortality total</a:t>
            </a:r>
          </a:p>
        </c:rich>
      </c:tx>
      <c:overlay val="0"/>
    </c:title>
    <c:autoTitleDeleted val="0"/>
    <c:plotArea>
      <c:layout/>
      <c:lineChart>
        <c:grouping val="standard"/>
        <c:varyColors val="0"/>
        <c:ser>
          <c:idx val="0"/>
          <c:order val="0"/>
          <c:tx>
            <c:strRef>
              <c:f>Sheet1!$F$9</c:f>
              <c:strCache>
                <c:ptCount val="1"/>
                <c:pt idx="0">
                  <c:v>AKI total</c:v>
                </c:pt>
              </c:strCache>
            </c:strRef>
          </c:tx>
          <c:marker>
            <c:symbol val="none"/>
          </c:marker>
          <c:cat>
            <c:strRef>
              <c:f>Sheet1!$D$10:$D$36</c:f>
              <c:strCache>
                <c:ptCount val="27"/>
                <c:pt idx="0">
                  <c:v>2015-05</c:v>
                </c:pt>
                <c:pt idx="1">
                  <c:v>2015-06</c:v>
                </c:pt>
                <c:pt idx="2">
                  <c:v>2015-07</c:v>
                </c:pt>
                <c:pt idx="3">
                  <c:v>2015-08</c:v>
                </c:pt>
                <c:pt idx="4">
                  <c:v>2015-09</c:v>
                </c:pt>
                <c:pt idx="5">
                  <c:v>2015-10</c:v>
                </c:pt>
                <c:pt idx="6">
                  <c:v>2015-11</c:v>
                </c:pt>
                <c:pt idx="7">
                  <c:v>2015-12</c:v>
                </c:pt>
                <c:pt idx="8">
                  <c:v>2016-01</c:v>
                </c:pt>
                <c:pt idx="9">
                  <c:v>2016-02</c:v>
                </c:pt>
                <c:pt idx="10">
                  <c:v>2016-04</c:v>
                </c:pt>
                <c:pt idx="11">
                  <c:v>2016-05</c:v>
                </c:pt>
                <c:pt idx="12">
                  <c:v>2016-06</c:v>
                </c:pt>
                <c:pt idx="13">
                  <c:v>2016-07</c:v>
                </c:pt>
                <c:pt idx="14">
                  <c:v>2016-08</c:v>
                </c:pt>
                <c:pt idx="15">
                  <c:v>2016-09</c:v>
                </c:pt>
                <c:pt idx="16">
                  <c:v>2016-10</c:v>
                </c:pt>
                <c:pt idx="17">
                  <c:v>2016-11</c:v>
                </c:pt>
                <c:pt idx="18">
                  <c:v>2016-12</c:v>
                </c:pt>
                <c:pt idx="19">
                  <c:v>2017-01</c:v>
                </c:pt>
                <c:pt idx="20">
                  <c:v>2017-02</c:v>
                </c:pt>
                <c:pt idx="21">
                  <c:v>2017-03</c:v>
                </c:pt>
                <c:pt idx="22">
                  <c:v>2017-04</c:v>
                </c:pt>
                <c:pt idx="23">
                  <c:v>2017-05</c:v>
                </c:pt>
                <c:pt idx="24">
                  <c:v>2017-06</c:v>
                </c:pt>
                <c:pt idx="25">
                  <c:v>2017-07</c:v>
                </c:pt>
                <c:pt idx="26">
                  <c:v>2017-08</c:v>
                </c:pt>
              </c:strCache>
            </c:strRef>
          </c:cat>
          <c:val>
            <c:numRef>
              <c:f>Sheet1!$F$10:$F$36</c:f>
              <c:numCache>
                <c:formatCode>#,##0.0%;#,##0.0%;#,##0.0%</c:formatCode>
                <c:ptCount val="27"/>
                <c:pt idx="0">
                  <c:v>0.17045454545454544</c:v>
                </c:pt>
                <c:pt idx="1">
                  <c:v>0.16568047337278108</c:v>
                </c:pt>
                <c:pt idx="2">
                  <c:v>0.15789473684210525</c:v>
                </c:pt>
                <c:pt idx="3">
                  <c:v>0.19377990430622011</c:v>
                </c:pt>
                <c:pt idx="4">
                  <c:v>0.15489749430523919</c:v>
                </c:pt>
                <c:pt idx="5">
                  <c:v>0.15976331360946747</c:v>
                </c:pt>
                <c:pt idx="6">
                  <c:v>0.18264840182648401</c:v>
                </c:pt>
                <c:pt idx="7">
                  <c:v>0.169921875</c:v>
                </c:pt>
                <c:pt idx="8">
                  <c:v>0.19615384615384615</c:v>
                </c:pt>
                <c:pt idx="9">
                  <c:v>0.2023529411764706</c:v>
                </c:pt>
                <c:pt idx="10">
                  <c:v>0.16009280742459397</c:v>
                </c:pt>
                <c:pt idx="11">
                  <c:v>0.14516129032258066</c:v>
                </c:pt>
                <c:pt idx="12">
                  <c:v>0.14250614250614252</c:v>
                </c:pt>
                <c:pt idx="13">
                  <c:v>0.17149220489977729</c:v>
                </c:pt>
                <c:pt idx="14">
                  <c:v>0.1766109785202864</c:v>
                </c:pt>
                <c:pt idx="15">
                  <c:v>0.15489749430523919</c:v>
                </c:pt>
                <c:pt idx="16">
                  <c:v>0.14611872146118721</c:v>
                </c:pt>
                <c:pt idx="17">
                  <c:v>0.17525773195876287</c:v>
                </c:pt>
                <c:pt idx="18">
                  <c:v>0.164969450101833</c:v>
                </c:pt>
                <c:pt idx="19">
                  <c:v>0.19635627530364372</c:v>
                </c:pt>
                <c:pt idx="20">
                  <c:v>0.18403547671840353</c:v>
                </c:pt>
                <c:pt idx="21">
                  <c:v>0.12473572938689217</c:v>
                </c:pt>
                <c:pt idx="22">
                  <c:v>0.16702819956616052</c:v>
                </c:pt>
                <c:pt idx="23">
                  <c:v>0.14623655913978495</c:v>
                </c:pt>
                <c:pt idx="24">
                  <c:v>0.14377682403433475</c:v>
                </c:pt>
                <c:pt idx="25">
                  <c:v>0.13402061855670103</c:v>
                </c:pt>
                <c:pt idx="26">
                  <c:v>0.13478260869565217</c:v>
                </c:pt>
              </c:numCache>
            </c:numRef>
          </c:val>
          <c:smooth val="0"/>
          <c:extLst>
            <c:ext xmlns:c16="http://schemas.microsoft.com/office/drawing/2014/chart" uri="{C3380CC4-5D6E-409C-BE32-E72D297353CC}">
              <c16:uniqueId val="{00000000-1BA6-435E-9CDC-9C67F9D1579D}"/>
            </c:ext>
          </c:extLst>
        </c:ser>
        <c:dLbls>
          <c:showLegendKey val="0"/>
          <c:showVal val="0"/>
          <c:showCatName val="0"/>
          <c:showSerName val="0"/>
          <c:showPercent val="0"/>
          <c:showBubbleSize val="0"/>
        </c:dLbls>
        <c:smooth val="0"/>
        <c:axId val="180413952"/>
        <c:axId val="180415488"/>
      </c:lineChart>
      <c:catAx>
        <c:axId val="180413952"/>
        <c:scaling>
          <c:orientation val="minMax"/>
        </c:scaling>
        <c:delete val="0"/>
        <c:axPos val="b"/>
        <c:numFmt formatCode="General" sourceLinked="0"/>
        <c:majorTickMark val="out"/>
        <c:minorTickMark val="none"/>
        <c:tickLblPos val="nextTo"/>
        <c:crossAx val="180415488"/>
        <c:crosses val="autoZero"/>
        <c:auto val="1"/>
        <c:lblAlgn val="ctr"/>
        <c:lblOffset val="100"/>
        <c:noMultiLvlLbl val="0"/>
      </c:catAx>
      <c:valAx>
        <c:axId val="180415488"/>
        <c:scaling>
          <c:orientation val="minMax"/>
        </c:scaling>
        <c:delete val="0"/>
        <c:axPos val="l"/>
        <c:majorGridlines/>
        <c:numFmt formatCode="#,##0.0%;#,##0.0%;#,##0.0%" sourceLinked="1"/>
        <c:majorTickMark val="out"/>
        <c:minorTickMark val="none"/>
        <c:tickLblPos val="nextTo"/>
        <c:crossAx val="180413952"/>
        <c:crosses val="autoZero"/>
        <c:crossBetween val="between"/>
      </c:valAx>
    </c:plotArea>
    <c:legend>
      <c:legendPos val="r"/>
      <c:overlay val="0"/>
    </c:legend>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0.18781</cdr:x>
      <cdr:y>0.32813</cdr:y>
    </cdr:from>
    <cdr:to>
      <cdr:x>0.34596</cdr:x>
      <cdr:y>0.57813</cdr:y>
    </cdr:to>
    <cdr:sp macro="" textlink="">
      <cdr:nvSpPr>
        <cdr:cNvPr id="4" name="Text Box 3"/>
        <cdr:cNvSpPr txBox="1"/>
      </cdr:nvSpPr>
      <cdr:spPr>
        <a:xfrm xmlns:a="http://schemas.openxmlformats.org/drawingml/2006/main">
          <a:off x="1085850" y="12001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0.0939</cdr:x>
      <cdr:y>0.25521</cdr:y>
    </cdr:from>
    <cdr:to>
      <cdr:x>0.31631</cdr:x>
      <cdr:y>0.58073</cdr:y>
    </cdr:to>
    <cdr:sp macro="" textlink="">
      <cdr:nvSpPr>
        <cdr:cNvPr id="5" name="Text Box 4"/>
        <cdr:cNvSpPr txBox="1"/>
      </cdr:nvSpPr>
      <cdr:spPr>
        <a:xfrm xmlns:a="http://schemas.openxmlformats.org/drawingml/2006/main">
          <a:off x="542925" y="933450"/>
          <a:ext cx="1285875" cy="11906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100" b="1">
              <a:solidFill>
                <a:srgbClr val="FF0000"/>
              </a:solidFill>
            </a:rPr>
            <a:t>                17.2%</a:t>
          </a:r>
        </a:p>
        <a:p xmlns:a="http://schemas.openxmlformats.org/drawingml/2006/main">
          <a:r>
            <a:rPr lang="en-GB" sz="1100" b="1">
              <a:solidFill>
                <a:srgbClr val="FF0000"/>
              </a:solidFill>
            </a:rPr>
            <a:t>-------------------------------------</a:t>
          </a:r>
        </a:p>
      </cdr:txBody>
    </cdr:sp>
  </cdr:relSizeAnchor>
  <cdr:relSizeAnchor xmlns:cdr="http://schemas.openxmlformats.org/drawingml/2006/chartDrawing">
    <cdr:from>
      <cdr:x>0.38715</cdr:x>
      <cdr:y>0.29948</cdr:y>
    </cdr:from>
    <cdr:to>
      <cdr:x>0.60956</cdr:x>
      <cdr:y>0.625</cdr:y>
    </cdr:to>
    <cdr:sp macro="" textlink="">
      <cdr:nvSpPr>
        <cdr:cNvPr id="8" name="Text Box 7"/>
        <cdr:cNvSpPr txBox="1"/>
      </cdr:nvSpPr>
      <cdr:spPr>
        <a:xfrm xmlns:a="http://schemas.openxmlformats.org/drawingml/2006/main">
          <a:off x="2238375" y="1095375"/>
          <a:ext cx="1285875" cy="11906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100" b="1">
              <a:solidFill>
                <a:srgbClr val="FF0000"/>
              </a:solidFill>
            </a:rPr>
            <a:t>                16.2%</a:t>
          </a:r>
        </a:p>
        <a:p xmlns:a="http://schemas.openxmlformats.org/drawingml/2006/main">
          <a:r>
            <a:rPr lang="en-GB" sz="1100" b="1">
              <a:solidFill>
                <a:srgbClr val="FF0000"/>
              </a:solidFill>
            </a:rPr>
            <a:t>---------------------------------</a:t>
          </a:r>
        </a:p>
      </cdr:txBody>
    </cdr:sp>
  </cdr:relSizeAnchor>
  <cdr:relSizeAnchor xmlns:cdr="http://schemas.openxmlformats.org/drawingml/2006/chartDrawing">
    <cdr:from>
      <cdr:x>0.64745</cdr:x>
      <cdr:y>0.35156</cdr:y>
    </cdr:from>
    <cdr:to>
      <cdr:x>0.86985</cdr:x>
      <cdr:y>0.67708</cdr:y>
    </cdr:to>
    <cdr:sp macro="" textlink="">
      <cdr:nvSpPr>
        <cdr:cNvPr id="9" name="Text Box 8"/>
        <cdr:cNvSpPr txBox="1"/>
      </cdr:nvSpPr>
      <cdr:spPr>
        <a:xfrm xmlns:a="http://schemas.openxmlformats.org/drawingml/2006/main">
          <a:off x="3743325" y="1285875"/>
          <a:ext cx="1285875" cy="11906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100" b="1">
              <a:solidFill>
                <a:srgbClr val="FF0000"/>
              </a:solidFill>
            </a:rPr>
            <a:t>           14.6%</a:t>
          </a:r>
        </a:p>
        <a:p xmlns:a="http://schemas.openxmlformats.org/drawingml/2006/main">
          <a:r>
            <a:rPr lang="en-GB" sz="1100" b="1">
              <a:solidFill>
                <a:srgbClr val="FF0000"/>
              </a:solidFill>
            </a:rPr>
            <a:t>------------------------</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18</TotalTime>
  <Pages>1</Pages>
  <Words>385</Words>
  <Characters>2198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Countess of Chester Hospital NHS Foundation Trust</Company>
  <LinksUpToDate>false</LinksUpToDate>
  <CharactersWithSpaces>2578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Abdulnabi, Khaled</dc:creator>
  <cp:lastModifiedBy>Khaled</cp:lastModifiedBy>
  <cp:revision>4</cp:revision>
  <dcterms:created xsi:type="dcterms:W3CDTF">2018-01-31T18:49:00Z</dcterms:created>
  <dcterms:modified xsi:type="dcterms:W3CDTF">2018-01-31T23:42:00Z</dcterms:modified>
</cp:coreProperties>
</file>