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0210D" w14:textId="4B7E4CF6" w:rsidR="008E114A" w:rsidRPr="00F82E86" w:rsidRDefault="002B61D8" w:rsidP="00C55DE2">
      <w:pPr>
        <w:jc w:val="center"/>
        <w:rPr>
          <w:rFonts w:ascii="Times New Roman" w:hAnsi="Times New Roman" w:cs="Times New Roman"/>
          <w:b/>
          <w:color w:val="262626"/>
          <w:sz w:val="22"/>
          <w:szCs w:val="22"/>
          <w:u w:val="single"/>
        </w:rPr>
      </w:pPr>
      <w:r w:rsidRPr="00F82E86">
        <w:rPr>
          <w:rFonts w:ascii="Times New Roman" w:hAnsi="Times New Roman" w:cs="Times New Roman"/>
          <w:b/>
          <w:color w:val="262626"/>
          <w:sz w:val="22"/>
          <w:szCs w:val="22"/>
          <w:u w:val="single"/>
        </w:rPr>
        <w:t xml:space="preserve">Mortality and Morbidity following Renal Rehabilitation in patients with CKD: The effect of programme completion </w:t>
      </w:r>
      <w:r w:rsidR="006B3C11" w:rsidRPr="00F82E86">
        <w:rPr>
          <w:rFonts w:ascii="Times New Roman" w:hAnsi="Times New Roman" w:cs="Times New Roman"/>
          <w:b/>
          <w:color w:val="262626"/>
          <w:sz w:val="22"/>
          <w:szCs w:val="22"/>
          <w:u w:val="single"/>
        </w:rPr>
        <w:t>and change in exercise capacity</w:t>
      </w:r>
    </w:p>
    <w:p w14:paraId="70D0E92E" w14:textId="77777777" w:rsidR="008E114A" w:rsidRPr="00F82E86" w:rsidRDefault="008E114A" w:rsidP="008E114A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198E7469" w14:textId="551FFAF6" w:rsidR="008E114A" w:rsidRPr="00F82E86" w:rsidRDefault="002F6BF2" w:rsidP="008E114A">
      <w:pPr>
        <w:rPr>
          <w:rFonts w:ascii="Times New Roman" w:hAnsi="Times New Roman" w:cs="Times New Roman"/>
          <w:color w:val="262626"/>
          <w:sz w:val="22"/>
          <w:szCs w:val="22"/>
          <w:lang w:val="en-GB"/>
        </w:rPr>
      </w:pPr>
      <w:r w:rsidRPr="00F82E86">
        <w:rPr>
          <w:rFonts w:ascii="Times New Roman" w:hAnsi="Times New Roman" w:cs="Times New Roman"/>
          <w:b/>
          <w:color w:val="262626"/>
          <w:sz w:val="22"/>
          <w:szCs w:val="22"/>
        </w:rPr>
        <w:t>Background: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</w:rPr>
        <w:t>Twelve</w:t>
      </w:r>
      <w:r w:rsidR="00694790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weeks of renal rehabilitation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(RR)</w:t>
      </w:r>
      <w:r w:rsidR="00387C43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(twice-weekly supervised aerobic training, resistance training and education) 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</w:rPr>
        <w:t>has been shown to</w:t>
      </w:r>
      <w:r w:rsidR="00387C43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improve exercise capacity, functional ability, depression and anxiety in patients with 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</w:rPr>
        <w:t>chronic kidney disease (</w:t>
      </w:r>
      <w:r w:rsidR="00387C43" w:rsidRPr="00F82E86">
        <w:rPr>
          <w:rFonts w:ascii="Times New Roman" w:hAnsi="Times New Roman" w:cs="Times New Roman"/>
          <w:color w:val="262626"/>
          <w:sz w:val="22"/>
          <w:szCs w:val="22"/>
        </w:rPr>
        <w:t>CKD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</w:rPr>
        <w:t>)</w:t>
      </w:r>
      <w:r w:rsidR="00387C43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at all stages of the CKD trajectory. 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S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urvival following RR has not previously been examined. Our aims were to compare the long-term 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risk of a combined </w:t>
      </w:r>
      <w:r w:rsidR="00623EA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mortality and morbidity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event 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in two cohorts of patients referred for RR; those who successfully completed the programme</w:t>
      </w:r>
      <w:r w:rsidR="00565726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(completers)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, and those patients who either did not complete RR or did not start the program</w:t>
      </w:r>
      <w:r w:rsidR="00565726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(non-completers)</w:t>
      </w:r>
      <w:r w:rsidR="000577C1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. I</w:t>
      </w:r>
      <w:r w:rsidR="0096215E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n those participants who</w:t>
      </w:r>
      <w:r w:rsidR="000577C1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completed the programme, 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we </w:t>
      </w:r>
      <w:r w:rsidR="000577C1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also </w:t>
      </w:r>
      <w:r w:rsidR="00E75F6F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aimed to 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examine time to combined event</w:t>
      </w:r>
      <w:r w:rsidR="00424688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between those people who were able to achieve a clinically meaningful improvement in exercise capacity following RR</w:t>
      </w:r>
      <w:r w:rsidR="00565726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(responders)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with those who were not</w:t>
      </w:r>
      <w:r w:rsidR="00565726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(non-responders)</w:t>
      </w:r>
      <w:r w:rsidR="00C55DE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. </w:t>
      </w:r>
    </w:p>
    <w:p w14:paraId="0914ACCD" w14:textId="77777777" w:rsidR="008E114A" w:rsidRPr="00F82E86" w:rsidRDefault="008E114A" w:rsidP="008E114A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7935E0FA" w14:textId="76380412" w:rsidR="008E114A" w:rsidRPr="00F82E86" w:rsidRDefault="002F6BF2" w:rsidP="008E114A">
      <w:pPr>
        <w:rPr>
          <w:rFonts w:ascii="Times New Roman" w:hAnsi="Times New Roman" w:cs="Times New Roman"/>
          <w:color w:val="262626"/>
          <w:sz w:val="22"/>
          <w:szCs w:val="22"/>
          <w:lang w:val="en-GB"/>
        </w:rPr>
      </w:pPr>
      <w:r w:rsidRPr="00F82E86">
        <w:rPr>
          <w:rFonts w:ascii="Times New Roman" w:hAnsi="Times New Roman" w:cs="Times New Roman"/>
          <w:b/>
          <w:color w:val="262626"/>
          <w:sz w:val="22"/>
          <w:szCs w:val="22"/>
        </w:rPr>
        <w:t>Methods: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E97A89" w:rsidRPr="00F82E86">
        <w:rPr>
          <w:rFonts w:ascii="Times New Roman" w:hAnsi="Times New Roman" w:cs="Times New Roman"/>
          <w:color w:val="262626"/>
          <w:sz w:val="22"/>
          <w:szCs w:val="22"/>
        </w:rPr>
        <w:t>A retrospective longitudinal analysis of clinical service outcomes was conducted. We analysed the value of programme completion and exercis</w:t>
      </w:r>
      <w:r w:rsidR="00E956B3" w:rsidRPr="00F82E86">
        <w:rPr>
          <w:rFonts w:ascii="Times New Roman" w:hAnsi="Times New Roman" w:cs="Times New Roman"/>
          <w:color w:val="262626"/>
          <w:sz w:val="22"/>
          <w:szCs w:val="22"/>
        </w:rPr>
        <w:t>e capacity, characterised as change in</w:t>
      </w:r>
      <w:r w:rsidR="00E97A89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incremental shuttle walk test (ISWT)</w:t>
      </w:r>
      <w:r w:rsidR="006B77F6" w:rsidRPr="00F82E86">
        <w:rPr>
          <w:rFonts w:ascii="Times New Roman" w:hAnsi="Times New Roman" w:cs="Times New Roman"/>
          <w:color w:val="262626"/>
          <w:sz w:val="22"/>
          <w:szCs w:val="22"/>
        </w:rPr>
        <w:t>,</w:t>
      </w:r>
      <w:r w:rsidR="00E97A89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for predicting 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</w:rPr>
        <w:t>the risk of a combined event including death, cerebrovascular accident</w:t>
      </w:r>
      <w:r w:rsidR="00BF388C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(confirmed stroke)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and hospitalisation for chronic heart failure</w:t>
      </w:r>
      <w:r w:rsidR="006117CA" w:rsidRPr="00F82E86" w:rsidDel="006117CA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BA3042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(excluding myocardial infarction and cardiac arrest) </w:t>
      </w:r>
      <w:r w:rsidR="00E97A89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in a cohort of  patients 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</w:rPr>
        <w:t>with</w:t>
      </w:r>
      <w:r w:rsidR="00E97A89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CKD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>. In completers</w:t>
      </w:r>
      <w:r w:rsidR="008B18B0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(participants who completed &gt;</w:t>
      </w:r>
      <w:r w:rsidR="008B5AC5" w:rsidRPr="00F82E86">
        <w:rPr>
          <w:rFonts w:ascii="Times New Roman" w:hAnsi="Times New Roman" w:cs="Times New Roman"/>
          <w:color w:val="262626"/>
          <w:sz w:val="22"/>
          <w:szCs w:val="22"/>
        </w:rPr>
        <w:t>50% of planned sessions and had post-rehab outcome data)</w:t>
      </w:r>
      <w:r w:rsidR="00424688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, 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>time to combined event</w:t>
      </w:r>
      <w:r w:rsidR="00424688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>was examined between responders (</w:t>
      </w:r>
      <w:r w:rsidR="00424688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those 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achieving 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(≥50 m increase in ISWT distance) and non responders (&lt;50 m increase)</w:t>
      </w:r>
      <w:r w:rsidR="000B2F36" w:rsidRPr="00F82E86" w:rsidDel="000B2F3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424688" w:rsidRPr="00F82E86">
        <w:rPr>
          <w:rFonts w:ascii="Times New Roman" w:hAnsi="Times New Roman" w:cs="Times New Roman"/>
          <w:color w:val="262626"/>
          <w:sz w:val="22"/>
          <w:szCs w:val="22"/>
        </w:rPr>
        <w:t>.</w:t>
      </w:r>
      <w:r w:rsidR="007C5E70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8E114A" w:rsidRPr="00F82E86">
        <w:rPr>
          <w:rFonts w:ascii="Times New Roman" w:hAnsi="Times New Roman" w:cs="Times New Roman"/>
          <w:color w:val="262626"/>
          <w:sz w:val="22"/>
          <w:szCs w:val="22"/>
        </w:rPr>
        <w:t>Kaplan-Meier survival analyses were performed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>.</w:t>
      </w:r>
      <w:r w:rsidRPr="00F82E86">
        <w:rPr>
          <w:rFonts w:ascii="Times New Roman" w:hAnsi="Times New Roman" w:cs="Times New Roman"/>
          <w:sz w:val="22"/>
          <w:szCs w:val="22"/>
        </w:rPr>
        <w:t xml:space="preserve"> </w:t>
      </w:r>
      <w:r w:rsidR="000B2F36" w:rsidRPr="00F82E86">
        <w:rPr>
          <w:rFonts w:ascii="Times New Roman" w:hAnsi="Times New Roman" w:cs="Times New Roman"/>
          <w:sz w:val="22"/>
          <w:szCs w:val="22"/>
        </w:rPr>
        <w:t>Differences in t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>ime to combined event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were 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investigated 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with Cox proportional hazards models 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independent of </w:t>
      </w:r>
      <w:r w:rsidR="00C15131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baseline estimated glomerular filtration rate </w:t>
      </w:r>
      <w:r w:rsidR="008A6DE6" w:rsidRPr="00F82E86">
        <w:rPr>
          <w:rFonts w:ascii="Times New Roman" w:hAnsi="Times New Roman" w:cs="Times New Roman"/>
          <w:color w:val="262626"/>
          <w:sz w:val="22"/>
          <w:szCs w:val="22"/>
        </w:rPr>
        <w:t>(</w:t>
      </w:r>
      <w:r w:rsidR="00C15131" w:rsidRPr="00F82E86">
        <w:rPr>
          <w:rFonts w:ascii="Times New Roman" w:hAnsi="Times New Roman" w:cs="Times New Roman"/>
          <w:color w:val="262626"/>
          <w:sz w:val="22"/>
          <w:szCs w:val="22"/>
        </w:rPr>
        <w:t>eGFR), weight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>, diabet</w:t>
      </w:r>
      <w:r w:rsidR="000B2F36" w:rsidRPr="00F82E86">
        <w:rPr>
          <w:rFonts w:ascii="Times New Roman" w:hAnsi="Times New Roman" w:cs="Times New Roman"/>
          <w:color w:val="262626"/>
          <w:sz w:val="22"/>
          <w:szCs w:val="22"/>
        </w:rPr>
        <w:t>es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status, age, gender, ethnicity, </w:t>
      </w:r>
      <w:r w:rsidR="006E1A43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baseline ISWT 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>and smoking status</w:t>
      </w:r>
      <w:r w:rsidR="008E114A" w:rsidRPr="00F82E86">
        <w:rPr>
          <w:rFonts w:ascii="Times New Roman" w:hAnsi="Times New Roman" w:cs="Times New Roman"/>
          <w:color w:val="262626"/>
          <w:sz w:val="22"/>
          <w:szCs w:val="22"/>
        </w:rPr>
        <w:t>.</w:t>
      </w:r>
    </w:p>
    <w:p w14:paraId="2304D2FB" w14:textId="77777777" w:rsidR="008E114A" w:rsidRPr="00F82E86" w:rsidRDefault="008E114A" w:rsidP="008E114A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0B1E99EA" w14:textId="571BDF77" w:rsidR="008E114A" w:rsidRPr="00F82E86" w:rsidRDefault="002F6BF2" w:rsidP="008E114A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F82E86">
        <w:rPr>
          <w:rFonts w:ascii="Times New Roman" w:hAnsi="Times New Roman" w:cs="Times New Roman"/>
          <w:b/>
          <w:color w:val="262626"/>
          <w:sz w:val="22"/>
          <w:szCs w:val="22"/>
        </w:rPr>
        <w:t>Results: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770 patients (male 54%) from across the CKD trajectory (242 haemodialysis patients, 221 kidney transplant recipients, 43 peritoneal dialysis patients, 251 non-dialysis CKD patients) were referred for RR over a 12-year period from 2005 to 2017. </w:t>
      </w:r>
      <w:r w:rsidR="006E1A43" w:rsidRPr="00F82E86">
        <w:rPr>
          <w:rFonts w:ascii="Times New Roman" w:hAnsi="Times New Roman" w:cs="Times New Roman"/>
          <w:color w:val="262626"/>
          <w:sz w:val="22"/>
          <w:szCs w:val="22"/>
        </w:rPr>
        <w:t>There were 173</w:t>
      </w:r>
      <w:r w:rsidR="008E114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events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</w:rPr>
        <w:t>, including 136 deaths</w:t>
      </w:r>
      <w:r w:rsidR="008E114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during </w:t>
      </w:r>
      <w:r w:rsidR="00E97A89" w:rsidRPr="00F82E86">
        <w:rPr>
          <w:rFonts w:ascii="Times New Roman" w:hAnsi="Times New Roman" w:cs="Times New Roman"/>
          <w:color w:val="262626"/>
          <w:sz w:val="22"/>
          <w:szCs w:val="22"/>
        </w:rPr>
        <w:t>the follow-up period</w:t>
      </w:r>
      <w:r w:rsidR="006117C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(median follow-up of 34 months)</w:t>
      </w:r>
      <w:r w:rsidR="00E97A89" w:rsidRPr="00F82E86">
        <w:rPr>
          <w:rFonts w:ascii="Times New Roman" w:hAnsi="Times New Roman" w:cs="Times New Roman"/>
          <w:color w:val="262626"/>
          <w:sz w:val="22"/>
          <w:szCs w:val="22"/>
        </w:rPr>
        <w:t>.</w:t>
      </w:r>
      <w:r w:rsidR="0079738B" w:rsidRPr="00F82E86">
        <w:rPr>
          <w:rFonts w:ascii="Times New Roman" w:eastAsia="Times New Roman" w:hAnsi="Times New Roman" w:cs="Times New Roman"/>
          <w:color w:val="494949"/>
          <w:sz w:val="22"/>
          <w:szCs w:val="22"/>
          <w:shd w:val="clear" w:color="auto" w:fill="FFFFFF"/>
          <w:lang w:val="en-GB" w:eastAsia="en-GB"/>
        </w:rPr>
        <w:t xml:space="preserve"> </w:t>
      </w:r>
      <w:r w:rsidR="000B2F36" w:rsidRPr="00F82E86">
        <w:rPr>
          <w:rFonts w:ascii="Times New Roman" w:eastAsia="Times New Roman" w:hAnsi="Times New Roman" w:cs="Times New Roman"/>
          <w:color w:val="494949"/>
          <w:sz w:val="22"/>
          <w:szCs w:val="22"/>
          <w:shd w:val="clear" w:color="auto" w:fill="FFFFFF"/>
          <w:lang w:val="en-GB" w:eastAsia="en-GB"/>
        </w:rPr>
        <w:t xml:space="preserve">53% of those referred were classified as completers. </w:t>
      </w:r>
      <w:r w:rsidR="0079738B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Survival time was significantly greater in “completers” c</w:t>
      </w:r>
      <w:bookmarkStart w:id="0" w:name="_GoBack"/>
      <w:bookmarkEnd w:id="0"/>
      <w:r w:rsidR="0079738B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ompared to “non-completers” of RR (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p</w:t>
      </w:r>
      <w:r w:rsidR="00AA318D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=0.009</w:t>
      </w:r>
      <w:r w:rsidR="0079738B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). RR success) was also associated with improved survival (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p</w:t>
      </w:r>
      <w:r w:rsidR="00AA318D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=0.02</w:t>
      </w:r>
      <w:r w:rsidR="0079738B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).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with Kaplan Meier analyses</w:t>
      </w:r>
      <w:r w:rsidR="00EF406D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</w:t>
      </w:r>
      <w:r w:rsidR="005D3237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On multivariate analysis, </w:t>
      </w:r>
      <w:r w:rsidR="007F6183" w:rsidRPr="00F82E86">
        <w:rPr>
          <w:rFonts w:ascii="Times New Roman" w:hAnsi="Times New Roman" w:cs="Times New Roman"/>
          <w:color w:val="262626"/>
          <w:sz w:val="22"/>
          <w:szCs w:val="22"/>
        </w:rPr>
        <w:t>completing a RR programme</w:t>
      </w:r>
      <w:r w:rsidR="006723D6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contributed significantly to the minimal explanatory model relating clinical variables to mortality and morbidity (overall </w:t>
      </w:r>
      <w:r w:rsidR="00326695" w:rsidRPr="00F82E86">
        <w:rPr>
          <w:rFonts w:ascii="Times New Roman" w:hAnsi="Times New Roman" w:cs="Times New Roman"/>
          <w:color w:val="262626"/>
          <w:sz w:val="22"/>
          <w:szCs w:val="22"/>
        </w:rPr>
        <w:sym w:font="Symbol" w:char="F063"/>
      </w:r>
      <w:r w:rsidR="00326695" w:rsidRPr="00F82E86">
        <w:rPr>
          <w:rFonts w:ascii="Times New Roman" w:hAnsi="Times New Roman" w:cs="Times New Roman"/>
          <w:color w:val="262626"/>
          <w:sz w:val="22"/>
          <w:szCs w:val="22"/>
          <w:vertAlign w:val="superscript"/>
        </w:rPr>
        <w:t xml:space="preserve">2 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49.0, </w:t>
      </w:r>
      <w:r w:rsidR="00DC6BD4" w:rsidRPr="00F82E86">
        <w:rPr>
          <w:rFonts w:ascii="Times New Roman" w:hAnsi="Times New Roman" w:cs="Times New Roman"/>
          <w:i/>
          <w:color w:val="262626"/>
          <w:sz w:val="22"/>
          <w:szCs w:val="22"/>
        </w:rPr>
        <w:t>p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t>&lt;</w:t>
      </w:r>
      <w:r w:rsidR="006723D6" w:rsidRPr="00F82E86">
        <w:rPr>
          <w:rFonts w:ascii="Times New Roman" w:hAnsi="Times New Roman" w:cs="Times New Roman"/>
          <w:color w:val="262626"/>
          <w:sz w:val="22"/>
          <w:szCs w:val="22"/>
        </w:rPr>
        <w:t>0.001).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Patients who did not complete the RR programme had a </w:t>
      </w:r>
      <w:r w:rsidR="008B5AC5" w:rsidRPr="00F82E86">
        <w:rPr>
          <w:rFonts w:ascii="Times New Roman" w:hAnsi="Times New Roman" w:cs="Times New Roman"/>
          <w:color w:val="262626"/>
          <w:sz w:val="22"/>
          <w:szCs w:val="22"/>
        </w:rPr>
        <w:t>34%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(Hazard ratio = 0.66; confidence interval: 0.44 to 0.99) independent </w:t>
      </w:r>
      <w:r w:rsidR="00CA13B5" w:rsidRPr="00F82E86">
        <w:rPr>
          <w:rFonts w:ascii="Times New Roman" w:hAnsi="Times New Roman" w:cs="Times New Roman"/>
          <w:color w:val="262626"/>
          <w:sz w:val="22"/>
          <w:szCs w:val="22"/>
        </w:rPr>
        <w:t>lower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risk of a combined event (</w:t>
      </w:r>
      <w:r w:rsidR="00970A24" w:rsidRPr="00F82E86">
        <w:rPr>
          <w:rFonts w:ascii="Times New Roman" w:hAnsi="Times New Roman" w:cs="Times New Roman"/>
          <w:i/>
          <w:color w:val="262626"/>
          <w:sz w:val="22"/>
          <w:szCs w:val="22"/>
        </w:rPr>
        <w:t>p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=0.04). 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Change in ISWT of &gt;50m </w:t>
      </w:r>
      <w:r w:rsidR="005D3237" w:rsidRPr="00F82E86">
        <w:rPr>
          <w:rFonts w:ascii="Times New Roman" w:hAnsi="Times New Roman" w:cs="Times New Roman"/>
          <w:color w:val="262626"/>
          <w:sz w:val="22"/>
          <w:szCs w:val="22"/>
        </w:rPr>
        <w:t>contributed significantly to the minimal explanatory model re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lating clinical variables to </w:t>
      </w:r>
      <w:r w:rsidR="005D3237" w:rsidRPr="00F82E86">
        <w:rPr>
          <w:rFonts w:ascii="Times New Roman" w:hAnsi="Times New Roman" w:cs="Times New Roman"/>
          <w:color w:val="262626"/>
          <w:sz w:val="22"/>
          <w:szCs w:val="22"/>
        </w:rPr>
        <w:t>mortality and morbidity (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overall 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sym w:font="Symbol" w:char="F063"/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  <w:vertAlign w:val="superscript"/>
        </w:rPr>
        <w:t>2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50.5, </w:t>
      </w:r>
      <w:r w:rsidR="00DC6BD4" w:rsidRPr="00F82E86">
        <w:rPr>
          <w:rFonts w:ascii="Times New Roman" w:hAnsi="Times New Roman" w:cs="Times New Roman"/>
          <w:i/>
          <w:color w:val="262626"/>
          <w:sz w:val="22"/>
          <w:szCs w:val="22"/>
        </w:rPr>
        <w:t>p</w:t>
      </w:r>
      <w:r w:rsidR="00DC6BD4" w:rsidRPr="00F82E86">
        <w:rPr>
          <w:rFonts w:ascii="Times New Roman" w:hAnsi="Times New Roman" w:cs="Times New Roman"/>
          <w:color w:val="262626"/>
          <w:sz w:val="22"/>
          <w:szCs w:val="22"/>
        </w:rPr>
        <w:t>&lt;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>0.001)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. Non-responders </w:t>
      </w:r>
      <w:r w:rsidR="0029409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had a </w:t>
      </w:r>
      <w:r w:rsidR="00C15131" w:rsidRPr="00F82E86">
        <w:rPr>
          <w:rFonts w:ascii="Times New Roman" w:hAnsi="Times New Roman" w:cs="Times New Roman"/>
          <w:color w:val="262626"/>
          <w:sz w:val="22"/>
          <w:szCs w:val="22"/>
        </w:rPr>
        <w:t>1.8-fold</w:t>
      </w:r>
      <w:r w:rsidR="0029409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(Hazard Ratio = 1.8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>; 95%</w:t>
      </w:r>
      <w:r w:rsidR="0029409A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confidence interval: 1.1 to 3.1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) independent greater risk of </w:t>
      </w:r>
      <w:r w:rsidR="00A51675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a 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>combined event</w:t>
      </w:r>
      <w:r w:rsidR="00B15049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(</w:t>
      </w:r>
      <w:r w:rsidR="00B15049" w:rsidRPr="00F82E86">
        <w:rPr>
          <w:rFonts w:ascii="Times New Roman" w:hAnsi="Times New Roman" w:cs="Times New Roman"/>
          <w:i/>
          <w:color w:val="262626"/>
          <w:sz w:val="22"/>
          <w:szCs w:val="22"/>
        </w:rPr>
        <w:t>p</w:t>
      </w:r>
      <w:r w:rsidR="00B15049" w:rsidRPr="00F82E86">
        <w:rPr>
          <w:rFonts w:ascii="Times New Roman" w:hAnsi="Times New Roman" w:cs="Times New Roman"/>
          <w:color w:val="262626"/>
          <w:sz w:val="22"/>
          <w:szCs w:val="22"/>
        </w:rPr>
        <w:t>=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>0</w:t>
      </w:r>
      <w:r w:rsidR="0029409A" w:rsidRPr="00F82E86">
        <w:rPr>
          <w:rFonts w:ascii="Times New Roman" w:hAnsi="Times New Roman" w:cs="Times New Roman"/>
          <w:color w:val="262626"/>
          <w:sz w:val="22"/>
          <w:szCs w:val="22"/>
        </w:rPr>
        <w:t>.03</w:t>
      </w:r>
      <w:r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). </w:t>
      </w:r>
    </w:p>
    <w:p w14:paraId="3003585C" w14:textId="77777777" w:rsidR="002F6BF2" w:rsidRPr="00F82E86" w:rsidRDefault="002F6BF2" w:rsidP="008E114A">
      <w:pPr>
        <w:rPr>
          <w:rFonts w:ascii="Times New Roman" w:hAnsi="Times New Roman" w:cs="Times New Roman"/>
          <w:color w:val="262626"/>
          <w:sz w:val="22"/>
          <w:szCs w:val="22"/>
        </w:rPr>
      </w:pPr>
    </w:p>
    <w:p w14:paraId="22004AA3" w14:textId="6C5BB882" w:rsidR="00E97A89" w:rsidRPr="00F82E86" w:rsidRDefault="007A44F8">
      <w:pPr>
        <w:rPr>
          <w:rFonts w:ascii="Times New Roman" w:hAnsi="Times New Roman" w:cs="Times New Roman"/>
          <w:color w:val="262626"/>
          <w:sz w:val="22"/>
          <w:szCs w:val="22"/>
          <w:lang w:val="en-GB"/>
        </w:rPr>
      </w:pPr>
      <w:r w:rsidRPr="00F82E86">
        <w:rPr>
          <w:rFonts w:ascii="Times New Roman" w:hAnsi="Times New Roman" w:cs="Times New Roman"/>
          <w:b/>
          <w:color w:val="262626"/>
          <w:sz w:val="22"/>
          <w:szCs w:val="22"/>
        </w:rPr>
        <w:t>Relevance and c</w:t>
      </w:r>
      <w:r w:rsidR="002F6BF2" w:rsidRPr="00F82E86">
        <w:rPr>
          <w:rFonts w:ascii="Times New Roman" w:hAnsi="Times New Roman" w:cs="Times New Roman"/>
          <w:b/>
          <w:color w:val="262626"/>
          <w:sz w:val="22"/>
          <w:szCs w:val="22"/>
        </w:rPr>
        <w:t>onclusion</w:t>
      </w:r>
      <w:r w:rsidR="002F6BF2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: 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There is an association between completion of </w:t>
      </w:r>
      <w:r w:rsidR="00FD720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a 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RR</w:t>
      </w:r>
      <w:r w:rsidR="00FD7202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programme</w:t>
      </w:r>
      <w:r w:rsidR="00B15049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and a lower risk of a combined 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mortality and cardiovascular morbidity </w:t>
      </w:r>
      <w:r w:rsidR="00B15049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event</w:t>
      </w:r>
      <w:r w:rsidR="00B3287B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in this observational cohort study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. In addition, RR 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responders 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(&gt;50 m 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increase 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in </w:t>
      </w:r>
      <w:r w:rsidR="00970A24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ISWT 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distance) was associated with </w:t>
      </w:r>
      <w:r w:rsidR="00B15049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a lower risk of a combined event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>.</w:t>
      </w:r>
      <w:r w:rsidR="00B15049" w:rsidRPr="00F82E86">
        <w:rPr>
          <w:rFonts w:ascii="Times New Roman" w:hAnsi="Times New Roman" w:cs="Times New Roman"/>
          <w:color w:val="262626"/>
          <w:sz w:val="22"/>
          <w:szCs w:val="22"/>
          <w:lang w:val="en-GB"/>
        </w:rPr>
        <w:t xml:space="preserve"> 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</w:rPr>
        <w:t>Renal Rehabilitation</w:t>
      </w:r>
      <w:r w:rsidR="002F6BF2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interventions to improve 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</w:rPr>
        <w:t>exercise capacity</w:t>
      </w:r>
      <w:r w:rsidR="002F6BF2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 in pati</w:t>
      </w:r>
      <w:r w:rsidR="00021FA5" w:rsidRPr="00F82E86">
        <w:rPr>
          <w:rFonts w:ascii="Times New Roman" w:hAnsi="Times New Roman" w:cs="Times New Roman"/>
          <w:color w:val="262626"/>
          <w:sz w:val="22"/>
          <w:szCs w:val="22"/>
        </w:rPr>
        <w:t xml:space="preserve">ents with CKD </w:t>
      </w:r>
      <w:r w:rsidR="003C3A26" w:rsidRPr="00F82E86">
        <w:rPr>
          <w:rFonts w:ascii="Times New Roman" w:hAnsi="Times New Roman" w:cs="Times New Roman"/>
          <w:color w:val="262626"/>
          <w:sz w:val="22"/>
          <w:szCs w:val="22"/>
        </w:rPr>
        <w:t>may reduce the risk of morbidity and mortality and a pragmatic intervention trial is warranted</w:t>
      </w:r>
      <w:r w:rsidR="002F6BF2" w:rsidRPr="00F82E86">
        <w:rPr>
          <w:rFonts w:ascii="Times New Roman" w:hAnsi="Times New Roman" w:cs="Times New Roman"/>
          <w:color w:val="262626"/>
          <w:sz w:val="22"/>
          <w:szCs w:val="22"/>
        </w:rPr>
        <w:t>.</w:t>
      </w:r>
    </w:p>
    <w:sectPr w:rsidR="00E97A89" w:rsidRPr="00F82E86" w:rsidSect="006B3C11">
      <w:pgSz w:w="11900" w:h="16840"/>
      <w:pgMar w:top="1728" w:right="1728" w:bottom="1728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4A"/>
    <w:rsid w:val="00021FA5"/>
    <w:rsid w:val="000577C1"/>
    <w:rsid w:val="000B2F36"/>
    <w:rsid w:val="0029409A"/>
    <w:rsid w:val="002B1F9E"/>
    <w:rsid w:val="002B61D8"/>
    <w:rsid w:val="002F6BF2"/>
    <w:rsid w:val="00326695"/>
    <w:rsid w:val="003535F3"/>
    <w:rsid w:val="00387C43"/>
    <w:rsid w:val="003C3A26"/>
    <w:rsid w:val="00424688"/>
    <w:rsid w:val="00565726"/>
    <w:rsid w:val="00575000"/>
    <w:rsid w:val="005B0813"/>
    <w:rsid w:val="005B7338"/>
    <w:rsid w:val="005D3237"/>
    <w:rsid w:val="006117CA"/>
    <w:rsid w:val="00623EA4"/>
    <w:rsid w:val="006723D6"/>
    <w:rsid w:val="00694790"/>
    <w:rsid w:val="006B3C11"/>
    <w:rsid w:val="006B77F6"/>
    <w:rsid w:val="006E1A43"/>
    <w:rsid w:val="00724C6A"/>
    <w:rsid w:val="00745EA8"/>
    <w:rsid w:val="0079738B"/>
    <w:rsid w:val="007A44F8"/>
    <w:rsid w:val="007C5E70"/>
    <w:rsid w:val="007F100F"/>
    <w:rsid w:val="007F6183"/>
    <w:rsid w:val="00850364"/>
    <w:rsid w:val="008A6DE6"/>
    <w:rsid w:val="008B18B0"/>
    <w:rsid w:val="008B5AC5"/>
    <w:rsid w:val="008D163D"/>
    <w:rsid w:val="008E114A"/>
    <w:rsid w:val="0096215E"/>
    <w:rsid w:val="00970A24"/>
    <w:rsid w:val="00A46498"/>
    <w:rsid w:val="00A51675"/>
    <w:rsid w:val="00AA318D"/>
    <w:rsid w:val="00AD0978"/>
    <w:rsid w:val="00B15049"/>
    <w:rsid w:val="00B3287B"/>
    <w:rsid w:val="00BA3042"/>
    <w:rsid w:val="00BD17DA"/>
    <w:rsid w:val="00BF388C"/>
    <w:rsid w:val="00BF3A43"/>
    <w:rsid w:val="00C15131"/>
    <w:rsid w:val="00C55DE2"/>
    <w:rsid w:val="00CA13B5"/>
    <w:rsid w:val="00DC6BD4"/>
    <w:rsid w:val="00E75F6F"/>
    <w:rsid w:val="00E82650"/>
    <w:rsid w:val="00E956B3"/>
    <w:rsid w:val="00E97A89"/>
    <w:rsid w:val="00EF406D"/>
    <w:rsid w:val="00F40D3E"/>
    <w:rsid w:val="00F82E86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4A2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7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C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17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7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7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7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7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573</Words>
  <Characters>3267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sharlene Greenwood</dc:creator>
  <cp:keywords/>
  <dc:description/>
  <cp:lastModifiedBy>Greenwood, Sharlene</cp:lastModifiedBy>
  <cp:revision>2</cp:revision>
  <dcterms:created xsi:type="dcterms:W3CDTF">2018-01-31T06:29:00Z</dcterms:created>
  <dcterms:modified xsi:type="dcterms:W3CDTF">2018-01-31T06:29:00Z</dcterms:modified>
</cp:coreProperties>
</file>