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Extended Abstract should be 2-4 pages long including all figures and references (Please do not count the cover page).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(2-4) PAGES! This information is provided on a cover page, automatically generated from the information you provide on the on-line submission form.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9"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w:t>
    </w:r>
    <w:r w:rsidDel="00000000" w:rsidR="00000000" w:rsidRPr="00000000">
      <w:rPr>
        <w:sz w:val="20"/>
        <w:szCs w:val="20"/>
        <w:rtl w:val="0"/>
      </w:rPr>
      <w:t xml:space="preserve">venth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EAGE </w:t>
    </w:r>
    <w:r w:rsidDel="00000000" w:rsidR="00000000" w:rsidRPr="00000000">
      <w:rPr>
        <w:sz w:val="20"/>
        <w:szCs w:val="20"/>
        <w:rtl w:val="0"/>
      </w:rPr>
      <w:t xml:space="preserve">Borehole Geophysics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Workshop</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18-20 Sep 2023, </w:t>
    </w:r>
    <w:r w:rsidDel="00000000" w:rsidR="00000000" w:rsidRPr="00000000">
      <w:rPr>
        <w:sz w:val="20"/>
        <w:szCs w:val="20"/>
        <w:rtl w:val="0"/>
      </w:rPr>
      <w:t xml:space="preserve">Milan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Italy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MzLKSpxy+5/RfS+X+xYRBQMlNA==">AMUW2mWbisc+XzYOrXSmJva4rGe9NB/MON7VgkH6J5MlfKfTzBuOqR2xiFutX2zu9k1gGpR7Y3ieJsbsIl6QdOmc7STHZj1bD9Vev39B4gOFX0TswM7V1m9wpi2qSOAsa3eRBChlId8BNKDY5n4q6kFKwvpdlFbC6NB6LH7QygUKxnTRVICDluLZzWQt6OJ2ZkDMqHq98mO2L2D31YUcWICuyre9EE0ogvyKOONaH4eRlQSkjMs3kqEKwQKkw+6VAXzea5xJBaZ22BZmurOr9VK6U2aXNlDX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2022-12-13T06:54:00Z</dcterms:created>
  <dc:creator>Marjolein van Kraanen</dc:creator>
</cp:coreProperties>
</file>