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3197B" w14:textId="77777777" w:rsidR="000E72F7" w:rsidRPr="000E72F7" w:rsidRDefault="000E72F7" w:rsidP="000E72F7">
      <w:pPr>
        <w:rPr>
          <w:rFonts w:cs="Arial"/>
          <w:b/>
          <w:color w:val="000000"/>
          <w:sz w:val="18"/>
          <w:lang w:val="en-US" w:eastAsia="ru-RU"/>
        </w:rPr>
      </w:pPr>
      <w:bookmarkStart w:id="0" w:name="_GoBack"/>
      <w:bookmarkEnd w:id="0"/>
      <w:r w:rsidRPr="000E72F7">
        <w:rPr>
          <w:rFonts w:cs="Arial"/>
          <w:b/>
        </w:rPr>
        <w:t>CDP4 Additional Software Development: Matlab Application For Database Interactions</w:t>
      </w:r>
    </w:p>
    <w:p w14:paraId="386D2538" w14:textId="77777777" w:rsidR="002C78D3" w:rsidRDefault="002C78D3" w:rsidP="002C78D3">
      <w:pPr>
        <w:rPr>
          <w:lang w:val="en-US" w:eastAsia="ru-RU"/>
        </w:rPr>
      </w:pPr>
    </w:p>
    <w:p w14:paraId="4E39945C" w14:textId="77777777" w:rsidR="002C78D3" w:rsidRPr="00D56315" w:rsidRDefault="002C78D3" w:rsidP="002C78D3">
      <w:pPr>
        <w:rPr>
          <w:rFonts w:cs="Arial"/>
          <w:szCs w:val="20"/>
          <w:vertAlign w:val="superscript"/>
          <w:lang w:val="en-US" w:eastAsia="ru-RU"/>
        </w:rPr>
      </w:pPr>
      <w:r w:rsidRPr="00D56315">
        <w:rPr>
          <w:rFonts w:cs="Arial"/>
          <w:i/>
          <w:color w:val="000000"/>
          <w:szCs w:val="20"/>
          <w:lang w:val="en-US" w:eastAsia="ru-RU"/>
        </w:rPr>
        <w:t>N. Veliev</w:t>
      </w:r>
      <w:r w:rsidRPr="00D56315">
        <w:rPr>
          <w:rFonts w:cs="Arial"/>
          <w:i/>
          <w:color w:val="000000"/>
          <w:szCs w:val="20"/>
          <w:vertAlign w:val="superscript"/>
          <w:lang w:val="en-US" w:eastAsia="ru-RU"/>
        </w:rPr>
        <w:t>1</w:t>
      </w:r>
      <w:r w:rsidRPr="00D56315">
        <w:rPr>
          <w:rFonts w:cs="Arial"/>
          <w:i/>
          <w:color w:val="000000"/>
          <w:szCs w:val="20"/>
          <w:lang w:val="en-US" w:eastAsia="ru-RU"/>
        </w:rPr>
        <w:t>, A. Ivanov</w:t>
      </w:r>
      <w:r w:rsidRPr="00D56315">
        <w:rPr>
          <w:rFonts w:cs="Arial"/>
          <w:i/>
          <w:color w:val="000000"/>
          <w:szCs w:val="20"/>
          <w:vertAlign w:val="superscript"/>
          <w:lang w:val="en-US" w:eastAsia="ru-RU"/>
        </w:rPr>
        <w:t>1</w:t>
      </w:r>
      <w:r w:rsidRPr="00D56315">
        <w:rPr>
          <w:rFonts w:cs="Arial"/>
          <w:i/>
          <w:color w:val="000000"/>
          <w:szCs w:val="20"/>
          <w:lang w:val="en-US" w:eastAsia="ru-RU"/>
        </w:rPr>
        <w:t>, S. Gerene</w:t>
      </w:r>
      <w:r w:rsidRPr="00D56315">
        <w:rPr>
          <w:rFonts w:cs="Arial"/>
          <w:i/>
          <w:color w:val="000000"/>
          <w:szCs w:val="20"/>
          <w:vertAlign w:val="superscript"/>
          <w:lang w:val="en-US" w:eastAsia="ru-RU"/>
        </w:rPr>
        <w:t>2</w:t>
      </w:r>
    </w:p>
    <w:p w14:paraId="11FD5E0C" w14:textId="77777777" w:rsidR="002C78D3" w:rsidRPr="00D56315" w:rsidRDefault="002C78D3" w:rsidP="002C78D3">
      <w:pPr>
        <w:rPr>
          <w:rFonts w:cs="Arial"/>
          <w:szCs w:val="20"/>
          <w:lang w:val="en-US" w:eastAsia="ru-RU"/>
        </w:rPr>
      </w:pPr>
    </w:p>
    <w:p w14:paraId="400DB6EB" w14:textId="77777777" w:rsidR="002C78D3" w:rsidRPr="00D56315" w:rsidRDefault="002C78D3" w:rsidP="002C78D3">
      <w:pPr>
        <w:rPr>
          <w:rFonts w:cs="Arial"/>
          <w:szCs w:val="20"/>
          <w:lang w:val="en-US" w:eastAsia="ru-RU"/>
        </w:rPr>
      </w:pPr>
      <w:r w:rsidRPr="00D56315">
        <w:rPr>
          <w:rFonts w:cs="Arial"/>
          <w:i/>
          <w:color w:val="000000"/>
          <w:szCs w:val="20"/>
          <w:vertAlign w:val="superscript"/>
          <w:lang w:val="en-US" w:eastAsia="ru-RU"/>
        </w:rPr>
        <w:t>1</w:t>
      </w:r>
      <w:r w:rsidRPr="00D56315">
        <w:rPr>
          <w:rFonts w:cs="Arial"/>
          <w:i/>
          <w:color w:val="000000"/>
          <w:szCs w:val="20"/>
          <w:lang w:val="en-US" w:eastAsia="ru-RU"/>
        </w:rPr>
        <w:t xml:space="preserve">Space Center, Skolkovo Institute of Science and Technology, Moscow, Russia </w:t>
      </w:r>
    </w:p>
    <w:p w14:paraId="692F36ED" w14:textId="77777777" w:rsidR="002C78D3" w:rsidRPr="00D56315" w:rsidRDefault="002C78D3" w:rsidP="002C78D3">
      <w:pPr>
        <w:rPr>
          <w:rFonts w:cs="Arial"/>
          <w:szCs w:val="20"/>
          <w:lang w:val="en-US" w:eastAsia="ru-RU"/>
        </w:rPr>
      </w:pPr>
      <w:r w:rsidRPr="00D56315">
        <w:rPr>
          <w:rFonts w:cs="Arial"/>
          <w:i/>
          <w:color w:val="000000"/>
          <w:szCs w:val="20"/>
          <w:vertAlign w:val="superscript"/>
          <w:lang w:val="en-US" w:eastAsia="ru-RU"/>
        </w:rPr>
        <w:t>2</w:t>
      </w:r>
      <w:r w:rsidRPr="00D56315">
        <w:rPr>
          <w:rFonts w:cs="Arial"/>
          <w:i/>
          <w:color w:val="000000"/>
          <w:szCs w:val="20"/>
          <w:lang w:val="en-US" w:eastAsia="ru-RU"/>
        </w:rPr>
        <w:t>RHEA Group, SEMT Business Unit, Leiden, Netherlands</w:t>
      </w:r>
    </w:p>
    <w:p w14:paraId="535B0EF8" w14:textId="77777777" w:rsidR="002C78D3" w:rsidRPr="00D56315" w:rsidRDefault="002C78D3" w:rsidP="002C78D3">
      <w:pPr>
        <w:rPr>
          <w:rFonts w:cs="Arial"/>
          <w:szCs w:val="20"/>
          <w:lang w:val="en-US" w:eastAsia="ru-RU"/>
        </w:rPr>
      </w:pPr>
      <w:r w:rsidRPr="00D56315">
        <w:rPr>
          <w:rFonts w:cs="Arial"/>
          <w:i/>
          <w:color w:val="000000"/>
          <w:szCs w:val="20"/>
          <w:lang w:val="en-US" w:eastAsia="ru-RU"/>
        </w:rPr>
        <w:t xml:space="preserve">*Primary author contact details: </w:t>
      </w:r>
      <w:hyperlink r:id="rId11" w:history="1">
        <w:r w:rsidRPr="00D56315">
          <w:rPr>
            <w:rFonts w:cs="Arial"/>
            <w:i/>
            <w:color w:val="0000FF"/>
            <w:szCs w:val="20"/>
            <w:u w:val="single"/>
            <w:lang w:val="en-US" w:eastAsia="ru-RU"/>
          </w:rPr>
          <w:t>Nikita.Veliev@skoltech.ru</w:t>
        </w:r>
      </w:hyperlink>
      <w:r w:rsidRPr="00D56315">
        <w:rPr>
          <w:rFonts w:cs="Arial"/>
          <w:i/>
          <w:color w:val="000000"/>
          <w:szCs w:val="20"/>
          <w:lang w:val="en-US" w:eastAsia="ru-RU"/>
        </w:rPr>
        <w:t xml:space="preserve"> </w:t>
      </w:r>
    </w:p>
    <w:p w14:paraId="675A1702" w14:textId="77777777" w:rsidR="002C78D3" w:rsidRPr="00D56315" w:rsidRDefault="002C78D3" w:rsidP="002C78D3">
      <w:pPr>
        <w:pStyle w:val="Heading1"/>
        <w:rPr>
          <w:rFonts w:cs="Arial"/>
          <w:szCs w:val="20"/>
        </w:rPr>
      </w:pPr>
      <w:r w:rsidRPr="00D56315">
        <w:rPr>
          <w:rFonts w:cs="Arial"/>
          <w:szCs w:val="20"/>
        </w:rPr>
        <w:t>Introduction</w:t>
      </w:r>
    </w:p>
    <w:p w14:paraId="7475F642" w14:textId="6C753CB5" w:rsidR="006F3E7E" w:rsidRDefault="006F3E7E" w:rsidP="006F3E7E">
      <w:pPr>
        <w:spacing w:before="100" w:beforeAutospacing="1" w:after="100" w:afterAutospacing="1"/>
        <w:rPr>
          <w:rFonts w:cs="Arial"/>
          <w:color w:val="000000"/>
          <w:szCs w:val="20"/>
          <w:lang w:val="en-US" w:eastAsia="ru-RU"/>
        </w:rPr>
      </w:pPr>
      <w:r w:rsidRPr="00D56315">
        <w:rPr>
          <w:rFonts w:cs="Arial"/>
          <w:color w:val="000000"/>
          <w:szCs w:val="20"/>
          <w:lang w:val="en-US" w:eastAsia="ru-RU"/>
        </w:rPr>
        <w:t>Skoltech Concurrent Design Facility (also known as Concurrent Design Engineering Lab – CEDL) has been established and operating ([1] – [3]) since 2014. This work has been built based on previous experience developed at the Space Center in the Ecole Polytechnique de Lausanne (EPFL) [4] – [6].</w:t>
      </w:r>
    </w:p>
    <w:p w14:paraId="7EAF49E9" w14:textId="1A8CD97D" w:rsidR="002C78D3" w:rsidRPr="00D56315" w:rsidRDefault="006F3E7E" w:rsidP="006F3E7E">
      <w:pPr>
        <w:spacing w:before="100" w:beforeAutospacing="1" w:after="100" w:afterAutospacing="1"/>
        <w:rPr>
          <w:rFonts w:cs="Arial"/>
          <w:color w:val="000000"/>
          <w:szCs w:val="20"/>
          <w:lang w:val="en-US" w:eastAsia="ru-RU"/>
        </w:rPr>
      </w:pPr>
      <w:r w:rsidRPr="006F3E7E">
        <w:rPr>
          <w:rFonts w:cs="Arial"/>
          <w:color w:val="000000"/>
          <w:szCs w:val="20"/>
          <w:lang w:val="en-US" w:eastAsia="ru-RU"/>
        </w:rPr>
        <w:t>Concurrent Design Frameworks (i.e. CDP4, Model Cent</w:t>
      </w:r>
      <w:r>
        <w:rPr>
          <w:rFonts w:cs="Arial"/>
          <w:color w:val="000000"/>
          <w:szCs w:val="20"/>
          <w:lang w:val="en-US" w:eastAsia="ru-RU"/>
        </w:rPr>
        <w:t>r</w:t>
      </w:r>
      <w:r w:rsidRPr="006F3E7E">
        <w:rPr>
          <w:rFonts w:cs="Arial"/>
          <w:color w:val="000000"/>
          <w:szCs w:val="20"/>
          <w:lang w:val="en-US" w:eastAsia="ru-RU"/>
        </w:rPr>
        <w:t>e) depend heavily on domain specific tools. Space domain requires a number of engineering suites to be used for mechanical (i.e. SolidWorks, CATIA), thermal (i.e. ANSYS), control (i.e. MathWorks Matlab</w:t>
      </w:r>
      <w:r w:rsidRPr="006F3E7E">
        <w:rPr>
          <w:rFonts w:cs="Arial"/>
          <w:color w:val="000000"/>
          <w:szCs w:val="20"/>
          <w:vertAlign w:val="superscript"/>
          <w:lang w:val="en-US" w:eastAsia="ru-RU"/>
        </w:rPr>
        <w:t>©</w:t>
      </w:r>
      <w:r w:rsidRPr="006F3E7E">
        <w:rPr>
          <w:rFonts w:cs="Arial"/>
          <w:color w:val="000000"/>
          <w:szCs w:val="20"/>
          <w:lang w:val="en-US" w:eastAsia="ru-RU"/>
        </w:rPr>
        <w:t xml:space="preserve">), celestial mechanics (i.e. AGI STK, GMAT) and other disciplines. For the moment, most Concurrent Design tools have poor interface connections with domain-specific tools, hence the learning curve for Concurrent Design is steep and overall process takes longer time. </w:t>
      </w:r>
    </w:p>
    <w:p w14:paraId="25B37A90" w14:textId="77777777" w:rsidR="002C78D3" w:rsidRDefault="002C78D3" w:rsidP="002C78D3">
      <w:pPr>
        <w:pStyle w:val="Heading1"/>
        <w:rPr>
          <w:rFonts w:cs="Arial"/>
          <w:szCs w:val="20"/>
          <w:lang w:val="en-US" w:eastAsia="ru-RU"/>
        </w:rPr>
      </w:pPr>
      <w:r w:rsidRPr="00D56315">
        <w:rPr>
          <w:rFonts w:cs="Arial"/>
          <w:szCs w:val="20"/>
          <w:lang w:val="en-US" w:eastAsia="ru-RU"/>
        </w:rPr>
        <w:t>Work aims and approaches</w:t>
      </w:r>
    </w:p>
    <w:p w14:paraId="09998736" w14:textId="77777777" w:rsidR="006F3E7E" w:rsidRPr="006F3E7E" w:rsidRDefault="006F3E7E" w:rsidP="006F3E7E">
      <w:pPr>
        <w:spacing w:before="100" w:beforeAutospacing="1" w:after="100" w:afterAutospacing="1"/>
        <w:rPr>
          <w:rFonts w:cs="Arial"/>
          <w:color w:val="000000"/>
          <w:szCs w:val="20"/>
          <w:lang w:val="en-US" w:eastAsia="ru-RU"/>
        </w:rPr>
      </w:pPr>
      <w:r w:rsidRPr="006F3E7E">
        <w:rPr>
          <w:rFonts w:cs="Arial"/>
          <w:color w:val="000000"/>
          <w:szCs w:val="20"/>
          <w:lang w:val="en-US" w:eastAsia="ru-RU"/>
        </w:rPr>
        <w:t>In this work the development of the CDP4 – MathWorks Matlab</w:t>
      </w:r>
      <w:r w:rsidRPr="006F3E7E">
        <w:rPr>
          <w:rFonts w:cs="Arial"/>
          <w:color w:val="000000"/>
          <w:szCs w:val="20"/>
          <w:vertAlign w:val="superscript"/>
          <w:lang w:val="en-US" w:eastAsia="ru-RU"/>
        </w:rPr>
        <w:t>©</w:t>
      </w:r>
      <w:r w:rsidRPr="006F3E7E">
        <w:rPr>
          <w:rFonts w:cs="Arial"/>
          <w:color w:val="000000"/>
          <w:szCs w:val="20"/>
          <w:lang w:val="en-US" w:eastAsia="ru-RU"/>
        </w:rPr>
        <w:t xml:space="preserve"> interface plugin is presented. The add-on was developed using different methods of interactive .NET library access in MathWorks Matlab</w:t>
      </w:r>
      <w:r w:rsidRPr="006F3E7E">
        <w:rPr>
          <w:rFonts w:cs="Arial"/>
          <w:color w:val="000000"/>
          <w:szCs w:val="20"/>
          <w:vertAlign w:val="superscript"/>
          <w:lang w:val="en-US" w:eastAsia="ru-RU"/>
        </w:rPr>
        <w:t>©</w:t>
      </w:r>
      <w:r w:rsidRPr="006F3E7E">
        <w:rPr>
          <w:rFonts w:cs="Arial"/>
          <w:color w:val="000000"/>
          <w:szCs w:val="20"/>
          <w:lang w:val="en-US" w:eastAsia="ru-RU"/>
        </w:rPr>
        <w:t xml:space="preserve"> programming environment. This plugin allows to bring all the main functionality of the C# CDP4-SDK (Software Development Kit) to MathWorks Matlab</w:t>
      </w:r>
      <w:r w:rsidRPr="006F3E7E">
        <w:rPr>
          <w:rFonts w:cs="Arial"/>
          <w:color w:val="000000"/>
          <w:szCs w:val="20"/>
          <w:vertAlign w:val="superscript"/>
          <w:lang w:val="en-US" w:eastAsia="ru-RU"/>
        </w:rPr>
        <w:t>©</w:t>
      </w:r>
      <w:r w:rsidRPr="006F3E7E">
        <w:rPr>
          <w:rFonts w:cs="Arial"/>
          <w:color w:val="000000"/>
          <w:szCs w:val="20"/>
          <w:lang w:val="en-US" w:eastAsia="ru-RU"/>
        </w:rPr>
        <w:t>, meaning that functions for data transfer from a specific workspace in MathWorks Matlab</w:t>
      </w:r>
      <w:r w:rsidRPr="006F3E7E">
        <w:rPr>
          <w:rFonts w:cs="Arial"/>
          <w:color w:val="000000"/>
          <w:szCs w:val="20"/>
          <w:vertAlign w:val="superscript"/>
          <w:lang w:val="en-US" w:eastAsia="ru-RU"/>
        </w:rPr>
        <w:t>©</w:t>
      </w:r>
      <w:r w:rsidRPr="006F3E7E">
        <w:rPr>
          <w:rFonts w:cs="Arial"/>
          <w:color w:val="000000"/>
          <w:szCs w:val="20"/>
          <w:lang w:val="en-US" w:eastAsia="ru-RU"/>
        </w:rPr>
        <w:t xml:space="preserve"> directly to the database operated by CDP4 are created directly inside of the MathWorks Matlab</w:t>
      </w:r>
      <w:r w:rsidRPr="006F3E7E">
        <w:rPr>
          <w:rFonts w:cs="Arial"/>
          <w:color w:val="000000"/>
          <w:szCs w:val="20"/>
          <w:vertAlign w:val="superscript"/>
          <w:lang w:val="en-US" w:eastAsia="ru-RU"/>
        </w:rPr>
        <w:t>©</w:t>
      </w:r>
      <w:r w:rsidRPr="006F3E7E">
        <w:rPr>
          <w:rFonts w:cs="Arial"/>
          <w:color w:val="000000"/>
          <w:szCs w:val="20"/>
          <w:lang w:val="en-US" w:eastAsia="ru-RU"/>
        </w:rPr>
        <w:t xml:space="preserve"> programming environment. The goals of this work were: </w:t>
      </w:r>
    </w:p>
    <w:p w14:paraId="61E4D3B2" w14:textId="77777777" w:rsidR="006F3E7E" w:rsidRPr="006F3E7E" w:rsidRDefault="006F3E7E" w:rsidP="006F3E7E">
      <w:pPr>
        <w:spacing w:before="100" w:beforeAutospacing="1" w:after="100" w:afterAutospacing="1"/>
        <w:rPr>
          <w:rFonts w:cs="Arial"/>
          <w:color w:val="000000"/>
          <w:szCs w:val="20"/>
          <w:lang w:val="en-US" w:eastAsia="ru-RU"/>
        </w:rPr>
      </w:pPr>
      <w:r w:rsidRPr="006F3E7E">
        <w:rPr>
          <w:rFonts w:cs="Arial"/>
          <w:color w:val="000000"/>
          <w:szCs w:val="20"/>
          <w:lang w:val="en-US" w:eastAsia="ru-RU"/>
        </w:rPr>
        <w:t>1. the development of MathWorks Matlab</w:t>
      </w:r>
      <w:r w:rsidRPr="006F3E7E">
        <w:rPr>
          <w:rFonts w:cs="Arial"/>
          <w:color w:val="000000"/>
          <w:szCs w:val="20"/>
          <w:vertAlign w:val="superscript"/>
          <w:lang w:val="en-US" w:eastAsia="ru-RU"/>
        </w:rPr>
        <w:t>©</w:t>
      </w:r>
      <w:r w:rsidRPr="006F3E7E">
        <w:rPr>
          <w:rFonts w:cs="Arial"/>
          <w:color w:val="000000"/>
          <w:szCs w:val="20"/>
          <w:lang w:val="en-US" w:eastAsia="ru-RU"/>
        </w:rPr>
        <w:t xml:space="preserve"> application itself for easy data transfer </w:t>
      </w:r>
    </w:p>
    <w:p w14:paraId="229A2C88" w14:textId="77777777" w:rsidR="006F3E7E" w:rsidRPr="006F3E7E" w:rsidRDefault="006F3E7E" w:rsidP="006F3E7E">
      <w:pPr>
        <w:spacing w:before="100" w:beforeAutospacing="1" w:after="100" w:afterAutospacing="1"/>
        <w:rPr>
          <w:rFonts w:cs="Arial"/>
          <w:color w:val="000000"/>
          <w:szCs w:val="20"/>
          <w:lang w:val="en-US" w:eastAsia="ru-RU"/>
        </w:rPr>
      </w:pPr>
      <w:r w:rsidRPr="006F3E7E">
        <w:rPr>
          <w:rFonts w:cs="Arial"/>
          <w:color w:val="000000"/>
          <w:szCs w:val="20"/>
          <w:lang w:val="en-US" w:eastAsia="ru-RU"/>
        </w:rPr>
        <w:t xml:space="preserve">2. improvement of C# CDP4-SDK for the plugin needs. </w:t>
      </w:r>
    </w:p>
    <w:p w14:paraId="0FAB2138" w14:textId="77777777" w:rsidR="006F3E7E" w:rsidRPr="006F3E7E" w:rsidRDefault="006F3E7E" w:rsidP="006F3E7E">
      <w:pPr>
        <w:spacing w:before="100" w:beforeAutospacing="1" w:after="100" w:afterAutospacing="1"/>
        <w:rPr>
          <w:rFonts w:cs="Arial"/>
          <w:color w:val="000000"/>
          <w:szCs w:val="20"/>
          <w:lang w:val="en-US" w:eastAsia="ru-RU"/>
        </w:rPr>
      </w:pPr>
      <w:r w:rsidRPr="006F3E7E">
        <w:rPr>
          <w:rFonts w:cs="Arial"/>
          <w:color w:val="000000"/>
          <w:szCs w:val="20"/>
          <w:lang w:val="en-US" w:eastAsia="ru-RU"/>
        </w:rPr>
        <w:t xml:space="preserve">Moreover, a similar approach can also be utilized for other domain-specific software systems such as Solidworks and STK. </w:t>
      </w:r>
    </w:p>
    <w:p w14:paraId="13E99BC6" w14:textId="77777777" w:rsidR="002C78D3" w:rsidRPr="00D56315" w:rsidRDefault="002C78D3" w:rsidP="002C78D3">
      <w:pPr>
        <w:pStyle w:val="Heading1"/>
        <w:rPr>
          <w:rFonts w:cs="Arial"/>
          <w:szCs w:val="20"/>
          <w:lang w:val="en-US" w:eastAsia="ru-RU"/>
        </w:rPr>
      </w:pPr>
      <w:r w:rsidRPr="00D56315">
        <w:rPr>
          <w:rFonts w:cs="Arial"/>
          <w:szCs w:val="20"/>
          <w:lang w:val="en-US" w:eastAsia="ru-RU"/>
        </w:rPr>
        <w:t>References</w:t>
      </w:r>
    </w:p>
    <w:p w14:paraId="0409BF0B" w14:textId="77777777" w:rsidR="002C78D3" w:rsidRPr="00D56315" w:rsidRDefault="002C78D3" w:rsidP="002C78D3">
      <w:pPr>
        <w:spacing w:after="120"/>
        <w:ind w:left="143" w:hanging="283"/>
        <w:rPr>
          <w:rFonts w:cs="Arial"/>
          <w:szCs w:val="20"/>
          <w:lang w:val="en-US" w:eastAsia="ru-RU"/>
        </w:rPr>
      </w:pPr>
      <w:r w:rsidRPr="00D56315">
        <w:rPr>
          <w:rFonts w:cs="Arial"/>
          <w:color w:val="000000"/>
          <w:szCs w:val="20"/>
          <w:lang w:val="en-US" w:eastAsia="ru-RU"/>
        </w:rPr>
        <w:t>[1]</w:t>
      </w:r>
      <w:r w:rsidRPr="00D56315">
        <w:rPr>
          <w:rFonts w:cs="Arial"/>
          <w:color w:val="000000"/>
          <w:szCs w:val="20"/>
          <w:lang w:val="en-US" w:eastAsia="ru-RU"/>
        </w:rPr>
        <w:tab/>
        <w:t>C. Fortin, G. McSorley, D. Knoll, A. Golkar, and R. Tsykunova, “Study of Data Structures and Tools for the Concurrent Conceptual Design of Complex Space Systems,” 2017, pp. 601–611.</w:t>
      </w:r>
    </w:p>
    <w:p w14:paraId="04F2C0BF" w14:textId="77777777" w:rsidR="002C78D3" w:rsidRPr="00D56315" w:rsidRDefault="002C78D3" w:rsidP="002C78D3">
      <w:pPr>
        <w:spacing w:after="120"/>
        <w:ind w:left="143" w:hanging="283"/>
        <w:rPr>
          <w:rFonts w:cs="Arial"/>
          <w:szCs w:val="20"/>
          <w:lang w:val="en-US" w:eastAsia="ru-RU"/>
        </w:rPr>
      </w:pPr>
      <w:r w:rsidRPr="00D56315">
        <w:rPr>
          <w:rFonts w:cs="Arial"/>
          <w:color w:val="000000"/>
          <w:szCs w:val="20"/>
          <w:lang w:val="en-US" w:eastAsia="ru-RU"/>
        </w:rPr>
        <w:t>[2]</w:t>
      </w:r>
      <w:r w:rsidRPr="00D56315">
        <w:rPr>
          <w:rFonts w:cs="Arial"/>
          <w:color w:val="000000"/>
          <w:szCs w:val="20"/>
          <w:lang w:val="en-US" w:eastAsia="ru-RU"/>
        </w:rPr>
        <w:tab/>
        <w:t>A. Golkar, “Concurrent Engineering Design Laboratory: Pioneering Concurrent Engineering in the Russian Federation,” no. SECESA 2014, pp. 1–21, Oct. 2014.</w:t>
      </w:r>
    </w:p>
    <w:p w14:paraId="6FD91841" w14:textId="77777777" w:rsidR="002C78D3" w:rsidRPr="00D56315" w:rsidRDefault="002C78D3" w:rsidP="002C78D3">
      <w:pPr>
        <w:spacing w:after="120"/>
        <w:ind w:left="143" w:hanging="283"/>
        <w:rPr>
          <w:rFonts w:cs="Arial"/>
          <w:szCs w:val="20"/>
          <w:lang w:val="en-US" w:eastAsia="ru-RU"/>
        </w:rPr>
      </w:pPr>
      <w:r w:rsidRPr="00D56315">
        <w:rPr>
          <w:rFonts w:cs="Arial"/>
          <w:color w:val="000000"/>
          <w:szCs w:val="20"/>
          <w:lang w:val="en-US" w:eastAsia="ru-RU"/>
        </w:rPr>
        <w:t>[3]</w:t>
      </w:r>
      <w:r w:rsidRPr="00D56315">
        <w:rPr>
          <w:rFonts w:cs="Arial"/>
          <w:color w:val="000000"/>
          <w:szCs w:val="20"/>
          <w:lang w:val="en-US" w:eastAsia="ru-RU"/>
        </w:rPr>
        <w:tab/>
        <w:t xml:space="preserve">D. Knoll and A. Golkar, “A coordination method for concurrent design and a collaboration tool for parametric system models,” </w:t>
      </w:r>
      <w:r w:rsidRPr="00D56315">
        <w:rPr>
          <w:rFonts w:cs="Arial"/>
          <w:i/>
          <w:color w:val="000000"/>
          <w:szCs w:val="20"/>
          <w:lang w:val="en-US" w:eastAsia="ru-RU"/>
        </w:rPr>
        <w:t>Concurr. Eng.</w:t>
      </w:r>
      <w:r w:rsidRPr="00D56315">
        <w:rPr>
          <w:rFonts w:cs="Arial"/>
          <w:color w:val="000000"/>
          <w:szCs w:val="20"/>
          <w:lang w:val="en-US" w:eastAsia="ru-RU"/>
        </w:rPr>
        <w:t>, vol. 26, no. 1, pp. 5–21, Mar. 2018.</w:t>
      </w:r>
    </w:p>
    <w:p w14:paraId="768470A4" w14:textId="77777777" w:rsidR="002C78D3" w:rsidRPr="00D56315" w:rsidRDefault="002C78D3" w:rsidP="002C78D3">
      <w:pPr>
        <w:spacing w:after="120"/>
        <w:ind w:left="143" w:hanging="283"/>
        <w:rPr>
          <w:rFonts w:cs="Arial"/>
          <w:szCs w:val="20"/>
          <w:lang w:val="en-US" w:eastAsia="ru-RU"/>
        </w:rPr>
      </w:pPr>
      <w:r w:rsidRPr="00D56315">
        <w:rPr>
          <w:rFonts w:cs="Arial"/>
          <w:color w:val="000000"/>
          <w:szCs w:val="20"/>
          <w:lang w:val="en-US" w:eastAsia="ru-RU"/>
        </w:rPr>
        <w:t>[4]</w:t>
      </w:r>
      <w:r w:rsidRPr="00D56315">
        <w:rPr>
          <w:rFonts w:cs="Arial"/>
          <w:color w:val="000000"/>
          <w:szCs w:val="20"/>
          <w:lang w:val="en-US" w:eastAsia="ru-RU"/>
        </w:rPr>
        <w:tab/>
        <w:t>A. Füglistaler and A. B. Ivanov, “Conception of nano-satellites in a concurrent design environment,” EPFL, Lausanne, 2009.</w:t>
      </w:r>
    </w:p>
    <w:p w14:paraId="51E24DAC" w14:textId="77777777" w:rsidR="002C78D3" w:rsidRPr="00D56315" w:rsidRDefault="002C78D3" w:rsidP="002C78D3">
      <w:pPr>
        <w:spacing w:after="120"/>
        <w:ind w:left="143" w:hanging="283"/>
        <w:rPr>
          <w:rFonts w:cs="Arial"/>
          <w:szCs w:val="20"/>
          <w:lang w:val="en-US" w:eastAsia="ru-RU"/>
        </w:rPr>
      </w:pPr>
      <w:r w:rsidRPr="00D56315">
        <w:rPr>
          <w:rFonts w:cs="Arial"/>
          <w:color w:val="000000"/>
          <w:szCs w:val="20"/>
          <w:lang w:val="en-US" w:eastAsia="ru-RU"/>
        </w:rPr>
        <w:t>[5]</w:t>
      </w:r>
      <w:r w:rsidRPr="00D56315">
        <w:rPr>
          <w:rFonts w:cs="Arial"/>
          <w:color w:val="000000"/>
          <w:szCs w:val="20"/>
          <w:lang w:val="en-US" w:eastAsia="ru-RU"/>
        </w:rPr>
        <w:tab/>
        <w:t xml:space="preserve">A. B. Ivanov, V. Gass, M. Richard, S. Rossi, and F. Belloni, “Concurrent design facility in an academic environment,” in </w:t>
      </w:r>
      <w:r w:rsidRPr="00D56315">
        <w:rPr>
          <w:rFonts w:cs="Arial"/>
          <w:i/>
          <w:color w:val="000000"/>
          <w:szCs w:val="20"/>
          <w:lang w:val="en-US" w:eastAsia="ru-RU"/>
        </w:rPr>
        <w:t>Proceedings of the International Astronautical Congress, IAC</w:t>
      </w:r>
      <w:r w:rsidRPr="00D56315">
        <w:rPr>
          <w:rFonts w:cs="Arial"/>
          <w:color w:val="000000"/>
          <w:szCs w:val="20"/>
          <w:lang w:val="en-US" w:eastAsia="ru-RU"/>
        </w:rPr>
        <w:t>, 2013, vol. 12,</w:t>
      </w:r>
    </w:p>
    <w:p w14:paraId="71CA9054" w14:textId="77777777" w:rsidR="002C78D3" w:rsidRPr="00D56315" w:rsidRDefault="002C78D3" w:rsidP="002C78D3">
      <w:pPr>
        <w:spacing w:after="120"/>
        <w:ind w:left="143"/>
        <w:rPr>
          <w:rFonts w:cs="Arial"/>
          <w:szCs w:val="20"/>
          <w:lang w:val="en-US" w:eastAsia="ru-RU"/>
        </w:rPr>
      </w:pPr>
      <w:r w:rsidRPr="00D56315">
        <w:rPr>
          <w:rFonts w:cs="Arial"/>
          <w:color w:val="000000"/>
          <w:szCs w:val="20"/>
          <w:lang w:val="en-US" w:eastAsia="ru-RU"/>
        </w:rPr>
        <w:t>[6]</w:t>
      </w:r>
      <w:r w:rsidRPr="00D56315">
        <w:rPr>
          <w:rFonts w:cs="Arial"/>
          <w:color w:val="000000"/>
          <w:szCs w:val="20"/>
          <w:lang w:val="en-US" w:eastAsia="ru-RU"/>
        </w:rPr>
        <w:tab/>
        <w:t xml:space="preserve">A. B. Ivanov, L. Masson, and F. Belloni, “Operation of a Concurrent Design Facility for university projects,” in </w:t>
      </w:r>
      <w:r w:rsidRPr="00D56315">
        <w:rPr>
          <w:rFonts w:cs="Arial"/>
          <w:i/>
          <w:color w:val="000000"/>
          <w:szCs w:val="20"/>
          <w:lang w:val="en-US" w:eastAsia="ru-RU"/>
        </w:rPr>
        <w:t>IEEE Aerospace Conference Proceedings</w:t>
      </w:r>
      <w:r w:rsidRPr="00D56315">
        <w:rPr>
          <w:rFonts w:cs="Arial"/>
          <w:color w:val="000000"/>
          <w:szCs w:val="20"/>
          <w:lang w:val="en-US" w:eastAsia="ru-RU"/>
        </w:rPr>
        <w:t>, 2016, vol. 2016–June.</w:t>
      </w:r>
    </w:p>
    <w:p w14:paraId="030FE659" w14:textId="77777777" w:rsidR="0096360D" w:rsidRPr="006F3E7E" w:rsidRDefault="0096360D">
      <w:pPr>
        <w:rPr>
          <w:rFonts w:cs="Arial"/>
          <w:lang w:val="en-US"/>
        </w:rPr>
      </w:pPr>
    </w:p>
    <w:sectPr w:rsidR="0096360D" w:rsidRPr="006F3E7E" w:rsidSect="002A689A">
      <w:head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CB0C7" w14:textId="77777777" w:rsidR="00BE7047" w:rsidRDefault="00BE7047" w:rsidP="00B12AB2">
      <w:r>
        <w:separator/>
      </w:r>
    </w:p>
  </w:endnote>
  <w:endnote w:type="continuationSeparator" w:id="0">
    <w:p w14:paraId="58654833" w14:textId="77777777" w:rsidR="00BE7047" w:rsidRDefault="00BE7047" w:rsidP="00B1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84924" w14:textId="77777777" w:rsidR="00BE7047" w:rsidRDefault="00BE7047" w:rsidP="00B12AB2">
      <w:r>
        <w:separator/>
      </w:r>
    </w:p>
  </w:footnote>
  <w:footnote w:type="continuationSeparator" w:id="0">
    <w:p w14:paraId="633C2B91" w14:textId="77777777" w:rsidR="00BE7047" w:rsidRDefault="00BE7047" w:rsidP="00B1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87929" w14:textId="77777777" w:rsidR="00B12AB2" w:rsidRPr="00B12AB2" w:rsidRDefault="00B12AB2">
    <w:pPr>
      <w:pStyle w:val="Header"/>
      <w:rPr>
        <w:rFonts w:cs="Arial"/>
        <w:b/>
        <w:i/>
        <w:szCs w:val="20"/>
      </w:rPr>
    </w:pPr>
    <w:r w:rsidRPr="00B12AB2">
      <w:rPr>
        <w:rFonts w:cs="Arial"/>
        <w:b/>
        <w:i/>
        <w:szCs w:val="20"/>
      </w:rPr>
      <w:t>SECESA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44C1"/>
    <w:multiLevelType w:val="hybridMultilevel"/>
    <w:tmpl w:val="B35C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3366E"/>
    <w:multiLevelType w:val="multilevel"/>
    <w:tmpl w:val="2A7AEB68"/>
    <w:lvl w:ilvl="0">
      <w:start w:val="1"/>
      <w:numFmt w:val="decimal"/>
      <w:lvlText w:val="%1."/>
      <w:lvlJc w:val="left"/>
      <w:pPr>
        <w:ind w:left="340" w:firstLine="0"/>
      </w:pPr>
    </w:lvl>
    <w:lvl w:ilvl="1">
      <w:start w:val="1"/>
      <w:numFmt w:val="decimal"/>
      <w:lvlText w:val="%1.%2."/>
      <w:lvlJc w:val="left"/>
      <w:pPr>
        <w:ind w:left="340" w:firstLine="0"/>
      </w:pPr>
    </w:lvl>
    <w:lvl w:ilvl="2">
      <w:start w:val="1"/>
      <w:numFmt w:val="decimal"/>
      <w:lvlText w:val="%1.%2.%3."/>
      <w:lvlJc w:val="left"/>
      <w:pPr>
        <w:ind w:left="340" w:firstLine="0"/>
      </w:pPr>
    </w:lvl>
    <w:lvl w:ilvl="3">
      <w:start w:val="1"/>
      <w:numFmt w:val="decimal"/>
      <w:lvlText w:val="%1.%2.%3.%4."/>
      <w:lvlJc w:val="left"/>
      <w:pPr>
        <w:ind w:left="340" w:firstLine="0"/>
      </w:pPr>
    </w:lvl>
    <w:lvl w:ilvl="4">
      <w:start w:val="1"/>
      <w:numFmt w:val="decimal"/>
      <w:lvlText w:val="%1.%2.%3.%4.%5."/>
      <w:lvlJc w:val="left"/>
      <w:pPr>
        <w:ind w:left="340" w:firstLine="0"/>
      </w:pPr>
    </w:lvl>
    <w:lvl w:ilvl="5">
      <w:start w:val="1"/>
      <w:numFmt w:val="decimal"/>
      <w:lvlText w:val="%1.%2.%3.%4.%5.%6."/>
      <w:lvlJc w:val="left"/>
      <w:pPr>
        <w:ind w:left="340" w:firstLine="0"/>
      </w:pPr>
    </w:lvl>
    <w:lvl w:ilvl="6">
      <w:start w:val="1"/>
      <w:numFmt w:val="decimal"/>
      <w:lvlText w:val="%1.%2.%3.%4.%5.%6.%7."/>
      <w:lvlJc w:val="left"/>
      <w:pPr>
        <w:ind w:left="340" w:firstLine="0"/>
      </w:pPr>
    </w:lvl>
    <w:lvl w:ilvl="7">
      <w:start w:val="1"/>
      <w:numFmt w:val="decimal"/>
      <w:lvlText w:val="%1.%2.%3.%4.%5.%6.%7.%8."/>
      <w:lvlJc w:val="left"/>
      <w:pPr>
        <w:ind w:left="340" w:firstLine="0"/>
      </w:pPr>
    </w:lvl>
    <w:lvl w:ilvl="8">
      <w:start w:val="1"/>
      <w:numFmt w:val="decimal"/>
      <w:lvlText w:val="%1.%2.%3.%4.%5.%6.%7.%8.%9."/>
      <w:lvlJc w:val="left"/>
      <w:pPr>
        <w:ind w:left="34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2"/>
    <w:rsid w:val="000E72F7"/>
    <w:rsid w:val="00150D4F"/>
    <w:rsid w:val="002A689A"/>
    <w:rsid w:val="002C78D3"/>
    <w:rsid w:val="006F3E7E"/>
    <w:rsid w:val="0096360D"/>
    <w:rsid w:val="009E404F"/>
    <w:rsid w:val="00B12AB2"/>
    <w:rsid w:val="00B96786"/>
    <w:rsid w:val="00B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DD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4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04F"/>
    <w:pPr>
      <w:keepNext/>
      <w:keepLines/>
      <w:spacing w:before="120" w:after="12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A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12AB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12AB2"/>
  </w:style>
  <w:style w:type="paragraph" w:styleId="Header">
    <w:name w:val="header"/>
    <w:basedOn w:val="Normal"/>
    <w:link w:val="HeaderChar"/>
    <w:uiPriority w:val="99"/>
    <w:unhideWhenUsed/>
    <w:rsid w:val="00B12A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B2"/>
  </w:style>
  <w:style w:type="paragraph" w:styleId="Footer">
    <w:name w:val="footer"/>
    <w:basedOn w:val="Normal"/>
    <w:link w:val="FooterChar"/>
    <w:uiPriority w:val="99"/>
    <w:unhideWhenUsed/>
    <w:rsid w:val="00B12A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B2"/>
  </w:style>
  <w:style w:type="character" w:customStyle="1" w:styleId="Heading1Char">
    <w:name w:val="Heading 1 Char"/>
    <w:basedOn w:val="DefaultParagraphFont"/>
    <w:link w:val="Heading1"/>
    <w:uiPriority w:val="9"/>
    <w:rsid w:val="009E404F"/>
    <w:rPr>
      <w:rFonts w:ascii="Arial" w:eastAsiaTheme="majorEastAsia" w:hAnsi="Arial" w:cstheme="majorBidi"/>
      <w:b/>
      <w:color w:val="000000" w:themeColor="text1"/>
      <w:sz w:val="20"/>
      <w:szCs w:val="32"/>
    </w:rPr>
  </w:style>
  <w:style w:type="paragraph" w:styleId="ListParagraph">
    <w:name w:val="List Paragraph"/>
    <w:basedOn w:val="Normal"/>
    <w:qFormat/>
    <w:rsid w:val="009E4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4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04F"/>
    <w:pPr>
      <w:keepNext/>
      <w:keepLines/>
      <w:spacing w:before="120" w:after="12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A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12AB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12AB2"/>
  </w:style>
  <w:style w:type="paragraph" w:styleId="Header">
    <w:name w:val="header"/>
    <w:basedOn w:val="Normal"/>
    <w:link w:val="HeaderChar"/>
    <w:uiPriority w:val="99"/>
    <w:unhideWhenUsed/>
    <w:rsid w:val="00B12A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B2"/>
  </w:style>
  <w:style w:type="paragraph" w:styleId="Footer">
    <w:name w:val="footer"/>
    <w:basedOn w:val="Normal"/>
    <w:link w:val="FooterChar"/>
    <w:uiPriority w:val="99"/>
    <w:unhideWhenUsed/>
    <w:rsid w:val="00B12A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B2"/>
  </w:style>
  <w:style w:type="character" w:customStyle="1" w:styleId="Heading1Char">
    <w:name w:val="Heading 1 Char"/>
    <w:basedOn w:val="DefaultParagraphFont"/>
    <w:link w:val="Heading1"/>
    <w:uiPriority w:val="9"/>
    <w:rsid w:val="009E404F"/>
    <w:rPr>
      <w:rFonts w:ascii="Arial" w:eastAsiaTheme="majorEastAsia" w:hAnsi="Arial" w:cstheme="majorBidi"/>
      <w:b/>
      <w:color w:val="000000" w:themeColor="text1"/>
      <w:sz w:val="20"/>
      <w:szCs w:val="32"/>
    </w:rPr>
  </w:style>
  <w:style w:type="paragraph" w:styleId="ListParagraph">
    <w:name w:val="List Paragraph"/>
    <w:basedOn w:val="Normal"/>
    <w:qFormat/>
    <w:rsid w:val="009E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mailaddress@email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F72F7-F923-4CA4-9434-115AA433071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163F0C-C275-47DE-81D2-4B4494B20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3B4F2-605D-4D41-B61E-2C9D2D9E3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Stephanie  Di Blasio</cp:lastModifiedBy>
  <cp:revision>4</cp:revision>
  <dcterms:created xsi:type="dcterms:W3CDTF">2018-05-02T10:24:00Z</dcterms:created>
  <dcterms:modified xsi:type="dcterms:W3CDTF">2018-09-14T11:20:00Z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