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D9A57" w14:textId="0D17B7FF" w:rsidR="00970F68" w:rsidRPr="00F11B3B" w:rsidRDefault="00FF6E45" w:rsidP="00F11B3B">
      <w:pPr>
        <w:tabs>
          <w:tab w:val="left" w:pos="-720"/>
          <w:tab w:val="left" w:pos="851"/>
          <w:tab w:val="left" w:pos="3600"/>
        </w:tabs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Review </w:t>
      </w:r>
      <w:r w:rsidR="00F11B3B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on </w:t>
      </w:r>
      <w:r w:rsidR="00F11B3B" w:rsidRPr="00CB1EC3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 xml:space="preserve">Concurrent Design </w:t>
      </w:r>
      <w:r w:rsidR="002612AC">
        <w:rPr>
          <w:rFonts w:ascii="Arial" w:eastAsia="Arial Unicode MS" w:hAnsi="Arial" w:cs="Arial"/>
          <w:b/>
          <w:color w:val="000000" w:themeColor="text1"/>
          <w:spacing w:val="-2"/>
          <w:sz w:val="22"/>
          <w:lang w:val="en-GB"/>
        </w:rPr>
        <w:t>practice in the space sector</w:t>
      </w:r>
    </w:p>
    <w:p w14:paraId="0A4266A1" w14:textId="77777777" w:rsidR="00F11B3B" w:rsidRPr="00614BDE" w:rsidRDefault="00F11B3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</w:pPr>
    </w:p>
    <w:p w14:paraId="789BD83F" w14:textId="678CC715" w:rsidR="00E272EB" w:rsidRPr="00614BDE" w:rsidRDefault="002D1BB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color w:val="000000" w:themeColor="text1"/>
          <w:spacing w:val="-2"/>
          <w:sz w:val="20"/>
          <w:u w:val="single"/>
          <w:lang w:val="en-GB"/>
        </w:rPr>
        <w:t>D. Knoll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*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E272EB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C. Fortin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A. Golkar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21043A"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.</w:t>
      </w:r>
    </w:p>
    <w:p w14:paraId="1416E9AE" w14:textId="77777777" w:rsidR="00970F68" w:rsidRPr="00614BDE" w:rsidRDefault="00970F68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</w:pPr>
    </w:p>
    <w:p w14:paraId="0DC3F2AF" w14:textId="27AA90BA" w:rsidR="00E272EB" w:rsidRPr="00614BDE" w:rsidRDefault="00E272EB" w:rsidP="00A86753">
      <w:pPr>
        <w:tabs>
          <w:tab w:val="left" w:pos="-720"/>
          <w:tab w:val="left" w:pos="0"/>
          <w:tab w:val="left" w:pos="851"/>
          <w:tab w:val="left" w:pos="3600"/>
        </w:tabs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</w:pP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vertAlign w:val="superscript"/>
          <w:lang w:val="en-GB"/>
        </w:rPr>
        <w:t>1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Skolkovo Institute of Science and Technology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Moscow</w:t>
      </w:r>
      <w:r w:rsidRPr="00614BDE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, </w:t>
      </w:r>
      <w:r w:rsidR="001C2738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Russian Federation</w:t>
      </w:r>
      <w:r w:rsidR="007208A1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>,</w:t>
      </w:r>
      <w:r w:rsidR="005028D7">
        <w:rPr>
          <w:rFonts w:ascii="Arial" w:eastAsia="Arial Unicode MS" w:hAnsi="Arial" w:cs="Arial"/>
          <w:i/>
          <w:color w:val="000000" w:themeColor="text1"/>
          <w:spacing w:val="-2"/>
          <w:sz w:val="20"/>
          <w:lang w:val="en-GB"/>
        </w:rPr>
        <w:t xml:space="preserve"> *</w:t>
      </w:r>
      <w:hyperlink r:id="rId10" w:history="1">
        <w:r w:rsidR="001C2738" w:rsidRPr="00EB4B81">
          <w:rPr>
            <w:rStyle w:val="Hyperlink"/>
            <w:rFonts w:ascii="Arial" w:eastAsia="Arial Unicode MS" w:hAnsi="Arial" w:cs="Arial"/>
            <w:i/>
            <w:spacing w:val="-2"/>
            <w:sz w:val="20"/>
            <w:lang w:val="en-GB"/>
          </w:rPr>
          <w:t>d.knoll@skoltech.ru</w:t>
        </w:r>
      </w:hyperlink>
      <w:r w:rsidR="001C2738">
        <w:rPr>
          <w:rFonts w:ascii="Arial" w:eastAsia="Arial Unicode MS" w:hAnsi="Arial" w:cs="Arial"/>
          <w:i/>
          <w:spacing w:val="-2"/>
          <w:sz w:val="20"/>
          <w:lang w:val="en-GB"/>
        </w:rPr>
        <w:t xml:space="preserve"> </w:t>
      </w:r>
    </w:p>
    <w:p w14:paraId="103CA336" w14:textId="77777777" w:rsidR="00E272EB" w:rsidRPr="00614BDE" w:rsidRDefault="00E272EB" w:rsidP="00A86753">
      <w:pPr>
        <w:tabs>
          <w:tab w:val="left" w:pos="-720"/>
          <w:tab w:val="left" w:pos="0"/>
          <w:tab w:val="left" w:pos="3600"/>
        </w:tabs>
        <w:jc w:val="both"/>
        <w:rPr>
          <w:rFonts w:ascii="Arial" w:eastAsia="Arial Unicode MS" w:hAnsi="Arial" w:cs="Arial"/>
          <w:color w:val="000000" w:themeColor="text1"/>
          <w:spacing w:val="-2"/>
          <w:sz w:val="18"/>
          <w:szCs w:val="18"/>
          <w:lang w:val="en-GB"/>
        </w:rPr>
      </w:pPr>
    </w:p>
    <w:p w14:paraId="379E9E21" w14:textId="3F24D6E7" w:rsidR="00910260" w:rsidRPr="004719BC" w:rsidRDefault="00A33110" w:rsidP="00910260">
      <w:pPr>
        <w:pStyle w:val="ListParagraph"/>
        <w:numPr>
          <w:ilvl w:val="0"/>
          <w:numId w:val="2"/>
        </w:numPr>
        <w:tabs>
          <w:tab w:val="left" w:pos="-720"/>
          <w:tab w:val="left" w:pos="0"/>
          <w:tab w:val="left" w:pos="3600"/>
        </w:tabs>
        <w:spacing w:after="120"/>
        <w:ind w:left="425" w:hanging="425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Abstract</w:t>
      </w:r>
      <w:bookmarkStart w:id="0" w:name="_GoBack"/>
      <w:bookmarkEnd w:id="0"/>
    </w:p>
    <w:p w14:paraId="1902341B" w14:textId="61FA7A51" w:rsidR="001C2738" w:rsidRPr="001C2738" w:rsidRDefault="001C2738" w:rsidP="001C27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C273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Over the last decades the concurrent design approach got widely adopted by organizations dealing with feasibility studies of space missions. It has shown </w:t>
      </w:r>
      <w:r w:rsidR="00C06D4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to be </w:t>
      </w:r>
      <w:r w:rsidRPr="001C273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an effective method to evaluate new space missions as well as to verify given proposals in a time efficient manner. Common to the various implementations of the concurrent engineering paradigm </w:t>
      </w:r>
      <w:r w:rsidR="008537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in</w:t>
      </w:r>
      <w:r w:rsidRPr="001C273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to conceptual design studies are: a multidisciplinary team, a tool for managing a shared system model, a structured process for collaboration, and an environment for the team to get together for concentrated face-to-face work sessions. Besides theses commonalities, different organizations have developed different practices.</w:t>
      </w:r>
    </w:p>
    <w:p w14:paraId="0495A89C" w14:textId="7857C453" w:rsidR="001C2738" w:rsidRPr="00406893" w:rsidRDefault="001C2738" w:rsidP="00406893">
      <w:pPr>
        <w:pStyle w:val="Heading4"/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</w:pPr>
      <w:r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The goal of our work is to analyse the differences in people management, tools, processes and facilities across many organizations using </w:t>
      </w:r>
      <w:r w:rsidR="00853784"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this type of </w:t>
      </w:r>
      <w:r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concurrent design. Our analysis is </w:t>
      </w:r>
      <w:r w:rsidR="00B51E79"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>primarily based on</w:t>
      </w:r>
      <w:r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data</w:t>
      </w:r>
      <w:r w:rsidR="00B51E79"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collected through</w:t>
      </w:r>
      <w:r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a survey </w:t>
      </w:r>
      <w:r w:rsidR="00A8374D" w:rsidRPr="00A8374D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>along the four topics: 1) people and team, 2) tools and shared model, 3) process, 4) infrastructure and facility</w:t>
      </w:r>
      <w:r w:rsidR="001E28B6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>.</w:t>
      </w:r>
      <w:r w:rsid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Most of the questions can be evaluated quantitatively to allow a clear </w:t>
      </w:r>
      <w:r w:rsidR="00406893"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>characterization of the state-of-the-art.</w:t>
      </w:r>
      <w:r w:rsidR="001E28B6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Moreover, we capture current challenges and</w:t>
      </w:r>
      <w:r w:rsidR="00406893"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</w:t>
      </w:r>
      <w:r w:rsidR="001E28B6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future trends for each of the four topics. </w:t>
      </w:r>
      <w:r w:rsidR="00C95D33"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The survey is conducted </w:t>
      </w:r>
      <w:r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among </w:t>
      </w:r>
      <w:r w:rsidR="00B51E79"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>subject matter experts</w:t>
      </w:r>
      <w:r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 involved in various roles in </w:t>
      </w:r>
      <w:r w:rsidR="00853784"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 xml:space="preserve">this type of </w:t>
      </w:r>
      <w:r w:rsidRPr="00406893">
        <w:rPr>
          <w:rFonts w:ascii="Arial" w:eastAsia="Arial Unicode MS" w:hAnsi="Arial" w:cs="Arial"/>
          <w:i w:val="0"/>
          <w:color w:val="000000" w:themeColor="text1"/>
          <w:spacing w:val="-2"/>
          <w:sz w:val="20"/>
          <w:lang w:val="en-GB"/>
        </w:rPr>
        <w:t>concurrent design.</w:t>
      </w:r>
    </w:p>
    <w:p w14:paraId="01E6A1C9" w14:textId="77777777" w:rsidR="00406893" w:rsidRPr="00406893" w:rsidRDefault="00406893" w:rsidP="00406893">
      <w:pPr>
        <w:rPr>
          <w:rFonts w:eastAsia="Arial Unicode MS"/>
          <w:lang w:val="en-GB" w:eastAsia="en-US"/>
        </w:rPr>
      </w:pPr>
    </w:p>
    <w:p w14:paraId="3FFFB26C" w14:textId="1CF46C55" w:rsidR="001C2738" w:rsidRDefault="001C2738" w:rsidP="001C2738">
      <w:pPr>
        <w:tabs>
          <w:tab w:val="left" w:pos="-720"/>
          <w:tab w:val="left" w:pos="0"/>
          <w:tab w:val="left" w:pos="3600"/>
        </w:tabs>
        <w:spacing w:after="120"/>
        <w:jc w:val="both"/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</w:pPr>
      <w:r w:rsidRPr="001C273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>We explain the different applications of concurrent design</w:t>
      </w:r>
      <w:r w:rsidR="00853784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approach</w:t>
      </w:r>
      <w:r w:rsidRPr="001C2738">
        <w:rPr>
          <w:rFonts w:ascii="Arial" w:eastAsia="Arial Unicode MS" w:hAnsi="Arial" w:cs="Arial"/>
          <w:color w:val="000000" w:themeColor="text1"/>
          <w:spacing w:val="-2"/>
          <w:sz w:val="20"/>
          <w:lang w:val="en-GB"/>
        </w:rPr>
        <w:t xml:space="preserve"> by their organizational context and the specific purpose the approach is used for. This review gives a broad insight into the practice of concurrent design in the space sector. Finally, we point out topics most relevant for future research.</w:t>
      </w:r>
    </w:p>
    <w:p w14:paraId="076CBFD5" w14:textId="72080406" w:rsidR="00D816B4" w:rsidRPr="004719BC" w:rsidRDefault="00D816B4" w:rsidP="001E5A02">
      <w:pPr>
        <w:pStyle w:val="ListParagraph"/>
        <w:numPr>
          <w:ilvl w:val="0"/>
          <w:numId w:val="2"/>
        </w:numPr>
        <w:tabs>
          <w:tab w:val="clear" w:pos="340"/>
          <w:tab w:val="left" w:pos="-720"/>
          <w:tab w:val="num" w:pos="0"/>
          <w:tab w:val="left" w:pos="284"/>
        </w:tabs>
        <w:spacing w:after="120"/>
        <w:ind w:left="0"/>
        <w:jc w:val="both"/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</w:pPr>
      <w:r>
        <w:rPr>
          <w:rFonts w:ascii="Arial" w:eastAsia="Arial Unicode MS" w:hAnsi="Arial" w:cs="Arial"/>
          <w:b/>
          <w:color w:val="000000" w:themeColor="text1"/>
          <w:spacing w:val="-2"/>
          <w:sz w:val="20"/>
          <w:lang w:val="en-GB"/>
        </w:rPr>
        <w:t>References</w:t>
      </w:r>
    </w:p>
    <w:p w14:paraId="77F163B3" w14:textId="77777777" w:rsidR="00895B1C" w:rsidRDefault="003F0AF8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[1] </w:t>
      </w:r>
      <w:r w:rsidR="00D46AD6" w:rsidRPr="00D46AD6">
        <w:rPr>
          <w:rFonts w:ascii="Arial" w:hAnsi="Arial" w:cs="Arial"/>
          <w:color w:val="000000" w:themeColor="text1"/>
          <w:sz w:val="20"/>
          <w:lang w:val="en-GB"/>
        </w:rPr>
        <w:t>Bandecchi, Massimo, Bryan Melton, Bruno Gardini, and Franco Ongaro. 2000. “The ESA/ESTEC Concurrent Design Facility.” In Proceedings of the EuSEC 2000, 1:329–336.</w:t>
      </w:r>
    </w:p>
    <w:p w14:paraId="2107308F" w14:textId="77777777" w:rsidR="00895B1C" w:rsidRDefault="00895B1C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14:paraId="1C39D837" w14:textId="2FD03F3C" w:rsidR="0098191E" w:rsidRDefault="003F0AF8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 w:rsidRPr="004719BC">
        <w:rPr>
          <w:rFonts w:ascii="Arial" w:hAnsi="Arial" w:cs="Arial"/>
          <w:color w:val="000000" w:themeColor="text1"/>
          <w:sz w:val="20"/>
          <w:lang w:val="en-GB"/>
        </w:rPr>
        <w:t xml:space="preserve">[2] </w:t>
      </w:r>
      <w:r w:rsidR="0098191E" w:rsidRPr="0098191E">
        <w:rPr>
          <w:rFonts w:ascii="Arial" w:hAnsi="Arial" w:cs="Arial"/>
          <w:color w:val="000000" w:themeColor="text1"/>
          <w:sz w:val="20"/>
          <w:lang w:val="en-GB"/>
        </w:rPr>
        <w:t>Karpati, G., J. Martin, M. Steiner, and K. Reinhardt. 2003. “The Integrated Mission Design Center (IMDC) at NASA Goddard Space Flight Center.” IEEE Aerospace Conference Proceedings 8 (Imdc): 3657–67. doi:10.1109/AERO.2003.1235549.</w:t>
      </w:r>
    </w:p>
    <w:p w14:paraId="12BBC6AE" w14:textId="77777777" w:rsidR="0098191E" w:rsidRDefault="0098191E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14:paraId="4ABB17B6" w14:textId="66F34BE0" w:rsidR="0098191E" w:rsidRDefault="0098191E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[3] </w:t>
      </w:r>
      <w:r w:rsidR="00653088" w:rsidRPr="00653088">
        <w:rPr>
          <w:rFonts w:ascii="Arial" w:hAnsi="Arial" w:cs="Arial"/>
          <w:color w:val="000000" w:themeColor="text1"/>
          <w:sz w:val="20"/>
          <w:lang w:val="en-GB"/>
        </w:rPr>
        <w:t xml:space="preserve">Gomez, Antonio Martelo, Stephan Siegfried Jahnke, Andy Braukhane, Dominik Quantius, Volker Maiwald, and Oliver Romberg. 2017. “Statistics and Evaluation of 60+ Concurrent Engineering Studies at DLR.” In Proceedings of the International Astronautical Congress, IAC. </w:t>
      </w:r>
      <w:r w:rsidR="00A33110" w:rsidRPr="00A33110">
        <w:rPr>
          <w:rFonts w:ascii="Arial" w:hAnsi="Arial" w:cs="Arial"/>
          <w:color w:val="000000" w:themeColor="text1"/>
          <w:sz w:val="20"/>
          <w:lang w:val="en-GB"/>
        </w:rPr>
        <w:t>http://elib.dlr.de/114620/</w:t>
      </w:r>
      <w:r w:rsidR="00653088" w:rsidRPr="00653088">
        <w:rPr>
          <w:rFonts w:ascii="Arial" w:hAnsi="Arial" w:cs="Arial"/>
          <w:color w:val="000000" w:themeColor="text1"/>
          <w:sz w:val="20"/>
          <w:lang w:val="en-GB"/>
        </w:rPr>
        <w:t>.</w:t>
      </w:r>
    </w:p>
    <w:p w14:paraId="7B9A8CC0" w14:textId="77777777" w:rsidR="00A33110" w:rsidRDefault="00A33110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14:paraId="39421F6A" w14:textId="3644FBD4" w:rsidR="00A33110" w:rsidRDefault="00A33110" w:rsidP="006D31E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[4] </w:t>
      </w:r>
      <w:r w:rsidRPr="00A33110">
        <w:rPr>
          <w:rFonts w:ascii="Arial" w:hAnsi="Arial" w:cs="Arial"/>
          <w:color w:val="000000" w:themeColor="text1"/>
          <w:sz w:val="20"/>
          <w:lang w:val="en-GB"/>
        </w:rPr>
        <w:t>Xu, Dajun, Cees Bil, and Guobiao Cai. 2016. “A CDF Framework for Aerospace Engineering Education.” Edited by Josip Stjepandić and Cees Bil. Journal of Aerospace Operations 4 (1–2): 67–84. doi:10.3233/AOP-160059.</w:t>
      </w:r>
    </w:p>
    <w:p w14:paraId="5AFACA3E" w14:textId="4EE2370D" w:rsidR="006E2678" w:rsidRDefault="006E2678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p w14:paraId="6C4C2269" w14:textId="005ABC50" w:rsidR="00A33110" w:rsidRPr="00A33110" w:rsidRDefault="00A33110" w:rsidP="00A33110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  <w:r>
        <w:rPr>
          <w:rFonts w:ascii="Arial" w:hAnsi="Arial" w:cs="Arial"/>
          <w:color w:val="000000" w:themeColor="text1"/>
          <w:sz w:val="20"/>
          <w:lang w:val="en-GB"/>
        </w:rPr>
        <w:t xml:space="preserve">[5] </w:t>
      </w:r>
      <w:r w:rsidRPr="00A33110">
        <w:rPr>
          <w:rFonts w:ascii="Arial" w:hAnsi="Arial" w:cs="Arial"/>
          <w:snapToGrid/>
          <w:color w:val="000000" w:themeColor="text1"/>
          <w:sz w:val="20"/>
          <w:lang w:val="en-GB"/>
        </w:rPr>
        <w:t>ESA ESTEC,</w:t>
      </w:r>
      <w:r w:rsidRPr="00A33110">
        <w:rPr>
          <w:rFonts w:ascii="Arial" w:hAnsi="Arial" w:cs="Arial"/>
          <w:snapToGrid/>
          <w:color w:val="000000" w:themeColor="text1"/>
          <w:sz w:val="20"/>
          <w:lang w:val="en-GB"/>
        </w:rPr>
        <w:t xml:space="preserve"> </w:t>
      </w:r>
      <w:r>
        <w:rPr>
          <w:rFonts w:ascii="Arial" w:hAnsi="Arial" w:cs="Arial"/>
          <w:snapToGrid/>
          <w:color w:val="000000" w:themeColor="text1"/>
          <w:sz w:val="20"/>
          <w:lang w:val="en-GB"/>
        </w:rPr>
        <w:t xml:space="preserve">Noordwijk NL, </w:t>
      </w:r>
      <w:r w:rsidRPr="00A33110">
        <w:rPr>
          <w:rFonts w:ascii="Arial" w:hAnsi="Arial" w:cs="Arial"/>
          <w:snapToGrid/>
          <w:color w:val="000000" w:themeColor="text1"/>
          <w:sz w:val="20"/>
          <w:lang w:val="en-GB"/>
        </w:rPr>
        <w:t>“The ESA Concurrent Design</w:t>
      </w:r>
      <w:r>
        <w:rPr>
          <w:rFonts w:ascii="Arial" w:hAnsi="Arial" w:cs="Arial"/>
          <w:snapToGrid/>
          <w:color w:val="000000" w:themeColor="text1"/>
          <w:sz w:val="20"/>
          <w:lang w:val="en-GB"/>
        </w:rPr>
        <w:t xml:space="preserve"> </w:t>
      </w:r>
      <w:r w:rsidRPr="00A33110">
        <w:rPr>
          <w:rFonts w:ascii="Arial" w:hAnsi="Arial" w:cs="Arial"/>
          <w:snapToGrid/>
          <w:color w:val="000000" w:themeColor="text1"/>
          <w:sz w:val="20"/>
          <w:lang w:val="en-GB"/>
        </w:rPr>
        <w:t>Facility</w:t>
      </w:r>
      <w:r>
        <w:rPr>
          <w:rFonts w:ascii="Arial" w:hAnsi="Arial" w:cs="Arial"/>
          <w:snapToGrid/>
          <w:color w:val="000000" w:themeColor="text1"/>
          <w:sz w:val="20"/>
          <w:lang w:val="en-GB"/>
        </w:rPr>
        <w:t xml:space="preserve">”. </w:t>
      </w:r>
      <w:r w:rsidRPr="00A33110">
        <w:rPr>
          <w:rFonts w:ascii="Arial" w:hAnsi="Arial" w:cs="Arial"/>
          <w:snapToGrid/>
          <w:color w:val="000000" w:themeColor="text1"/>
          <w:sz w:val="20"/>
          <w:lang w:val="en-GB"/>
        </w:rPr>
        <w:t>http://esamultimedia.esa.int/docs/cdf/CDF-INFOPACK-2011.pdf</w:t>
      </w:r>
      <w:r w:rsidRPr="00A33110">
        <w:rPr>
          <w:rFonts w:ascii="Arial" w:hAnsi="Arial" w:cs="Arial"/>
          <w:snapToGrid/>
          <w:color w:val="000000" w:themeColor="text1"/>
          <w:sz w:val="20"/>
          <w:lang w:val="en-GB"/>
        </w:rPr>
        <w:t>.</w:t>
      </w:r>
    </w:p>
    <w:p w14:paraId="65C87D72" w14:textId="77777777" w:rsidR="0098191E" w:rsidRPr="0045005F" w:rsidRDefault="0098191E" w:rsidP="0045005F">
      <w:pPr>
        <w:pStyle w:val="NoSpacing"/>
        <w:jc w:val="both"/>
        <w:rPr>
          <w:rFonts w:ascii="Arial" w:hAnsi="Arial" w:cs="Arial"/>
          <w:color w:val="000000" w:themeColor="text1"/>
          <w:sz w:val="20"/>
          <w:lang w:val="en-GB"/>
        </w:rPr>
      </w:pPr>
    </w:p>
    <w:sectPr w:rsidR="0098191E" w:rsidRPr="004500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272D4" w14:textId="77777777" w:rsidR="00E94E16" w:rsidRDefault="00E94E16" w:rsidP="002B3D2E">
      <w:r>
        <w:separator/>
      </w:r>
    </w:p>
  </w:endnote>
  <w:endnote w:type="continuationSeparator" w:id="0">
    <w:p w14:paraId="29EFDD14" w14:textId="77777777" w:rsidR="00E94E16" w:rsidRDefault="00E94E16" w:rsidP="002B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E2944" w14:textId="77777777" w:rsidR="00E94E16" w:rsidRDefault="00E94E16" w:rsidP="002B3D2E">
      <w:r>
        <w:separator/>
      </w:r>
    </w:p>
  </w:footnote>
  <w:footnote w:type="continuationSeparator" w:id="0">
    <w:p w14:paraId="53A3052E" w14:textId="77777777" w:rsidR="00E94E16" w:rsidRDefault="00E94E16" w:rsidP="002B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31393" w14:textId="77D21A8A" w:rsidR="001A2217" w:rsidRPr="00A86753" w:rsidRDefault="00FD7318" w:rsidP="00A86753">
    <w:pPr>
      <w:tabs>
        <w:tab w:val="left" w:pos="-720"/>
        <w:tab w:val="left" w:pos="851"/>
        <w:tab w:val="left" w:pos="3600"/>
      </w:tabs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</w:pPr>
    <w:r>
      <w:rPr>
        <w:rFonts w:ascii="Arial" w:eastAsia="Arial Unicode MS" w:hAnsi="Arial" w:cs="Arial"/>
        <w:b/>
        <w:i/>
        <w:noProof/>
        <w:color w:val="000000" w:themeColor="text1"/>
        <w:spacing w:val="-2"/>
        <w:sz w:val="20"/>
        <w:lang w:val="en-GB"/>
      </w:rPr>
      <w:t>SECESA 2018</w:t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  <w:r w:rsidR="001A2217">
      <w:rPr>
        <w:rFonts w:ascii="Arial" w:eastAsia="Arial Unicode MS" w:hAnsi="Arial" w:cs="Arial"/>
        <w:b/>
        <w:i/>
        <w:noProof/>
        <w:color w:val="000000" w:themeColor="text1"/>
        <w:spacing w:val="-2"/>
        <w:szCs w:val="18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698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1" w15:restartNumberingAfterBreak="0">
    <w:nsid w:val="311A7272"/>
    <w:multiLevelType w:val="multilevel"/>
    <w:tmpl w:val="F384B112"/>
    <w:lvl w:ilvl="0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2" w15:restartNumberingAfterBreak="0">
    <w:nsid w:val="39AC479F"/>
    <w:multiLevelType w:val="hybridMultilevel"/>
    <w:tmpl w:val="CF98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A5C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83366E"/>
    <w:multiLevelType w:val="multilevel"/>
    <w:tmpl w:val="8A2A0F4E"/>
    <w:lvl w:ilvl="0">
      <w:start w:val="1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" w:firstLine="0"/>
      </w:pPr>
      <w:rPr>
        <w:rFonts w:hint="default"/>
      </w:rPr>
    </w:lvl>
  </w:abstractNum>
  <w:abstractNum w:abstractNumId="5" w15:restartNumberingAfterBreak="0">
    <w:nsid w:val="71010DB8"/>
    <w:multiLevelType w:val="multilevel"/>
    <w:tmpl w:val="BA5CE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EB"/>
    <w:rsid w:val="00013214"/>
    <w:rsid w:val="000254DC"/>
    <w:rsid w:val="00067049"/>
    <w:rsid w:val="001062A3"/>
    <w:rsid w:val="0016733A"/>
    <w:rsid w:val="001A2217"/>
    <w:rsid w:val="001B0137"/>
    <w:rsid w:val="001B7EB8"/>
    <w:rsid w:val="001C07E6"/>
    <w:rsid w:val="001C2738"/>
    <w:rsid w:val="001C53CE"/>
    <w:rsid w:val="001E28B6"/>
    <w:rsid w:val="001E5A02"/>
    <w:rsid w:val="0021043A"/>
    <w:rsid w:val="002516B4"/>
    <w:rsid w:val="002551C5"/>
    <w:rsid w:val="002612AC"/>
    <w:rsid w:val="0027138A"/>
    <w:rsid w:val="002B0E94"/>
    <w:rsid w:val="002B3D2E"/>
    <w:rsid w:val="002D1BBB"/>
    <w:rsid w:val="00346EF7"/>
    <w:rsid w:val="003621EB"/>
    <w:rsid w:val="003F0AF8"/>
    <w:rsid w:val="00406893"/>
    <w:rsid w:val="0045005F"/>
    <w:rsid w:val="004719BC"/>
    <w:rsid w:val="00477A63"/>
    <w:rsid w:val="0050245D"/>
    <w:rsid w:val="005028D7"/>
    <w:rsid w:val="00530AD7"/>
    <w:rsid w:val="00614BDE"/>
    <w:rsid w:val="00635748"/>
    <w:rsid w:val="00653088"/>
    <w:rsid w:val="00676A0D"/>
    <w:rsid w:val="006809E1"/>
    <w:rsid w:val="006A4276"/>
    <w:rsid w:val="006D31EF"/>
    <w:rsid w:val="006E2678"/>
    <w:rsid w:val="007208A1"/>
    <w:rsid w:val="007728AF"/>
    <w:rsid w:val="00781FA5"/>
    <w:rsid w:val="007F2301"/>
    <w:rsid w:val="008114CB"/>
    <w:rsid w:val="008220AB"/>
    <w:rsid w:val="00853784"/>
    <w:rsid w:val="00867E03"/>
    <w:rsid w:val="00895B1C"/>
    <w:rsid w:val="008D25F1"/>
    <w:rsid w:val="008F353E"/>
    <w:rsid w:val="00910260"/>
    <w:rsid w:val="00955D18"/>
    <w:rsid w:val="00963135"/>
    <w:rsid w:val="00970F68"/>
    <w:rsid w:val="0098191E"/>
    <w:rsid w:val="009B09EE"/>
    <w:rsid w:val="00A04231"/>
    <w:rsid w:val="00A239EC"/>
    <w:rsid w:val="00A33110"/>
    <w:rsid w:val="00A81977"/>
    <w:rsid w:val="00A8374D"/>
    <w:rsid w:val="00A86753"/>
    <w:rsid w:val="00AA2605"/>
    <w:rsid w:val="00AB3DF0"/>
    <w:rsid w:val="00AC5B81"/>
    <w:rsid w:val="00AD0253"/>
    <w:rsid w:val="00AE29AC"/>
    <w:rsid w:val="00B3099F"/>
    <w:rsid w:val="00B325B2"/>
    <w:rsid w:val="00B51E79"/>
    <w:rsid w:val="00B82299"/>
    <w:rsid w:val="00B91303"/>
    <w:rsid w:val="00BB0348"/>
    <w:rsid w:val="00BC0956"/>
    <w:rsid w:val="00C06D48"/>
    <w:rsid w:val="00C26E50"/>
    <w:rsid w:val="00C45485"/>
    <w:rsid w:val="00C95D33"/>
    <w:rsid w:val="00CA2574"/>
    <w:rsid w:val="00CB1EC3"/>
    <w:rsid w:val="00CB6CA7"/>
    <w:rsid w:val="00CD0286"/>
    <w:rsid w:val="00D46AD6"/>
    <w:rsid w:val="00D816B4"/>
    <w:rsid w:val="00D82FE6"/>
    <w:rsid w:val="00DB37B6"/>
    <w:rsid w:val="00DC44CA"/>
    <w:rsid w:val="00E06F9E"/>
    <w:rsid w:val="00E272EB"/>
    <w:rsid w:val="00E70430"/>
    <w:rsid w:val="00E713CC"/>
    <w:rsid w:val="00E94E16"/>
    <w:rsid w:val="00EA719C"/>
    <w:rsid w:val="00EB4338"/>
    <w:rsid w:val="00ED24A9"/>
    <w:rsid w:val="00F11B3B"/>
    <w:rsid w:val="00F352AE"/>
    <w:rsid w:val="00FD14FE"/>
    <w:rsid w:val="00FD7318"/>
    <w:rsid w:val="00FF39BD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A4E7BF5"/>
  <w15:docId w15:val="{28433ECF-7D44-964A-8799-48F87B67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E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374D"/>
    <w:pPr>
      <w:keepNext/>
      <w:keepLines/>
      <w:widowControl/>
      <w:spacing w:before="120" w:line="252" w:lineRule="auto"/>
      <w:jc w:val="both"/>
      <w:outlineLvl w:val="3"/>
    </w:pPr>
    <w:rPr>
      <w:rFonts w:asciiTheme="majorHAnsi" w:eastAsiaTheme="majorEastAsia" w:hAnsiTheme="majorHAnsi" w:cstheme="majorBidi"/>
      <w:i/>
      <w:iCs/>
      <w:snapToGrid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ext">
    <w:name w:val="Section_text"/>
    <w:basedOn w:val="Normal"/>
    <w:qFormat/>
    <w:rsid w:val="00E272EB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20"/>
      <w:lang w:val="en-US" w:eastAsia="zh-CN"/>
    </w:rPr>
  </w:style>
  <w:style w:type="paragraph" w:customStyle="1" w:styleId="Figurecaption">
    <w:name w:val="Figure_caption"/>
    <w:basedOn w:val="Sectiontext"/>
    <w:rsid w:val="00E272EB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7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2EB"/>
    <w:rPr>
      <w:rFonts w:ascii="Tahoma" w:eastAsia="Times New Roman" w:hAnsi="Tahoma" w:cs="Tahoma"/>
      <w:snapToGrid w:val="0"/>
      <w:sz w:val="16"/>
      <w:szCs w:val="16"/>
      <w:lang w:eastAsia="nl-NL"/>
    </w:rPr>
  </w:style>
  <w:style w:type="paragraph" w:customStyle="1" w:styleId="Equation">
    <w:name w:val="Equation"/>
    <w:basedOn w:val="Normal"/>
    <w:rsid w:val="003F0AF8"/>
    <w:pPr>
      <w:widowControl/>
      <w:autoSpaceDE w:val="0"/>
      <w:autoSpaceDN w:val="0"/>
      <w:adjustRightInd w:val="0"/>
      <w:spacing w:after="240"/>
      <w:jc w:val="right"/>
    </w:pPr>
    <w:rPr>
      <w:rFonts w:ascii="Times New Roman" w:eastAsia="SimSun" w:hAnsi="Times New Roman"/>
      <w:snapToGrid/>
      <w:sz w:val="20"/>
      <w:lang w:val="en-US" w:eastAsia="zh-CN"/>
    </w:rPr>
  </w:style>
  <w:style w:type="paragraph" w:styleId="NoSpacing">
    <w:name w:val="No Spacing"/>
    <w:uiPriority w:val="1"/>
    <w:qFormat/>
    <w:rsid w:val="003F0AF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customStyle="1" w:styleId="References">
    <w:name w:val="References"/>
    <w:basedOn w:val="Normal"/>
    <w:rsid w:val="003F0AF8"/>
    <w:pPr>
      <w:widowControl/>
      <w:autoSpaceDE w:val="0"/>
      <w:autoSpaceDN w:val="0"/>
      <w:adjustRightInd w:val="0"/>
      <w:spacing w:after="240"/>
      <w:jc w:val="both"/>
    </w:pPr>
    <w:rPr>
      <w:rFonts w:ascii="Times New Roman" w:eastAsia="SimSun" w:hAnsi="Times New Roman"/>
      <w:snapToGrid/>
      <w:sz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2B3D2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D2E"/>
    <w:rPr>
      <w:rFonts w:ascii="Courier New" w:eastAsia="Times New Roman" w:hAnsi="Courier New" w:cs="Times New Roman"/>
      <w:snapToGrid w:val="0"/>
      <w:sz w:val="24"/>
      <w:szCs w:val="20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A86753"/>
    <w:rPr>
      <w:color w:val="808080"/>
    </w:rPr>
  </w:style>
  <w:style w:type="paragraph" w:styleId="ListParagraph">
    <w:name w:val="List Paragraph"/>
    <w:basedOn w:val="Normal"/>
    <w:uiPriority w:val="34"/>
    <w:qFormat/>
    <w:rsid w:val="00CB6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8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273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738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A8374D"/>
    <w:rPr>
      <w:rFonts w:asciiTheme="majorHAnsi" w:eastAsiaTheme="majorEastAsia" w:hAnsiTheme="majorHAnsi" w:cstheme="majorBidi"/>
      <w:i/>
      <w:i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3311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.knoll@skoltech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2A162F-AB3D-45A0-A9C8-AE3A8FAC77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9C8EA-892A-414A-BD94-C91FFF58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DEEE7-F950-4F6E-B51D-A0F2C23468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ATPi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 Di Blasio</dc:creator>
  <cp:lastModifiedBy>Dominik Knoll</cp:lastModifiedBy>
  <cp:revision>4</cp:revision>
  <dcterms:created xsi:type="dcterms:W3CDTF">2018-05-02T20:36:00Z</dcterms:created>
  <dcterms:modified xsi:type="dcterms:W3CDTF">2018-05-02T20:46:00Z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0x01010040ECFF845D979C4E999CD4BFB9630BFA</vt:lpwstr>
  </property>
</Properties>
</file>