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F98E2" w14:textId="77777777" w:rsidR="00760AAC" w:rsidRPr="00D56315" w:rsidRDefault="00760AAC" w:rsidP="00760AAC">
      <w:pPr>
        <w:tabs>
          <w:tab w:val="left" w:pos="-720"/>
          <w:tab w:val="left" w:pos="851"/>
          <w:tab w:val="left" w:pos="3600"/>
        </w:tabs>
        <w:rPr>
          <w:rFonts w:ascii="Arial" w:hAnsi="Arial"/>
          <w:b/>
          <w:color w:val="000000" w:themeColor="text1"/>
          <w:sz w:val="22"/>
        </w:rPr>
      </w:pPr>
      <w:r w:rsidRPr="00D56315">
        <w:rPr>
          <w:rFonts w:ascii="Arial" w:hAnsi="Arial"/>
          <w:b/>
          <w:color w:val="000000" w:themeColor="text1"/>
          <w:sz w:val="22"/>
        </w:rPr>
        <w:t>New opportunities: exploiting Concurrent Design tools in the Model Based Systems Engineering Approach</w:t>
      </w:r>
    </w:p>
    <w:p w14:paraId="6B08C2FB" w14:textId="77777777" w:rsidR="00760AAC" w:rsidRPr="00D56315" w:rsidRDefault="00760AAC" w:rsidP="00760AAC">
      <w:pPr>
        <w:tabs>
          <w:tab w:val="left" w:pos="-720"/>
          <w:tab w:val="left" w:pos="0"/>
          <w:tab w:val="left" w:pos="851"/>
          <w:tab w:val="left" w:pos="3600"/>
        </w:tabs>
        <w:rPr>
          <w:rFonts w:ascii="Arial" w:hAnsi="Arial" w:cs="Arial"/>
          <w:i/>
          <w:color w:val="000000" w:themeColor="text1"/>
          <w:sz w:val="20"/>
        </w:rPr>
      </w:pPr>
      <w:r w:rsidRPr="00D56315">
        <w:rPr>
          <w:rFonts w:ascii="Arial" w:hAnsi="Arial" w:cs="Arial"/>
          <w:i/>
          <w:color w:val="000000" w:themeColor="text1"/>
          <w:sz w:val="20"/>
        </w:rPr>
        <w:t>Ivanov</w:t>
      </w:r>
      <w:r w:rsidRPr="00D56315">
        <w:rPr>
          <w:rFonts w:ascii="Arial" w:hAnsi="Arial" w:cs="Arial"/>
          <w:i/>
          <w:color w:val="000000" w:themeColor="text1"/>
          <w:sz w:val="20"/>
          <w:vertAlign w:val="superscript"/>
        </w:rPr>
        <w:t>1</w:t>
      </w:r>
      <w:r w:rsidRPr="00D56315">
        <w:rPr>
          <w:rFonts w:ascii="Arial" w:hAnsi="Arial" w:cs="Arial"/>
          <w:i/>
          <w:color w:val="000000" w:themeColor="text1"/>
          <w:sz w:val="20"/>
        </w:rPr>
        <w:t>, A. Platonov</w:t>
      </w:r>
      <w:r w:rsidRPr="00D56315">
        <w:rPr>
          <w:rFonts w:ascii="Arial" w:hAnsi="Arial" w:cs="Arial"/>
          <w:i/>
          <w:color w:val="000000" w:themeColor="text1"/>
          <w:sz w:val="20"/>
          <w:vertAlign w:val="superscript"/>
        </w:rPr>
        <w:t>1</w:t>
      </w:r>
      <w:r w:rsidRPr="00D56315">
        <w:rPr>
          <w:rFonts w:ascii="Arial" w:hAnsi="Arial" w:cs="Arial"/>
          <w:i/>
          <w:color w:val="000000" w:themeColor="text1"/>
          <w:sz w:val="20"/>
        </w:rPr>
        <w:t>, A. Potapov</w:t>
      </w:r>
      <w:r w:rsidRPr="00D56315">
        <w:rPr>
          <w:rFonts w:ascii="Arial" w:hAnsi="Arial" w:cs="Arial"/>
          <w:i/>
          <w:color w:val="000000" w:themeColor="text1"/>
          <w:sz w:val="20"/>
          <w:vertAlign w:val="superscript"/>
        </w:rPr>
        <w:t>1</w:t>
      </w:r>
      <w:r w:rsidRPr="00D56315">
        <w:rPr>
          <w:rFonts w:ascii="Arial" w:hAnsi="Arial" w:cs="Arial"/>
          <w:i/>
          <w:color w:val="000000" w:themeColor="text1"/>
          <w:sz w:val="20"/>
        </w:rPr>
        <w:t>, A. Golkar</w:t>
      </w:r>
      <w:r w:rsidRPr="00D56315">
        <w:rPr>
          <w:rFonts w:ascii="Arial" w:hAnsi="Arial" w:cs="Arial"/>
          <w:i/>
          <w:color w:val="000000" w:themeColor="text1"/>
          <w:sz w:val="20"/>
          <w:vertAlign w:val="superscript"/>
        </w:rPr>
        <w:t>1</w:t>
      </w:r>
      <w:r w:rsidRPr="00D56315">
        <w:rPr>
          <w:rFonts w:ascii="Arial" w:hAnsi="Arial" w:cs="Arial"/>
          <w:i/>
          <w:color w:val="000000" w:themeColor="text1"/>
          <w:sz w:val="20"/>
        </w:rPr>
        <w:t>, D. Knoll</w:t>
      </w:r>
      <w:r w:rsidRPr="00D56315">
        <w:rPr>
          <w:rFonts w:ascii="Arial" w:hAnsi="Arial" w:cs="Arial"/>
          <w:i/>
          <w:color w:val="000000" w:themeColor="text1"/>
          <w:sz w:val="20"/>
          <w:vertAlign w:val="superscript"/>
        </w:rPr>
        <w:t>1</w:t>
      </w:r>
    </w:p>
    <w:p w14:paraId="4A2D0FD1" w14:textId="77777777" w:rsidR="00760AAC" w:rsidRPr="00D56315" w:rsidRDefault="00760AAC" w:rsidP="00760AAC">
      <w:pPr>
        <w:tabs>
          <w:tab w:val="left" w:pos="-720"/>
          <w:tab w:val="left" w:pos="0"/>
          <w:tab w:val="left" w:pos="851"/>
          <w:tab w:val="left" w:pos="3600"/>
        </w:tabs>
        <w:rPr>
          <w:rFonts w:ascii="Arial" w:hAnsi="Arial" w:cs="Arial"/>
          <w:i/>
          <w:color w:val="000000" w:themeColor="text1"/>
          <w:sz w:val="20"/>
          <w:szCs w:val="20"/>
          <w:vertAlign w:val="superscript"/>
        </w:rPr>
      </w:pPr>
    </w:p>
    <w:p w14:paraId="3DC4AFD9" w14:textId="77777777" w:rsidR="00760AAC" w:rsidRPr="00D56315" w:rsidRDefault="00760AAC" w:rsidP="00760AAC">
      <w:pPr>
        <w:tabs>
          <w:tab w:val="left" w:pos="-720"/>
          <w:tab w:val="left" w:pos="0"/>
          <w:tab w:val="left" w:pos="851"/>
          <w:tab w:val="left" w:pos="3600"/>
        </w:tabs>
        <w:rPr>
          <w:rFonts w:ascii="Arial" w:hAnsi="Arial" w:cs="Arial"/>
          <w:i/>
          <w:color w:val="000000" w:themeColor="text1"/>
          <w:sz w:val="20"/>
          <w:szCs w:val="20"/>
        </w:rPr>
      </w:pPr>
      <w:r w:rsidRPr="00D56315">
        <w:rPr>
          <w:rFonts w:ascii="Arial" w:hAnsi="Arial" w:cs="Arial"/>
          <w:i/>
          <w:color w:val="000000" w:themeColor="text1"/>
          <w:sz w:val="20"/>
          <w:szCs w:val="20"/>
          <w:vertAlign w:val="superscript"/>
        </w:rPr>
        <w:t>1</w:t>
      </w:r>
      <w:r w:rsidRPr="00D56315">
        <w:rPr>
          <w:rFonts w:ascii="Arial" w:hAnsi="Arial" w:cs="Arial"/>
          <w:i/>
          <w:color w:val="000000" w:themeColor="text1"/>
          <w:sz w:val="20"/>
          <w:szCs w:val="20"/>
        </w:rPr>
        <w:t xml:space="preserve">Space Center, Skolkovo Intstitute of Science and Technology, Moscow, Russia </w:t>
      </w:r>
    </w:p>
    <w:p w14:paraId="3D9AF964" w14:textId="77777777" w:rsidR="00760AAC" w:rsidRPr="00D56315" w:rsidRDefault="00760AAC" w:rsidP="00760AAC">
      <w:pPr>
        <w:tabs>
          <w:tab w:val="left" w:pos="-720"/>
          <w:tab w:val="left" w:pos="0"/>
          <w:tab w:val="left" w:pos="851"/>
          <w:tab w:val="left" w:pos="3600"/>
        </w:tabs>
        <w:rPr>
          <w:rFonts w:ascii="Arial" w:hAnsi="Arial" w:cs="Arial"/>
          <w:i/>
          <w:color w:val="000000" w:themeColor="text1"/>
          <w:sz w:val="20"/>
          <w:szCs w:val="20"/>
        </w:rPr>
      </w:pPr>
      <w:r w:rsidRPr="00D56315">
        <w:rPr>
          <w:rFonts w:ascii="Arial" w:hAnsi="Arial" w:cs="Arial"/>
          <w:i/>
          <w:color w:val="000000" w:themeColor="text1"/>
          <w:sz w:val="20"/>
          <w:szCs w:val="20"/>
        </w:rPr>
        <w:t xml:space="preserve">*Primary author contact details:  </w:t>
      </w:r>
      <w:hyperlink r:id="rId11" w:history="1">
        <w:r w:rsidRPr="00D56315">
          <w:rPr>
            <w:rStyle w:val="Hyperlink"/>
            <w:rFonts w:ascii="Arial" w:hAnsi="Arial" w:cs="Arial"/>
            <w:i/>
            <w:sz w:val="20"/>
            <w:szCs w:val="20"/>
          </w:rPr>
          <w:t>a.ivanov2@skoltech.ru</w:t>
        </w:r>
      </w:hyperlink>
      <w:r w:rsidRPr="00D56315">
        <w:rPr>
          <w:rFonts w:ascii="Arial" w:hAnsi="Arial" w:cs="Arial"/>
          <w:i/>
          <w:color w:val="000000" w:themeColor="text1"/>
          <w:sz w:val="20"/>
          <w:szCs w:val="20"/>
        </w:rPr>
        <w:t xml:space="preserve"> </w:t>
      </w:r>
    </w:p>
    <w:p w14:paraId="7D5E37D5" w14:textId="77777777" w:rsidR="00760AAC" w:rsidRPr="00D56315" w:rsidRDefault="00760AAC" w:rsidP="00760AAC">
      <w:pPr>
        <w:tabs>
          <w:tab w:val="left" w:pos="-720"/>
          <w:tab w:val="left" w:pos="0"/>
          <w:tab w:val="left" w:pos="3600"/>
        </w:tabs>
        <w:jc w:val="both"/>
        <w:rPr>
          <w:rFonts w:ascii="Arial" w:hAnsi="Arial" w:cs="Arial"/>
          <w:color w:val="000000" w:themeColor="text1"/>
          <w:sz w:val="20"/>
          <w:szCs w:val="20"/>
        </w:rPr>
      </w:pPr>
    </w:p>
    <w:p w14:paraId="2290E3A9" w14:textId="77777777" w:rsidR="00760AAC" w:rsidRPr="00D56315" w:rsidRDefault="00760AAC" w:rsidP="00760AAC">
      <w:pPr>
        <w:pStyle w:val="Sectiontext"/>
        <w:rPr>
          <w:rFonts w:ascii="Arial" w:hAnsi="Arial" w:cs="Arial"/>
          <w:lang w:val="en-GB"/>
        </w:rPr>
      </w:pPr>
      <w:r w:rsidRPr="00D56315">
        <w:rPr>
          <w:rFonts w:ascii="Arial" w:hAnsi="Arial" w:cs="Arial"/>
        </w:rPr>
        <w:t>Skoltech Concurrent Design Facility (known as Concurrent Design Engineering Lab – CEDL)  has been established and in operation (</w:t>
      </w:r>
      <w:r w:rsidRPr="00D56315">
        <w:rPr>
          <w:rFonts w:ascii="Arial" w:hAnsi="Arial" w:cs="Arial"/>
        </w:rPr>
        <w:fldChar w:fldCharType="begin" w:fldLock="1"/>
      </w:r>
      <w:r w:rsidRPr="00D56315">
        <w:rPr>
          <w:rFonts w:ascii="Arial" w:hAnsi="Arial" w:cs="Arial"/>
        </w:rPr>
        <w:instrText>ADDIN CSL_CITATION { "citationItems" : [ { "id" : "ITEM-1", "itemData" : { "DOI" : "10.1007/978-3-319-72905-3_53", "author" : [ { "dropping-particle" : "", "family" : "Fortin", "given" : "Cl\u00e9ment", "non-dropping-particle" : "", "parse-names" : false, "suffix" : "" }, { "dropping-particle" : "", "family" : "McSorley", "given" : "Grant", "non-dropping-particle" : "", "parse-names" : false, "suffix" : "" }, { "dropping-particle" : "", "family" : "Knoll", "given" : "Dominik", "non-dropping-particle" : "", "parse-names" : false, "suffix" : "" }, { "dropping-particle" : "", "family" : "Golkar", "given" : "Alessandro", "non-dropping-particle" : "", "parse-names" : false, "suffix" : "" }, { "dropping-particle" : "", "family" : "Tsykunova", "given" : "Ralina", "non-dropping-particle" : "", "parse-names" : false, "suffix" : "" } ], "id" : "ITEM-1", "issued" : { "date-parts" : [ [ "2017" ] ] }, "page" : "601-611", "title" : "Study of Data Structures and Tools for the Concurrent Conceptual Design of Complex Space Systems", "type" : "chapter" }, "uris" : [ "http://www.mendeley.com/documents/?uuid=45ef79a6-b61f-45ad-8506-ea20a0a563e5" ] }, { "id" : "ITEM-2", "itemData" : { "abstract" : "To develop a general purpose, multidisciplinary Concurrent Engineering Design Laboratory (CEDL) at Skoltech, a new private research institution opened in collaboration with MIT in 2011.\\n\u279c What this really means: to develop CEDL while helping founding the University and working with architects to design the CEDL building, in a country where no CE facility exists (to our knowledge!)", "author" : [ { "dropping-particle" : "", "family" : "Golkar", "given" : "Alessandro", "non-dropping-particle" : "", "parse-names" : false, "suffix" : "" } ], "id" : "ITEM-2", "issue" : "SECESA 2014", "issued" : { "date-parts" : [ [ "2014", "10" ] ] }, "page" : "1-21", "publisher" : "European Space Agency", "publisher-place" : "Stuttgart, Germany", "title" : "Concurrent Engineering Design Laboratory: Pioneering Concurrent Engineering in the Russian Federation", "type" : "article-journal" }, "uris" : [ "http://www.mendeley.com/documents/?uuid=98cc4680-81a0-43ae-a111-4c2567ab5dca" ] }, { "id" : "ITEM-3", "itemData" : { "DOI" : "10.1177/1063293X17732374", "ISSN" : "1063-293X", "author" : [ { "dropping-particle" : "", "family" : "Knoll", "given" : "Dominik", "non-dropping-particle" : "", "parse-names" : false, "suffix" : "" }, { "dropping-particle" : "", "family" : "Golkar", "given" : "Alessandro", "non-dropping-particle" : "", "parse-names" : false, "suffix" : "" } ], "container-title" : "Concurrent Engineering", "id" : "ITEM-3", "issue" : "1", "issued" : { "date-parts" : [ [ "2018", "3", "27" ] ] }, "page" : "5-21", "title" : "A coordination method for concurrent design and a collaboration tool for parametric system models", "type" : "article-journal", "volume" : "26" }, "uris" : [ "http://www.mendeley.com/documents/?uuid=2bf65d19-69a1-4cb0-ac5a-7b5454f60d70" ] } ], "mendeley" : { "formattedCitation" : "[1]\u2013[3]", "plainTextFormattedCitation" : "[1]\u2013[3]", "previouslyFormattedCitation" : "[1]\u2013[3]" }, "properties" : {  }, "schema" : "https://github.com/citation-style-language/schema/raw/master/csl-citation.json" }</w:instrText>
      </w:r>
      <w:r w:rsidRPr="00D56315">
        <w:rPr>
          <w:rFonts w:ascii="Arial" w:hAnsi="Arial" w:cs="Arial"/>
        </w:rPr>
        <w:fldChar w:fldCharType="separate"/>
      </w:r>
      <w:r w:rsidRPr="00D56315">
        <w:rPr>
          <w:rFonts w:ascii="Arial" w:hAnsi="Arial" w:cs="Arial"/>
          <w:noProof/>
        </w:rPr>
        <w:t>[1]–[3]</w:t>
      </w:r>
      <w:r w:rsidRPr="00D56315">
        <w:rPr>
          <w:rFonts w:ascii="Arial" w:hAnsi="Arial" w:cs="Arial"/>
        </w:rPr>
        <w:fldChar w:fldCharType="end"/>
      </w:r>
      <w:r w:rsidRPr="00D56315">
        <w:rPr>
          <w:rFonts w:ascii="Arial" w:hAnsi="Arial" w:cs="Arial"/>
        </w:rPr>
        <w:t xml:space="preserve">) since 2014. This work builds on previous experiences developed at the Space Center in </w:t>
      </w:r>
      <w:r w:rsidRPr="00D56315">
        <w:rPr>
          <w:rFonts w:ascii="Arial" w:hAnsi="Arial" w:cs="Arial"/>
          <w:lang w:val="fr-CH"/>
        </w:rPr>
        <w:t>the Ecole Polytechnique de Lausanne (EPFL)</w:t>
      </w:r>
      <w:r w:rsidRPr="00D56315">
        <w:rPr>
          <w:rFonts w:ascii="Arial" w:hAnsi="Arial" w:cs="Arial"/>
        </w:rPr>
        <w:t xml:space="preserve"> </w:t>
      </w:r>
      <w:r w:rsidRPr="00D56315">
        <w:rPr>
          <w:rFonts w:ascii="Arial" w:hAnsi="Arial" w:cs="Arial"/>
        </w:rPr>
        <w:fldChar w:fldCharType="begin" w:fldLock="1"/>
      </w:r>
      <w:r w:rsidRPr="00D56315">
        <w:rPr>
          <w:rFonts w:ascii="Arial" w:hAnsi="Arial" w:cs="Arial"/>
        </w:rPr>
        <w:instrText>ADDIN CSL_CITATION { "citationItems" : [ { "id" : "ITEM-1", "itemData" : { "abstract" : "This master thesis project was performed at the Spacer Center EPFL during the 2009 spring semester. A structure subsystem for nano and microsatellites was established and six satellites were designed: one 1UCubeSat, three 3UCubeSats, one cubic and one octagonal microsatellite. Based on SwissCube, a parametrized 1UCubeSat model was designed using CATIA and imple- mented in Concurrent Design Facility (CDF). This subsystem was extended to three 3UCubeSat models and two microsatellite models. The CATIA models were simplified using monoblock frames and one part representations of the battery and the payload. The structure subsystem for each satellite design consists in a CDF interface, where the pa- rameters are defined, and two CATIA assemblies. The first CATIA assembly is a 3D represen- tation of the satellite - including mechanical representation of the structure elements and the other subsystems. It is used to calculate the satellite\u2019s main properties: its mass, volume, center of gravity and matrix of inertia. The second CATIA assembly is used for FEM analyses, sev- eral 3D parts have been replaced by 2D or 1D parts. Four types of FEM analyses were done: static loads, modal analysis, harmonic dynamic response and transient dynamic response. The FEM results were verified by varying mesh sizes and comparing the 1UCubeSat\u2019s results with SwissCube. The calculations reproduce the SwissCube results. All other satellite designs are compatible with existing launch vehicles.", "author" : [ { "dropping-particle" : "", "family" : "F\u00fcglistaler", "given" : "Andreas", "non-dropping-particle" : "", "parse-names" : false, "suffix" : "" }, { "dropping-particle" : "", "family" : "Ivanov", "given" : "A B", "non-dropping-particle" : "", "parse-names" : false, "suffix" : "" } ], "container-title" : "Space Center", "id" : "ITEM-1", "issued" : { "date-parts" : [ [ "2009" ] ] }, "publisher" : "EPFL", "publisher-place" : "Lausanne", "title" : "Conception of nano-satellites in a concurrent design environment", "type" : "thesis", "volume" : "Master" }, "uris" : [ "http://www.mendeley.com/documents/?uuid=0f9cff89-7252-40c5-9ec4-109b8be2c176" ] }, { "id" : "ITEM-2", "itemData" : { "ISBN" : "9781629939094", "ISSN" : "00741795", "abstract" : "Concurrent Design is a process in spacecraft system engineering that has been widely adopted in space organizations. This paper will describe the process of setting up a facility in a university and will try to answer a question of where CDF concept can fit into education. We will discuss the process, hardware, software and knowledge management procedures. Focus of our work was to create an Integrated Design Model (IDM) for nanosats and microsats. This IDM was used to design various space related projects including a Cubesat missions, suborbital plane and a space telescope. Facility is also used for other multidisciplinary projects. Copyright \u00a92013 by the International Astronautical Federation.", "author" : [ { "dropping-particle" : "", "family" : "Ivanov", "given" : "Anton B.", "non-dropping-particle" : "", "parse-names" : false, "suffix" : "" }, { "dropping-particle" : "", "family" : "Gass", "given" : "Volker", "non-dropping-particle" : "", "parse-names" : false, "suffix" : "" }, { "dropping-particle" : "", "family" : "Richard", "given" : "Muriel", "non-dropping-particle" : "", "parse-names" : false, "suffix" : "" }, { "dropping-particle" : "", "family" : "Rossi", "given" : "Stefano", "non-dropping-particle" : "", "parse-names" : false, "suffix" : "" }, { "dropping-particle" : "", "family" : "Belloni", "given" : "Federico", "non-dropping-particle" : "", "parse-names" : false, "suffix" : "" } ], "container-title" : "Proceedings of the International Astronautical Congress, IAC", "id" : "ITEM-2", "issued" : { "date-parts" : [ [ "2013" ] ] }, "page" : "9590-9594", "title" : "Concurrent design facility in an academic environment", "type" : "paper-conference", "volume" : "12" }, "uris" : [ "http://www.mendeley.com/documents/?uuid=c66e689d-772c-40d2-99cd-e763815e9a1c" ] }, { "id" : "ITEM-3", "itemData" : { "DOI" : "10.1109/AERO.2016.7500631", "ISBN" : "9781467376761", "ISSN" : "1095323X", "abstract" : "\u00a9 2016 IEEE. Concurrent Design is a part of the systems engineering process, which has been widely adopted in space mission design. This paper describes the setting up a facility in a university and will try to answer a question of where the Concurrent Design Facility (CDF) concept can fit into education. Hardware setup, software approaches and knowledge management procedures are discussed. The focus of this work was to create an Integrated Design Model (IDM) for nanosats and microsats. This IDM was used to design various space related projects including a Cubesat missions, suborbital plane and a space telescope. We also discuss how to utilize CDF concept after the design phase for validation and verification. CDF was also used for a number of multidisciplinary projects.", "author" : [ { "dropping-particle" : "", "family" : "Ivanov", "given" : "A.B.", "non-dropping-particle" : "", "parse-names" : false, "suffix" : "" }, { "dropping-particle" : "", "family" : "Masson", "given" : "L.", "non-dropping-particle" : "", "parse-names" : false, "suffix" : "" }, { "dropping-particle" : "", "family" : "Belloni", "given" : "F.", "non-dropping-particle" : "", "parse-names" : false, "suffix" : "" } ], "container-title" : "IEEE Aerospace Conference Proceedings", "id" : "ITEM-3", "issued" : { "date-parts" : [ [ "2016" ] ] }, "title" : "Operation of a Concurrent Design Facility for university projects", "type" : "paper-conference", "volume" : "2016-June" }, "uris" : [ "http://www.mendeley.com/documents/?uuid=acb83910-f51e-3a58-bca7-f499e9bfef1d" ] } ], "mendeley" : { "formattedCitation" : "[4]\u2013[6]", "plainTextFormattedCitation" : "[4]\u2013[6]", "previouslyFormattedCitation" : "[4]\u2013[6]" }, "properties" : {  }, "schema" : "https://github.com/citation-style-language/schema/raw/master/csl-citation.json" }</w:instrText>
      </w:r>
      <w:r w:rsidRPr="00D56315">
        <w:rPr>
          <w:rFonts w:ascii="Arial" w:hAnsi="Arial" w:cs="Arial"/>
        </w:rPr>
        <w:fldChar w:fldCharType="separate"/>
      </w:r>
      <w:r w:rsidRPr="00D56315">
        <w:rPr>
          <w:rFonts w:ascii="Arial" w:hAnsi="Arial" w:cs="Arial"/>
          <w:noProof/>
        </w:rPr>
        <w:t>[4]–[6]</w:t>
      </w:r>
      <w:r w:rsidRPr="00D56315">
        <w:rPr>
          <w:rFonts w:ascii="Arial" w:hAnsi="Arial" w:cs="Arial"/>
        </w:rPr>
        <w:fldChar w:fldCharType="end"/>
      </w:r>
      <w:r w:rsidRPr="00D56315">
        <w:rPr>
          <w:rFonts w:ascii="Arial" w:hAnsi="Arial" w:cs="Arial"/>
        </w:rPr>
        <w:t xml:space="preserve">. The next steps for the process are  in closer integration of techniques in the academic process in the Master in </w:t>
      </w:r>
      <w:r w:rsidRPr="00D56315">
        <w:rPr>
          <w:rFonts w:ascii="Arial" w:hAnsi="Arial" w:cs="Arial"/>
          <w:lang w:val="en-GB"/>
        </w:rPr>
        <w:t>Space and Engineering Systems</w:t>
      </w:r>
      <w:r w:rsidRPr="00D56315">
        <w:rPr>
          <w:rFonts w:ascii="Arial" w:hAnsi="Arial" w:cs="Arial"/>
        </w:rPr>
        <w:t xml:space="preserve">. In this paper, we will outline the flow of students in our program through the V-diagram, starting from project formulation and stakeholder analysis all the way to implementation and operation of the system. We have also developed relationship with Russian space and aviation industry, however, the road to technology transfer will be difficult. </w:t>
      </w:r>
    </w:p>
    <w:p w14:paraId="2B7A98D9" w14:textId="77777777" w:rsidR="00760AAC" w:rsidRPr="00D56315" w:rsidRDefault="00760AAC" w:rsidP="00760AAC">
      <w:pPr>
        <w:pStyle w:val="Sectiontext"/>
        <w:rPr>
          <w:rFonts w:ascii="Arial" w:hAnsi="Arial" w:cs="Arial"/>
        </w:rPr>
      </w:pPr>
      <w:r w:rsidRPr="00D56315">
        <w:rPr>
          <w:rFonts w:ascii="Arial" w:hAnsi="Arial" w:cs="Arial"/>
        </w:rPr>
        <w:t xml:space="preserve">Concurrent design approach has already found its way into educational practices of many universities. With support of the technological headquarters in ESTEC, educational facilities have been established in ESA Education center in Redu. There is a number of classes offered to students train in tools, approach and procedure. Notable events include PostAlpbach sessions in the fall of 2016 and 2017. </w:t>
      </w:r>
    </w:p>
    <w:p w14:paraId="19467721" w14:textId="77777777" w:rsidR="00760AAC" w:rsidRPr="00D56315" w:rsidRDefault="00760AAC" w:rsidP="00760AAC">
      <w:pPr>
        <w:pStyle w:val="Sectiontext"/>
        <w:rPr>
          <w:rFonts w:ascii="Arial" w:hAnsi="Arial" w:cs="Arial"/>
        </w:rPr>
      </w:pPr>
      <w:r w:rsidRPr="00D56315">
        <w:rPr>
          <w:rFonts w:ascii="Arial" w:hAnsi="Arial" w:cs="Arial"/>
        </w:rPr>
        <w:t xml:space="preserve">At Skoltech, we aim to give students an experience with full cycle of systems engineering starting from mission formulation and stakeholder analysis, through concurrent design and multidomain optimization (MDO) to introduction to Product Lifecycle Management (PLM), creation of prototype and its operation. The process includes a number of classes (Fundamentals of Systems Engineering, Spacecraft Mission Analysis and Design, Space Sector course and others) as well project oriented activities. During two years of the master program, students participate in a variety of project following CDIO (Create Design Implement Operate) principles culminating in Master thesis. Normally, these projects are implemented as a part of long term projects implemented in the Skoltech Space Center. Currently, MBSE approach is applied to projects related to a small remote sensing drone, stratospheric observation platform and small satellite constellation for scientific purposes. </w:t>
      </w:r>
    </w:p>
    <w:p w14:paraId="3F54EC9A" w14:textId="77777777" w:rsidR="00760AAC" w:rsidRPr="00D56315" w:rsidRDefault="00760AAC" w:rsidP="00760AAC">
      <w:pPr>
        <w:pStyle w:val="Sectiontext"/>
        <w:rPr>
          <w:rFonts w:ascii="Arial" w:hAnsi="Arial" w:cs="Arial"/>
        </w:rPr>
      </w:pPr>
      <w:r w:rsidRPr="00D56315">
        <w:rPr>
          <w:rFonts w:ascii="Arial" w:hAnsi="Arial" w:cs="Arial"/>
        </w:rPr>
        <w:t xml:space="preserve">Both European and Russian industry needs students educated on principles of Model Based Systems Engineering. This approach aims to replace current document cycle with version controlled models that follow the project during all phases. Additionally, Russian government has announced a number of initiatives related to “Digital Economy”. MBSE approach is a perfect industrial application to support renovation of Russian industries. We will also discuss recent significant events in tooling and especially open source projects CEDESK, CDP4 and OpenMBEE </w:t>
      </w:r>
      <w:r w:rsidRPr="00D56315">
        <w:rPr>
          <w:rFonts w:ascii="Arial" w:hAnsi="Arial" w:cs="Arial"/>
        </w:rPr>
        <w:fldChar w:fldCharType="begin" w:fldLock="1"/>
      </w:r>
      <w:r w:rsidRPr="00D56315">
        <w:rPr>
          <w:rFonts w:ascii="Arial" w:hAnsi="Arial" w:cs="Arial"/>
        </w:rPr>
        <w:instrText>ADDIN CSL_CITATION { "citationItems" : [ { "id" : "ITEM-1", "itemData" : { "DOI" : "10.1117/12.2232785", "author" : [ { "dropping-particle" : "", "family" : "Karban", "given" : "R", "non-dropping-particle" : "", "parse-names" : false, "suffix" : "" }, { "dropping-particle" : "", "family" : "Dekens", "given" : "F G", "non-dropping-particle" : "", "parse-names" : false, "suffix" : "" }, { "dropping-particle" : "", "family" : "Herzig", "given" : "S", "non-dropping-particle" : "", "parse-names" : false, "suffix" : "" }, { "dropping-particle" : "", "family" : "Elaasar", "given" : "M", "non-dropping-particle" : "", "parse-names" : false, "suffix" : "" }, { "dropping-particle" : "", "family" : "Jankevicius", "given" : "N", "non-dropping-particle" : "", "parse-names" : false, "suffix" : "" } ], "container-title" : "Proceedings of SPIE - The International Society for Optical Engineering", "id" : "ITEM-1", "issued" : { "date-parts" : [ [ "2016" ] ] }, "note" : "cited By 2", "title" : "Creating system engineering products with executable models in a model-based engineering environment", "type" : "paper-conference", "volume" : "9911" }, "uris" : [ "http://www.mendeley.com/documents/?uuid=96b88247-37ac-4249-aab8-ead56eac63c2" ] }, { "id" : "ITEM-2", "itemData" : { "author" : [ { "dropping-particle" : "", "family" : "Cole", "given" : "B", "non-dropping-particle" : "", "parse-names" : false, "suffix" : "" }, { "dropping-particle" : "", "family" : "Simmons", "given" : "J", "non-dropping-particle" : "", "parse-names" : false, "suffix" : "" } ], "container-title" : "AIAA Space and Astronautics Forum and Exposition, SPACE 2016", "id" : "ITEM-2", "issued" : { "date-parts" : [ [ "2016" ] ] }, "note" : "cited By 0", "title" : "An Integrated systems Modeling and analysis platform for flight project work", "type" : "paper-conference" }, "uris" : [ "http://www.mendeley.com/documents/?uuid=3f6f8085-86c3-4286-a1ff-17c8b2b6bd99" ] } ], "mendeley" : { "formattedCitation" : "[7], [8]", "plainTextFormattedCitation" : "[7], [8]" }, "properties" : {  }, "schema" : "https://github.com/citation-style-language/schema/raw/master/csl-citation.json" }</w:instrText>
      </w:r>
      <w:r w:rsidRPr="00D56315">
        <w:rPr>
          <w:rFonts w:ascii="Arial" w:hAnsi="Arial" w:cs="Arial"/>
        </w:rPr>
        <w:fldChar w:fldCharType="separate"/>
      </w:r>
      <w:r w:rsidRPr="00D56315">
        <w:rPr>
          <w:rFonts w:ascii="Arial" w:hAnsi="Arial" w:cs="Arial"/>
          <w:noProof/>
        </w:rPr>
        <w:t>[7], [8]</w:t>
      </w:r>
      <w:r w:rsidRPr="00D56315">
        <w:rPr>
          <w:rFonts w:ascii="Arial" w:hAnsi="Arial" w:cs="Arial"/>
        </w:rPr>
        <w:fldChar w:fldCharType="end"/>
      </w:r>
      <w:r w:rsidRPr="00D56315">
        <w:rPr>
          <w:rFonts w:ascii="Arial" w:hAnsi="Arial" w:cs="Arial"/>
        </w:rPr>
        <w:t xml:space="preserve">. Finally, we will conclude how university processes can drive industrial development, fueled by open source software. </w:t>
      </w:r>
    </w:p>
    <w:p w14:paraId="3805B1F4" w14:textId="77777777" w:rsidR="00760AAC" w:rsidRPr="00D56315" w:rsidRDefault="00760AAC" w:rsidP="00760AAC">
      <w:pPr>
        <w:widowControl w:val="0"/>
        <w:spacing w:after="120"/>
        <w:ind w:left="426" w:hanging="283"/>
        <w:rPr>
          <w:rFonts w:ascii="Arial" w:hAnsi="Arial" w:cs="Arial"/>
          <w:noProof/>
          <w:sz w:val="20"/>
          <w:szCs w:val="20"/>
        </w:rPr>
      </w:pPr>
      <w:r w:rsidRPr="00D56315">
        <w:rPr>
          <w:rFonts w:ascii="Arial" w:hAnsi="Arial" w:cs="Arial"/>
          <w:b/>
          <w:color w:val="000000" w:themeColor="text1"/>
          <w:sz w:val="20"/>
          <w:szCs w:val="20"/>
        </w:rPr>
        <w:fldChar w:fldCharType="begin" w:fldLock="1"/>
      </w:r>
      <w:r w:rsidRPr="00D56315">
        <w:rPr>
          <w:rFonts w:ascii="Arial" w:hAnsi="Arial" w:cs="Arial"/>
          <w:b/>
          <w:color w:val="000000" w:themeColor="text1"/>
          <w:sz w:val="20"/>
          <w:szCs w:val="20"/>
        </w:rPr>
        <w:instrText xml:space="preserve">ADDIN Mendeley Bibliography CSL_BIBLIOGRAPHY </w:instrText>
      </w:r>
      <w:r w:rsidRPr="00D56315">
        <w:rPr>
          <w:rFonts w:ascii="Arial" w:hAnsi="Arial" w:cs="Arial"/>
          <w:b/>
          <w:color w:val="000000" w:themeColor="text1"/>
          <w:sz w:val="20"/>
          <w:szCs w:val="20"/>
        </w:rPr>
        <w:fldChar w:fldCharType="separate"/>
      </w:r>
      <w:r w:rsidRPr="00D56315">
        <w:rPr>
          <w:rFonts w:ascii="Arial" w:hAnsi="Arial" w:cs="Arial"/>
          <w:noProof/>
          <w:sz w:val="20"/>
          <w:szCs w:val="20"/>
        </w:rPr>
        <w:t>[1]</w:t>
      </w:r>
      <w:r w:rsidRPr="00D56315">
        <w:rPr>
          <w:rFonts w:ascii="Arial" w:hAnsi="Arial" w:cs="Arial"/>
          <w:noProof/>
          <w:sz w:val="20"/>
          <w:szCs w:val="20"/>
        </w:rPr>
        <w:tab/>
        <w:t>C. Fortin, G. McSorley, D. Knoll, A. Golkar, and R. Tsykunova, “Study of Data Structures and Tools for the Concurrent Conceptual Design of Complex Space Systems,” 2017, pp. 601–611.</w:t>
      </w:r>
    </w:p>
    <w:p w14:paraId="4D88A798" w14:textId="77777777" w:rsidR="00760AAC" w:rsidRPr="00D56315" w:rsidRDefault="00760AAC" w:rsidP="00760AAC">
      <w:pPr>
        <w:widowControl w:val="0"/>
        <w:spacing w:after="120"/>
        <w:ind w:left="426" w:hanging="283"/>
        <w:rPr>
          <w:rFonts w:ascii="Arial" w:hAnsi="Arial" w:cs="Arial"/>
          <w:noProof/>
          <w:sz w:val="20"/>
          <w:szCs w:val="20"/>
        </w:rPr>
      </w:pPr>
      <w:r w:rsidRPr="00D56315">
        <w:rPr>
          <w:rFonts w:ascii="Arial" w:hAnsi="Arial" w:cs="Arial"/>
          <w:noProof/>
          <w:sz w:val="20"/>
          <w:szCs w:val="20"/>
        </w:rPr>
        <w:t>[2]</w:t>
      </w:r>
      <w:r w:rsidRPr="00D56315">
        <w:rPr>
          <w:rFonts w:ascii="Arial" w:hAnsi="Arial" w:cs="Arial"/>
          <w:noProof/>
          <w:sz w:val="20"/>
          <w:szCs w:val="20"/>
        </w:rPr>
        <w:tab/>
        <w:t>A. Golkar, “Concurrent Engineering Design Laboratory: Pioneering Concurrent Engineering in the Russian Federation,” no. SECESA 2014, pp. 1–21, Oct. 2014.</w:t>
      </w:r>
    </w:p>
    <w:p w14:paraId="0E9256C7" w14:textId="77777777" w:rsidR="00760AAC" w:rsidRPr="00D56315" w:rsidRDefault="00760AAC" w:rsidP="00760AAC">
      <w:pPr>
        <w:widowControl w:val="0"/>
        <w:spacing w:after="120"/>
        <w:ind w:left="426" w:hanging="283"/>
        <w:rPr>
          <w:rFonts w:ascii="Arial" w:hAnsi="Arial" w:cs="Arial"/>
          <w:noProof/>
          <w:sz w:val="20"/>
          <w:szCs w:val="20"/>
        </w:rPr>
      </w:pPr>
      <w:r w:rsidRPr="00D56315">
        <w:rPr>
          <w:rFonts w:ascii="Arial" w:hAnsi="Arial" w:cs="Arial"/>
          <w:noProof/>
          <w:sz w:val="20"/>
          <w:szCs w:val="20"/>
        </w:rPr>
        <w:t>[3]</w:t>
      </w:r>
      <w:r w:rsidRPr="00D56315">
        <w:rPr>
          <w:rFonts w:ascii="Arial" w:hAnsi="Arial" w:cs="Arial"/>
          <w:noProof/>
          <w:sz w:val="20"/>
          <w:szCs w:val="20"/>
        </w:rPr>
        <w:tab/>
        <w:t xml:space="preserve">D. Knoll and A. Golkar, “A coordination method for concurrent design and a collaboration tool for parametric system models,” </w:t>
      </w:r>
      <w:r w:rsidRPr="00D56315">
        <w:rPr>
          <w:rFonts w:ascii="Arial" w:hAnsi="Arial" w:cs="Arial"/>
          <w:i/>
          <w:noProof/>
          <w:sz w:val="20"/>
          <w:szCs w:val="20"/>
        </w:rPr>
        <w:t>Concurr. Eng.</w:t>
      </w:r>
      <w:r w:rsidRPr="00D56315">
        <w:rPr>
          <w:rFonts w:ascii="Arial" w:hAnsi="Arial" w:cs="Arial"/>
          <w:noProof/>
          <w:sz w:val="20"/>
          <w:szCs w:val="20"/>
        </w:rPr>
        <w:t>, vol. 26, no. 1, pp. 5–21, Mar. 2018.</w:t>
      </w:r>
    </w:p>
    <w:p w14:paraId="1F17BAA1" w14:textId="77777777" w:rsidR="00760AAC" w:rsidRPr="00D56315" w:rsidRDefault="00760AAC" w:rsidP="00760AAC">
      <w:pPr>
        <w:widowControl w:val="0"/>
        <w:spacing w:after="120"/>
        <w:ind w:left="426" w:hanging="283"/>
        <w:rPr>
          <w:rFonts w:ascii="Arial" w:hAnsi="Arial" w:cs="Arial"/>
          <w:noProof/>
          <w:sz w:val="20"/>
          <w:szCs w:val="20"/>
        </w:rPr>
      </w:pPr>
      <w:r w:rsidRPr="00D56315">
        <w:rPr>
          <w:rFonts w:ascii="Arial" w:hAnsi="Arial" w:cs="Arial"/>
          <w:noProof/>
          <w:sz w:val="20"/>
          <w:szCs w:val="20"/>
        </w:rPr>
        <w:t>[4]</w:t>
      </w:r>
      <w:r w:rsidRPr="00D56315">
        <w:rPr>
          <w:rFonts w:ascii="Arial" w:hAnsi="Arial" w:cs="Arial"/>
          <w:noProof/>
          <w:sz w:val="20"/>
          <w:szCs w:val="20"/>
        </w:rPr>
        <w:tab/>
        <w:t>A. Füglistaler and A. B. Ivanov, “Conception of nano-satellites in a concurrent design environment,” EPFL, Lausanne, 2009.</w:t>
      </w:r>
    </w:p>
    <w:p w14:paraId="6C5F7E03" w14:textId="77777777" w:rsidR="00760AAC" w:rsidRPr="00D56315" w:rsidRDefault="00760AAC" w:rsidP="00760AAC">
      <w:pPr>
        <w:widowControl w:val="0"/>
        <w:spacing w:after="120"/>
        <w:ind w:left="426" w:hanging="283"/>
        <w:rPr>
          <w:rFonts w:ascii="Arial" w:hAnsi="Arial" w:cs="Arial"/>
          <w:noProof/>
          <w:sz w:val="20"/>
          <w:szCs w:val="20"/>
        </w:rPr>
      </w:pPr>
      <w:r w:rsidRPr="00D56315">
        <w:rPr>
          <w:rFonts w:ascii="Arial" w:hAnsi="Arial" w:cs="Arial"/>
          <w:noProof/>
          <w:sz w:val="20"/>
          <w:szCs w:val="20"/>
        </w:rPr>
        <w:t>[5]</w:t>
      </w:r>
      <w:r w:rsidRPr="00D56315">
        <w:rPr>
          <w:rFonts w:ascii="Arial" w:hAnsi="Arial" w:cs="Arial"/>
          <w:noProof/>
          <w:sz w:val="20"/>
          <w:szCs w:val="20"/>
        </w:rPr>
        <w:tab/>
        <w:t xml:space="preserve">A. B. Ivanov, V. Gass, M. Richard, S. Rossi, and F. Belloni, “Concurrent design facility in an academic environment,” in </w:t>
      </w:r>
      <w:r w:rsidRPr="00D56315">
        <w:rPr>
          <w:rFonts w:ascii="Arial" w:hAnsi="Arial" w:cs="Arial"/>
          <w:i/>
          <w:noProof/>
          <w:sz w:val="20"/>
          <w:szCs w:val="20"/>
        </w:rPr>
        <w:t>Proceedings of the International Astronautical Congress, IAC</w:t>
      </w:r>
      <w:r w:rsidRPr="00D56315">
        <w:rPr>
          <w:rFonts w:ascii="Arial" w:hAnsi="Arial" w:cs="Arial"/>
          <w:noProof/>
          <w:sz w:val="20"/>
          <w:szCs w:val="20"/>
        </w:rPr>
        <w:t>, 2013, vol. 12, pp. 9590–9594.</w:t>
      </w:r>
    </w:p>
    <w:p w14:paraId="26723CE4" w14:textId="77777777" w:rsidR="00760AAC" w:rsidRPr="00D56315" w:rsidRDefault="00760AAC" w:rsidP="00760AAC">
      <w:pPr>
        <w:widowControl w:val="0"/>
        <w:spacing w:after="120"/>
        <w:ind w:left="426" w:hanging="283"/>
        <w:rPr>
          <w:rFonts w:ascii="Arial" w:hAnsi="Arial" w:cs="Arial"/>
          <w:noProof/>
          <w:sz w:val="20"/>
          <w:szCs w:val="20"/>
        </w:rPr>
      </w:pPr>
      <w:r w:rsidRPr="00D56315">
        <w:rPr>
          <w:rFonts w:ascii="Arial" w:hAnsi="Arial" w:cs="Arial"/>
          <w:noProof/>
          <w:sz w:val="20"/>
          <w:szCs w:val="20"/>
        </w:rPr>
        <w:t>[6]</w:t>
      </w:r>
      <w:r w:rsidRPr="00D56315">
        <w:rPr>
          <w:rFonts w:ascii="Arial" w:hAnsi="Arial" w:cs="Arial"/>
          <w:noProof/>
          <w:sz w:val="20"/>
          <w:szCs w:val="20"/>
        </w:rPr>
        <w:tab/>
        <w:t xml:space="preserve">A. B. Ivanov, L. Masson, and F. Belloni, “Operation of a Concurrent Design Facility for university projects,” in </w:t>
      </w:r>
      <w:r w:rsidRPr="00D56315">
        <w:rPr>
          <w:rFonts w:ascii="Arial" w:hAnsi="Arial" w:cs="Arial"/>
          <w:i/>
          <w:noProof/>
          <w:sz w:val="20"/>
          <w:szCs w:val="20"/>
        </w:rPr>
        <w:t>IEEE Aerospace Conference Proceedings</w:t>
      </w:r>
      <w:r w:rsidRPr="00D56315">
        <w:rPr>
          <w:rFonts w:ascii="Arial" w:hAnsi="Arial" w:cs="Arial"/>
          <w:noProof/>
          <w:sz w:val="20"/>
          <w:szCs w:val="20"/>
        </w:rPr>
        <w:t>, 2016, vol. 2016–June.</w:t>
      </w:r>
    </w:p>
    <w:p w14:paraId="0796BDCA" w14:textId="77777777" w:rsidR="00760AAC" w:rsidRPr="00D56315" w:rsidRDefault="00760AAC" w:rsidP="00760AAC">
      <w:pPr>
        <w:widowControl w:val="0"/>
        <w:spacing w:after="120"/>
        <w:ind w:left="426" w:hanging="283"/>
        <w:rPr>
          <w:rFonts w:ascii="Arial" w:hAnsi="Arial" w:cs="Arial"/>
          <w:noProof/>
          <w:sz w:val="20"/>
          <w:szCs w:val="20"/>
        </w:rPr>
      </w:pPr>
      <w:r w:rsidRPr="00D56315">
        <w:rPr>
          <w:rFonts w:ascii="Arial" w:hAnsi="Arial" w:cs="Arial"/>
          <w:noProof/>
          <w:sz w:val="20"/>
          <w:szCs w:val="20"/>
        </w:rPr>
        <w:t>[7]</w:t>
      </w:r>
      <w:r w:rsidRPr="00D56315">
        <w:rPr>
          <w:rFonts w:ascii="Arial" w:hAnsi="Arial" w:cs="Arial"/>
          <w:noProof/>
          <w:sz w:val="20"/>
          <w:szCs w:val="20"/>
        </w:rPr>
        <w:tab/>
        <w:t xml:space="preserve">R. Karban, F. G. Dekens, S. Herzig, M. Elaasar, and N. Jankevicius, “Creating system engineering products with executable models in a model-based engineering environment,” in </w:t>
      </w:r>
      <w:r w:rsidRPr="00D56315">
        <w:rPr>
          <w:rFonts w:ascii="Arial" w:hAnsi="Arial" w:cs="Arial"/>
          <w:i/>
          <w:noProof/>
          <w:sz w:val="20"/>
          <w:szCs w:val="20"/>
        </w:rPr>
        <w:t>Proceedings of SPIE - The International Society for Optical Engineering</w:t>
      </w:r>
      <w:r w:rsidRPr="00D56315">
        <w:rPr>
          <w:rFonts w:ascii="Arial" w:hAnsi="Arial" w:cs="Arial"/>
          <w:noProof/>
          <w:sz w:val="20"/>
          <w:szCs w:val="20"/>
        </w:rPr>
        <w:t>, 2016, vol. 9911.</w:t>
      </w:r>
    </w:p>
    <w:p w14:paraId="3CFBA262" w14:textId="77777777" w:rsidR="00760AAC" w:rsidRPr="00D56315" w:rsidRDefault="00760AAC" w:rsidP="00760AAC">
      <w:pPr>
        <w:widowControl w:val="0"/>
        <w:spacing w:after="120"/>
        <w:ind w:left="426" w:hanging="283"/>
        <w:rPr>
          <w:rFonts w:ascii="Arial" w:hAnsi="Arial" w:cs="Arial"/>
          <w:noProof/>
          <w:sz w:val="20"/>
          <w:szCs w:val="20"/>
        </w:rPr>
      </w:pPr>
      <w:r w:rsidRPr="00D56315">
        <w:rPr>
          <w:rFonts w:ascii="Arial" w:hAnsi="Arial" w:cs="Arial"/>
          <w:noProof/>
          <w:sz w:val="20"/>
          <w:szCs w:val="20"/>
        </w:rPr>
        <w:t>[8]</w:t>
      </w:r>
      <w:r w:rsidRPr="00D56315">
        <w:rPr>
          <w:rFonts w:ascii="Arial" w:hAnsi="Arial" w:cs="Arial"/>
          <w:noProof/>
          <w:sz w:val="20"/>
          <w:szCs w:val="20"/>
        </w:rPr>
        <w:tab/>
        <w:t xml:space="preserve">B. Cole and J. Simmons, “An Integrated systems Modeling and analysis platform for flight project work,” in </w:t>
      </w:r>
      <w:r w:rsidRPr="00D56315">
        <w:rPr>
          <w:rFonts w:ascii="Arial" w:hAnsi="Arial" w:cs="Arial"/>
          <w:i/>
          <w:noProof/>
          <w:sz w:val="20"/>
          <w:szCs w:val="20"/>
        </w:rPr>
        <w:t>AIAA Space and Astronautics Forum and Exposition, SPACE 2016</w:t>
      </w:r>
      <w:r w:rsidRPr="00D56315">
        <w:rPr>
          <w:rFonts w:ascii="Arial" w:hAnsi="Arial" w:cs="Arial"/>
          <w:noProof/>
          <w:sz w:val="20"/>
          <w:szCs w:val="20"/>
        </w:rPr>
        <w:t>, 2016.</w:t>
      </w:r>
    </w:p>
    <w:p w14:paraId="5E7E0264" w14:textId="1C9165B1" w:rsidR="007F2936" w:rsidRPr="00D4616E" w:rsidRDefault="00760AAC" w:rsidP="00760AAC">
      <w:pPr>
        <w:widowControl w:val="0"/>
        <w:autoSpaceDE w:val="0"/>
        <w:autoSpaceDN w:val="0"/>
        <w:adjustRightInd w:val="0"/>
        <w:spacing w:after="120"/>
        <w:ind w:left="426" w:hanging="283"/>
        <w:rPr>
          <w:rFonts w:ascii="Arial" w:eastAsia="Arial Unicode MS" w:hAnsi="Arial" w:cs="Arial"/>
          <w:b/>
          <w:color w:val="000000" w:themeColor="text1"/>
          <w:spacing w:val="-2"/>
          <w:sz w:val="20"/>
        </w:rPr>
      </w:pPr>
      <w:r w:rsidRPr="00D56315">
        <w:rPr>
          <w:rFonts w:ascii="Arial" w:hAnsi="Arial" w:cs="Arial"/>
          <w:b/>
          <w:color w:val="000000" w:themeColor="text1"/>
          <w:sz w:val="20"/>
          <w:szCs w:val="20"/>
        </w:rPr>
        <w:fldChar w:fldCharType="end"/>
      </w:r>
      <w:bookmarkStart w:id="0" w:name="_GoBack"/>
      <w:bookmarkEnd w:id="0"/>
    </w:p>
    <w:sectPr w:rsidR="007F2936" w:rsidRPr="00D4616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C371C" w14:textId="77777777" w:rsidR="008B6B70" w:rsidRDefault="008B6B70" w:rsidP="002B3D2E">
      <w:r>
        <w:separator/>
      </w:r>
    </w:p>
  </w:endnote>
  <w:endnote w:type="continuationSeparator" w:id="0">
    <w:p w14:paraId="4B43CCDD" w14:textId="77777777" w:rsidR="008B6B70" w:rsidRDefault="008B6B70"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876B4" w14:textId="77777777" w:rsidR="008B6B70" w:rsidRDefault="008B6B70" w:rsidP="002B3D2E">
      <w:r>
        <w:separator/>
      </w:r>
    </w:p>
  </w:footnote>
  <w:footnote w:type="continuationSeparator" w:id="0">
    <w:p w14:paraId="6BAC4B3E" w14:textId="77777777" w:rsidR="008B6B70" w:rsidRDefault="008B6B70" w:rsidP="002B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rPr>
    </w:pPr>
    <w:r>
      <w:rPr>
        <w:rFonts w:ascii="Arial" w:eastAsia="Arial Unicode MS" w:hAnsi="Arial" w:cs="Arial"/>
        <w:b/>
        <w:i/>
        <w:noProof/>
        <w:color w:val="000000" w:themeColor="text1"/>
        <w:spacing w:val="-2"/>
        <w:sz w:val="20"/>
      </w:rPr>
      <w:t>SECESA 2018</w:t>
    </w:r>
    <w:r w:rsidR="001A2217">
      <w:rPr>
        <w:rFonts w:ascii="Arial" w:eastAsia="Arial Unicode MS" w:hAnsi="Arial" w:cs="Arial"/>
        <w:b/>
        <w:i/>
        <w:noProof/>
        <w:color w:val="000000" w:themeColor="text1"/>
        <w:spacing w:val="-2"/>
        <w:szCs w:val="18"/>
      </w:rPr>
      <w:tab/>
    </w:r>
    <w:r w:rsidR="001A2217">
      <w:rPr>
        <w:rFonts w:ascii="Arial" w:eastAsia="Arial Unicode MS" w:hAnsi="Arial" w:cs="Arial"/>
        <w:b/>
        <w:i/>
        <w:noProof/>
        <w:color w:val="000000" w:themeColor="text1"/>
        <w:spacing w:val="-2"/>
        <w:szCs w:val="18"/>
      </w:rPr>
      <w:tab/>
    </w:r>
    <w:r w:rsidR="001A2217">
      <w:rPr>
        <w:rFonts w:ascii="Arial" w:eastAsia="Arial Unicode MS" w:hAnsi="Arial" w:cs="Arial"/>
        <w:b/>
        <w:i/>
        <w:noProof/>
        <w:color w:val="000000" w:themeColor="text1"/>
        <w:spacing w:val="-2"/>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06BE"/>
    <w:multiLevelType w:val="hybridMultilevel"/>
    <w:tmpl w:val="2348EA00"/>
    <w:lvl w:ilvl="0" w:tplc="AC469A34">
      <w:start w:val="1"/>
      <w:numFmt w:val="upperLetter"/>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nsid w:val="2FA0596D"/>
    <w:multiLevelType w:val="hybridMultilevel"/>
    <w:tmpl w:val="1E421BEC"/>
    <w:lvl w:ilvl="0" w:tplc="C652CF2A">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4">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83366E"/>
    <w:multiLevelType w:val="multilevel"/>
    <w:tmpl w:val="5A82B92E"/>
    <w:lvl w:ilvl="0">
      <w:start w:val="1"/>
      <w:numFmt w:val="decimal"/>
      <w:pStyle w:val="Heading2"/>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7">
    <w:nsid w:val="54272654"/>
    <w:multiLevelType w:val="hybridMultilevel"/>
    <w:tmpl w:val="6756E49E"/>
    <w:lvl w:ilvl="0" w:tplc="724E743A">
      <w:start w:val="1"/>
      <w:numFmt w:val="upperLetter"/>
      <w:lvlText w:val="%1."/>
      <w:lvlJc w:val="left"/>
      <w:pPr>
        <w:ind w:left="720" w:hanging="360"/>
      </w:pPr>
      <w:rPr>
        <w:rFonts w:hint="default"/>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AC0F9B"/>
    <w:multiLevelType w:val="hybridMultilevel"/>
    <w:tmpl w:val="0C5200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9"/>
  </w:num>
  <w:num w:numId="4">
    <w:abstractNumId w:val="5"/>
  </w:num>
  <w:num w:numId="5">
    <w:abstractNumId w:val="3"/>
  </w:num>
  <w:num w:numId="6">
    <w:abstractNumId w:val="1"/>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en-US" w:vendorID="64" w:dllVersion="131078" w:nlCheck="1" w:checkStyle="0"/>
  <w:activeWritingStyle w:appName="MSWord" w:lang="en-GB" w:vendorID="64" w:dllVersion="131078" w:nlCheck="1" w:checkStyle="0"/>
  <w:activeWritingStyle w:appName="MSWord" w:lang="nl-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EB"/>
    <w:rsid w:val="0000560C"/>
    <w:rsid w:val="00006A01"/>
    <w:rsid w:val="00013214"/>
    <w:rsid w:val="000332C7"/>
    <w:rsid w:val="000354CC"/>
    <w:rsid w:val="00060CB5"/>
    <w:rsid w:val="00062F64"/>
    <w:rsid w:val="00067049"/>
    <w:rsid w:val="000726B4"/>
    <w:rsid w:val="000F04EB"/>
    <w:rsid w:val="001062A3"/>
    <w:rsid w:val="00126089"/>
    <w:rsid w:val="00137B42"/>
    <w:rsid w:val="00147923"/>
    <w:rsid w:val="001656AD"/>
    <w:rsid w:val="0016733A"/>
    <w:rsid w:val="001749E1"/>
    <w:rsid w:val="001A2217"/>
    <w:rsid w:val="001B0137"/>
    <w:rsid w:val="001B7EB8"/>
    <w:rsid w:val="001C07E6"/>
    <w:rsid w:val="001C53CE"/>
    <w:rsid w:val="001E5A02"/>
    <w:rsid w:val="0021043A"/>
    <w:rsid w:val="002551C5"/>
    <w:rsid w:val="0027138A"/>
    <w:rsid w:val="002A35A0"/>
    <w:rsid w:val="002B0E94"/>
    <w:rsid w:val="002B3D2E"/>
    <w:rsid w:val="002F11DB"/>
    <w:rsid w:val="002F132F"/>
    <w:rsid w:val="00346EF7"/>
    <w:rsid w:val="003621EB"/>
    <w:rsid w:val="00395D78"/>
    <w:rsid w:val="003A6550"/>
    <w:rsid w:val="003B335A"/>
    <w:rsid w:val="003E33D0"/>
    <w:rsid w:val="003E50B3"/>
    <w:rsid w:val="003F0AF8"/>
    <w:rsid w:val="0041163B"/>
    <w:rsid w:val="004420E1"/>
    <w:rsid w:val="0045005F"/>
    <w:rsid w:val="00453A33"/>
    <w:rsid w:val="00460F40"/>
    <w:rsid w:val="004719BC"/>
    <w:rsid w:val="00475B09"/>
    <w:rsid w:val="004B30A5"/>
    <w:rsid w:val="004F3076"/>
    <w:rsid w:val="004F7CC8"/>
    <w:rsid w:val="0050245D"/>
    <w:rsid w:val="005028D7"/>
    <w:rsid w:val="00530AD7"/>
    <w:rsid w:val="00552483"/>
    <w:rsid w:val="00596EA1"/>
    <w:rsid w:val="005A6DC3"/>
    <w:rsid w:val="005B1CA6"/>
    <w:rsid w:val="005E345C"/>
    <w:rsid w:val="00614BDE"/>
    <w:rsid w:val="00616FA0"/>
    <w:rsid w:val="00635748"/>
    <w:rsid w:val="00636606"/>
    <w:rsid w:val="00676A0D"/>
    <w:rsid w:val="006809E1"/>
    <w:rsid w:val="006906B1"/>
    <w:rsid w:val="006D2FC3"/>
    <w:rsid w:val="006D31EF"/>
    <w:rsid w:val="006E2678"/>
    <w:rsid w:val="006E5658"/>
    <w:rsid w:val="007208A1"/>
    <w:rsid w:val="007608B1"/>
    <w:rsid w:val="00760AAC"/>
    <w:rsid w:val="00767D4A"/>
    <w:rsid w:val="007728AF"/>
    <w:rsid w:val="007812B4"/>
    <w:rsid w:val="00781FA5"/>
    <w:rsid w:val="007C615A"/>
    <w:rsid w:val="007F05AB"/>
    <w:rsid w:val="007F2301"/>
    <w:rsid w:val="007F2936"/>
    <w:rsid w:val="008220AB"/>
    <w:rsid w:val="008438D8"/>
    <w:rsid w:val="008B6B70"/>
    <w:rsid w:val="008D1588"/>
    <w:rsid w:val="008D25F1"/>
    <w:rsid w:val="0090235A"/>
    <w:rsid w:val="00910260"/>
    <w:rsid w:val="009325BA"/>
    <w:rsid w:val="00935F6A"/>
    <w:rsid w:val="00955D18"/>
    <w:rsid w:val="00963135"/>
    <w:rsid w:val="00970F68"/>
    <w:rsid w:val="00997D75"/>
    <w:rsid w:val="009B09EE"/>
    <w:rsid w:val="009F0D17"/>
    <w:rsid w:val="00A04231"/>
    <w:rsid w:val="00A21FA9"/>
    <w:rsid w:val="00A81977"/>
    <w:rsid w:val="00A86753"/>
    <w:rsid w:val="00AA2605"/>
    <w:rsid w:val="00AB3DF0"/>
    <w:rsid w:val="00AC5B81"/>
    <w:rsid w:val="00AD0253"/>
    <w:rsid w:val="00AE29AC"/>
    <w:rsid w:val="00B00384"/>
    <w:rsid w:val="00B06C48"/>
    <w:rsid w:val="00B13807"/>
    <w:rsid w:val="00B3099F"/>
    <w:rsid w:val="00B325B2"/>
    <w:rsid w:val="00B57070"/>
    <w:rsid w:val="00B70CB5"/>
    <w:rsid w:val="00B75625"/>
    <w:rsid w:val="00B82299"/>
    <w:rsid w:val="00B91303"/>
    <w:rsid w:val="00BB04A4"/>
    <w:rsid w:val="00BB6E98"/>
    <w:rsid w:val="00BC0956"/>
    <w:rsid w:val="00C03675"/>
    <w:rsid w:val="00C20C9C"/>
    <w:rsid w:val="00C26E50"/>
    <w:rsid w:val="00C35024"/>
    <w:rsid w:val="00C45485"/>
    <w:rsid w:val="00C47442"/>
    <w:rsid w:val="00C83566"/>
    <w:rsid w:val="00CA2574"/>
    <w:rsid w:val="00CB44B6"/>
    <w:rsid w:val="00CB6CA7"/>
    <w:rsid w:val="00CC70F9"/>
    <w:rsid w:val="00CD0286"/>
    <w:rsid w:val="00D41AB6"/>
    <w:rsid w:val="00D4616E"/>
    <w:rsid w:val="00D816B4"/>
    <w:rsid w:val="00D82FE6"/>
    <w:rsid w:val="00DB37B6"/>
    <w:rsid w:val="00DB735E"/>
    <w:rsid w:val="00DC3A6E"/>
    <w:rsid w:val="00DC44CA"/>
    <w:rsid w:val="00DE1380"/>
    <w:rsid w:val="00E06F9E"/>
    <w:rsid w:val="00E272EB"/>
    <w:rsid w:val="00E66164"/>
    <w:rsid w:val="00E70430"/>
    <w:rsid w:val="00E713CC"/>
    <w:rsid w:val="00E76F62"/>
    <w:rsid w:val="00E96CA6"/>
    <w:rsid w:val="00EA719C"/>
    <w:rsid w:val="00EB4338"/>
    <w:rsid w:val="00ED24A9"/>
    <w:rsid w:val="00F06515"/>
    <w:rsid w:val="00F149BD"/>
    <w:rsid w:val="00F23E46"/>
    <w:rsid w:val="00F352AE"/>
    <w:rsid w:val="00F776A5"/>
    <w:rsid w:val="00F86D20"/>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AD"/>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E50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F06515"/>
    <w:pPr>
      <w:numPr>
        <w:numId w:val="2"/>
      </w:numPr>
      <w:tabs>
        <w:tab w:val="clear" w:pos="340"/>
        <w:tab w:val="left" w:pos="-720"/>
        <w:tab w:val="num" w:pos="0"/>
        <w:tab w:val="left" w:pos="284"/>
      </w:tabs>
      <w:spacing w:after="120"/>
      <w:ind w:left="0"/>
      <w:jc w:val="both"/>
      <w:outlineLvl w:val="1"/>
    </w:pPr>
    <w:rPr>
      <w:rFonts w:ascii="Arial" w:eastAsia="Arial Unicode MS" w:hAnsi="Arial" w:cs="Arial"/>
      <w:b/>
      <w:color w:val="000000" w:themeColor="text1"/>
      <w:spacing w:val="-2"/>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autoSpaceDE w:val="0"/>
      <w:autoSpaceDN w:val="0"/>
      <w:adjustRightInd w:val="0"/>
      <w:spacing w:after="240"/>
      <w:jc w:val="both"/>
    </w:pPr>
    <w:rPr>
      <w:rFonts w:eastAsia="SimSun"/>
      <w:sz w:val="20"/>
      <w:szCs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autoSpaceDE w:val="0"/>
      <w:autoSpaceDN w:val="0"/>
      <w:adjustRightInd w:val="0"/>
      <w:spacing w:after="240"/>
      <w:jc w:val="right"/>
    </w:pPr>
    <w:rPr>
      <w:rFonts w:eastAsia="SimSun"/>
      <w:sz w:val="20"/>
      <w:szCs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autoSpaceDE w:val="0"/>
      <w:autoSpaceDN w:val="0"/>
      <w:adjustRightInd w:val="0"/>
      <w:spacing w:after="240"/>
      <w:jc w:val="both"/>
    </w:pPr>
    <w:rPr>
      <w:rFonts w:eastAsia="SimSun"/>
      <w:sz w:val="18"/>
      <w:szCs w:val="20"/>
      <w:lang w:val="en-US" w:eastAsia="zh-CN"/>
    </w:rPr>
  </w:style>
  <w:style w:type="paragraph" w:styleId="Header">
    <w:name w:val="header"/>
    <w:basedOn w:val="Normal"/>
    <w:link w:val="HeaderChar"/>
    <w:uiPriority w:val="99"/>
    <w:unhideWhenUsed/>
    <w:rsid w:val="002B3D2E"/>
    <w:pPr>
      <w:widowControl w:val="0"/>
      <w:tabs>
        <w:tab w:val="center" w:pos="4536"/>
        <w:tab w:val="right" w:pos="9072"/>
      </w:tabs>
    </w:pPr>
    <w:rPr>
      <w:rFonts w:ascii="Courier New" w:eastAsia="Times New Roman" w:hAnsi="Courier New"/>
      <w:snapToGrid w:val="0"/>
      <w:szCs w:val="20"/>
      <w:lang w:val="nl-NL" w:eastAsia="nl-NL"/>
    </w:r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widowControl w:val="0"/>
      <w:tabs>
        <w:tab w:val="center" w:pos="4536"/>
        <w:tab w:val="right" w:pos="9072"/>
      </w:tabs>
    </w:pPr>
    <w:rPr>
      <w:rFonts w:ascii="Courier New" w:eastAsia="Times New Roman" w:hAnsi="Courier New"/>
      <w:snapToGrid w:val="0"/>
      <w:szCs w:val="20"/>
      <w:lang w:val="nl-NL" w:eastAsia="nl-NL"/>
    </w:r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widowControl w:val="0"/>
      <w:ind w:left="720"/>
      <w:contextualSpacing/>
    </w:pPr>
    <w:rPr>
      <w:rFonts w:ascii="Courier New" w:eastAsia="Times New Roman" w:hAnsi="Courier New"/>
      <w:snapToGrid w:val="0"/>
      <w:szCs w:val="20"/>
      <w:lang w:val="nl-NL" w:eastAsia="nl-NL"/>
    </w:rPr>
  </w:style>
  <w:style w:type="character" w:styleId="Hyperlink">
    <w:name w:val="Hyperlink"/>
    <w:basedOn w:val="DefaultParagraphFont"/>
    <w:uiPriority w:val="99"/>
    <w:unhideWhenUsed/>
    <w:rsid w:val="007208A1"/>
    <w:rPr>
      <w:color w:val="0000FF" w:themeColor="hyperlink"/>
      <w:u w:val="single"/>
    </w:rPr>
  </w:style>
  <w:style w:type="character" w:customStyle="1" w:styleId="scopustermhighlight">
    <w:name w:val="scopustermhighlight"/>
    <w:basedOn w:val="DefaultParagraphFont"/>
    <w:rsid w:val="007F2936"/>
  </w:style>
  <w:style w:type="character" w:customStyle="1" w:styleId="Heading1Char">
    <w:name w:val="Heading 1 Char"/>
    <w:basedOn w:val="DefaultParagraphFont"/>
    <w:link w:val="Heading1"/>
    <w:uiPriority w:val="9"/>
    <w:rsid w:val="003E50B3"/>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uiPriority w:val="9"/>
    <w:rsid w:val="00F06515"/>
    <w:rPr>
      <w:rFonts w:ascii="Arial" w:eastAsia="Arial Unicode MS" w:hAnsi="Arial" w:cs="Arial"/>
      <w:b/>
      <w:snapToGrid w:val="0"/>
      <w:color w:val="000000" w:themeColor="text1"/>
      <w:spacing w:val="-2"/>
      <w:sz w:val="20"/>
      <w:szCs w:val="20"/>
      <w:lang w:val="en-GB"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AD"/>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3E50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F06515"/>
    <w:pPr>
      <w:numPr>
        <w:numId w:val="2"/>
      </w:numPr>
      <w:tabs>
        <w:tab w:val="clear" w:pos="340"/>
        <w:tab w:val="left" w:pos="-720"/>
        <w:tab w:val="num" w:pos="0"/>
        <w:tab w:val="left" w:pos="284"/>
      </w:tabs>
      <w:spacing w:after="120"/>
      <w:ind w:left="0"/>
      <w:jc w:val="both"/>
      <w:outlineLvl w:val="1"/>
    </w:pPr>
    <w:rPr>
      <w:rFonts w:ascii="Arial" w:eastAsia="Arial Unicode MS" w:hAnsi="Arial" w:cs="Arial"/>
      <w:b/>
      <w:color w:val="000000" w:themeColor="text1"/>
      <w:spacing w:val="-2"/>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autoSpaceDE w:val="0"/>
      <w:autoSpaceDN w:val="0"/>
      <w:adjustRightInd w:val="0"/>
      <w:spacing w:after="240"/>
      <w:jc w:val="both"/>
    </w:pPr>
    <w:rPr>
      <w:rFonts w:eastAsia="SimSun"/>
      <w:sz w:val="20"/>
      <w:szCs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autoSpaceDE w:val="0"/>
      <w:autoSpaceDN w:val="0"/>
      <w:adjustRightInd w:val="0"/>
      <w:spacing w:after="240"/>
      <w:jc w:val="right"/>
    </w:pPr>
    <w:rPr>
      <w:rFonts w:eastAsia="SimSun"/>
      <w:sz w:val="20"/>
      <w:szCs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autoSpaceDE w:val="0"/>
      <w:autoSpaceDN w:val="0"/>
      <w:adjustRightInd w:val="0"/>
      <w:spacing w:after="240"/>
      <w:jc w:val="both"/>
    </w:pPr>
    <w:rPr>
      <w:rFonts w:eastAsia="SimSun"/>
      <w:sz w:val="18"/>
      <w:szCs w:val="20"/>
      <w:lang w:val="en-US" w:eastAsia="zh-CN"/>
    </w:rPr>
  </w:style>
  <w:style w:type="paragraph" w:styleId="Header">
    <w:name w:val="header"/>
    <w:basedOn w:val="Normal"/>
    <w:link w:val="HeaderChar"/>
    <w:uiPriority w:val="99"/>
    <w:unhideWhenUsed/>
    <w:rsid w:val="002B3D2E"/>
    <w:pPr>
      <w:widowControl w:val="0"/>
      <w:tabs>
        <w:tab w:val="center" w:pos="4536"/>
        <w:tab w:val="right" w:pos="9072"/>
      </w:tabs>
    </w:pPr>
    <w:rPr>
      <w:rFonts w:ascii="Courier New" w:eastAsia="Times New Roman" w:hAnsi="Courier New"/>
      <w:snapToGrid w:val="0"/>
      <w:szCs w:val="20"/>
      <w:lang w:val="nl-NL" w:eastAsia="nl-NL"/>
    </w:r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widowControl w:val="0"/>
      <w:tabs>
        <w:tab w:val="center" w:pos="4536"/>
        <w:tab w:val="right" w:pos="9072"/>
      </w:tabs>
    </w:pPr>
    <w:rPr>
      <w:rFonts w:ascii="Courier New" w:eastAsia="Times New Roman" w:hAnsi="Courier New"/>
      <w:snapToGrid w:val="0"/>
      <w:szCs w:val="20"/>
      <w:lang w:val="nl-NL" w:eastAsia="nl-NL"/>
    </w:r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widowControl w:val="0"/>
      <w:ind w:left="720"/>
      <w:contextualSpacing/>
    </w:pPr>
    <w:rPr>
      <w:rFonts w:ascii="Courier New" w:eastAsia="Times New Roman" w:hAnsi="Courier New"/>
      <w:snapToGrid w:val="0"/>
      <w:szCs w:val="20"/>
      <w:lang w:val="nl-NL" w:eastAsia="nl-NL"/>
    </w:rPr>
  </w:style>
  <w:style w:type="character" w:styleId="Hyperlink">
    <w:name w:val="Hyperlink"/>
    <w:basedOn w:val="DefaultParagraphFont"/>
    <w:uiPriority w:val="99"/>
    <w:unhideWhenUsed/>
    <w:rsid w:val="007208A1"/>
    <w:rPr>
      <w:color w:val="0000FF" w:themeColor="hyperlink"/>
      <w:u w:val="single"/>
    </w:rPr>
  </w:style>
  <w:style w:type="character" w:customStyle="1" w:styleId="scopustermhighlight">
    <w:name w:val="scopustermhighlight"/>
    <w:basedOn w:val="DefaultParagraphFont"/>
    <w:rsid w:val="007F2936"/>
  </w:style>
  <w:style w:type="character" w:customStyle="1" w:styleId="Heading1Char">
    <w:name w:val="Heading 1 Char"/>
    <w:basedOn w:val="DefaultParagraphFont"/>
    <w:link w:val="Heading1"/>
    <w:uiPriority w:val="9"/>
    <w:rsid w:val="003E50B3"/>
    <w:rPr>
      <w:rFonts w:asciiTheme="majorHAnsi" w:eastAsiaTheme="majorEastAsia" w:hAnsiTheme="majorHAnsi" w:cstheme="majorBidi"/>
      <w:color w:val="365F91" w:themeColor="accent1" w:themeShade="BF"/>
      <w:sz w:val="32"/>
      <w:szCs w:val="32"/>
      <w:lang w:val="en-GB" w:eastAsia="en-GB"/>
    </w:rPr>
  </w:style>
  <w:style w:type="character" w:customStyle="1" w:styleId="Heading2Char">
    <w:name w:val="Heading 2 Char"/>
    <w:basedOn w:val="DefaultParagraphFont"/>
    <w:link w:val="Heading2"/>
    <w:uiPriority w:val="9"/>
    <w:rsid w:val="00F06515"/>
    <w:rPr>
      <w:rFonts w:ascii="Arial" w:eastAsia="Arial Unicode MS" w:hAnsi="Arial" w:cs="Arial"/>
      <w:b/>
      <w:snapToGrid w:val="0"/>
      <w:color w:val="000000" w:themeColor="text1"/>
      <w:spacing w:val="-2"/>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293367029">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491797509">
      <w:bodyDiv w:val="1"/>
      <w:marLeft w:val="0"/>
      <w:marRight w:val="0"/>
      <w:marTop w:val="0"/>
      <w:marBottom w:val="0"/>
      <w:divBdr>
        <w:top w:val="none" w:sz="0" w:space="0" w:color="auto"/>
        <w:left w:val="none" w:sz="0" w:space="0" w:color="auto"/>
        <w:bottom w:val="none" w:sz="0" w:space="0" w:color="auto"/>
        <w:right w:val="none" w:sz="0" w:space="0" w:color="auto"/>
      </w:divBdr>
    </w:div>
    <w:div w:id="683822811">
      <w:bodyDiv w:val="1"/>
      <w:marLeft w:val="0"/>
      <w:marRight w:val="0"/>
      <w:marTop w:val="0"/>
      <w:marBottom w:val="0"/>
      <w:divBdr>
        <w:top w:val="none" w:sz="0" w:space="0" w:color="auto"/>
        <w:left w:val="none" w:sz="0" w:space="0" w:color="auto"/>
        <w:bottom w:val="none" w:sz="0" w:space="0" w:color="auto"/>
        <w:right w:val="none" w:sz="0" w:space="0" w:color="auto"/>
      </w:divBdr>
    </w:div>
    <w:div w:id="1006052249">
      <w:bodyDiv w:val="1"/>
      <w:marLeft w:val="0"/>
      <w:marRight w:val="0"/>
      <w:marTop w:val="0"/>
      <w:marBottom w:val="0"/>
      <w:divBdr>
        <w:top w:val="none" w:sz="0" w:space="0" w:color="auto"/>
        <w:left w:val="none" w:sz="0" w:space="0" w:color="auto"/>
        <w:bottom w:val="none" w:sz="0" w:space="0" w:color="auto"/>
        <w:right w:val="none" w:sz="0" w:space="0" w:color="auto"/>
      </w:divBdr>
    </w:div>
    <w:div w:id="1069302580">
      <w:bodyDiv w:val="1"/>
      <w:marLeft w:val="0"/>
      <w:marRight w:val="0"/>
      <w:marTop w:val="0"/>
      <w:marBottom w:val="0"/>
      <w:divBdr>
        <w:top w:val="none" w:sz="0" w:space="0" w:color="auto"/>
        <w:left w:val="none" w:sz="0" w:space="0" w:color="auto"/>
        <w:bottom w:val="none" w:sz="0" w:space="0" w:color="auto"/>
        <w:right w:val="none" w:sz="0" w:space="0" w:color="auto"/>
      </w:divBdr>
    </w:div>
    <w:div w:id="1084838515">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740589673">
      <w:bodyDiv w:val="1"/>
      <w:marLeft w:val="0"/>
      <w:marRight w:val="0"/>
      <w:marTop w:val="0"/>
      <w:marBottom w:val="0"/>
      <w:divBdr>
        <w:top w:val="none" w:sz="0" w:space="0" w:color="auto"/>
        <w:left w:val="none" w:sz="0" w:space="0" w:color="auto"/>
        <w:bottom w:val="none" w:sz="0" w:space="0" w:color="auto"/>
        <w:right w:val="none" w:sz="0" w:space="0" w:color="auto"/>
      </w:divBdr>
    </w:div>
    <w:div w:id="1821116266">
      <w:bodyDiv w:val="1"/>
      <w:marLeft w:val="0"/>
      <w:marRight w:val="0"/>
      <w:marTop w:val="0"/>
      <w:marBottom w:val="0"/>
      <w:divBdr>
        <w:top w:val="none" w:sz="0" w:space="0" w:color="auto"/>
        <w:left w:val="none" w:sz="0" w:space="0" w:color="auto"/>
        <w:bottom w:val="none" w:sz="0" w:space="0" w:color="auto"/>
        <w:right w:val="none" w:sz="0" w:space="0" w:color="auto"/>
      </w:divBdr>
    </w:div>
    <w:div w:id="1831368049">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emailaddress@email.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2495</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Stephanie  Di Blasio</cp:lastModifiedBy>
  <cp:revision>2</cp:revision>
  <dcterms:created xsi:type="dcterms:W3CDTF">2018-05-02T10:22:00Z</dcterms:created>
  <dcterms:modified xsi:type="dcterms:W3CDTF">2018-05-02T10:22:00Z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y fmtid="{D5CDD505-2E9C-101B-9397-08002B2CF9AE}" pid="3" name="Mendeley Document_1">
    <vt:lpwstr>True</vt:lpwstr>
  </property>
  <property fmtid="{D5CDD505-2E9C-101B-9397-08002B2CF9AE}" pid="4" name="Mendeley Unique User Id_1">
    <vt:lpwstr>54a69ffc-1ad8-343c-8041-04ccacdb2b4f</vt:lpwstr>
  </property>
  <property fmtid="{D5CDD505-2E9C-101B-9397-08002B2CF9AE}" pid="5" name="Mendeley Citation Style_1">
    <vt:lpwstr>http://www.zotero.org/styles/ieee</vt:lpwstr>
  </property>
</Properties>
</file>