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F07E" w14:textId="5E2BFC36" w:rsidR="00573DF7" w:rsidRPr="008A3270" w:rsidRDefault="00573DF7" w:rsidP="00847804">
      <w:pPr>
        <w:spacing w:after="120" w:line="240" w:lineRule="exact"/>
        <w:jc w:val="both"/>
        <w:rPr>
          <w:rFonts w:ascii="Arial" w:hAnsi="Arial" w:cs="Arial"/>
          <w:b/>
          <w:bCs/>
        </w:rPr>
      </w:pPr>
      <w:r w:rsidRPr="008A3270">
        <w:rPr>
          <w:rFonts w:ascii="Arial" w:hAnsi="Arial" w:cs="Arial"/>
          <w:b/>
          <w:bCs/>
        </w:rPr>
        <w:t xml:space="preserve">Investigating </w:t>
      </w:r>
      <w:r w:rsidR="00D52D69">
        <w:rPr>
          <w:rFonts w:ascii="Arial" w:hAnsi="Arial" w:cs="Arial"/>
          <w:b/>
          <w:bCs/>
        </w:rPr>
        <w:t>fungi</w:t>
      </w:r>
      <w:r w:rsidRPr="008A3270">
        <w:rPr>
          <w:rFonts w:ascii="Arial" w:hAnsi="Arial" w:cs="Arial"/>
          <w:b/>
          <w:bCs/>
        </w:rPr>
        <w:t xml:space="preserve"> associat</w:t>
      </w:r>
      <w:r w:rsidR="00D52D69">
        <w:rPr>
          <w:rFonts w:ascii="Arial" w:hAnsi="Arial" w:cs="Arial"/>
          <w:b/>
          <w:bCs/>
        </w:rPr>
        <w:t xml:space="preserve">ed with panicle blight </w:t>
      </w:r>
      <w:r w:rsidRPr="008A3270">
        <w:rPr>
          <w:rFonts w:ascii="Arial" w:hAnsi="Arial" w:cs="Arial"/>
          <w:b/>
          <w:bCs/>
        </w:rPr>
        <w:t>and dieback in avocado</w:t>
      </w:r>
    </w:p>
    <w:p w14:paraId="29D0F19C" w14:textId="60652A52" w:rsidR="00573DF7" w:rsidRPr="009623CF" w:rsidRDefault="00573DF7" w:rsidP="00847804">
      <w:pPr>
        <w:spacing w:after="120" w:line="240" w:lineRule="exact"/>
        <w:jc w:val="both"/>
        <w:rPr>
          <w:rFonts w:ascii="Arial" w:hAnsi="Arial" w:cs="Arial"/>
          <w:i/>
          <w:iCs/>
          <w:vertAlign w:val="superscript"/>
        </w:rPr>
      </w:pPr>
      <w:r w:rsidRPr="009623CF">
        <w:rPr>
          <w:rFonts w:ascii="Arial" w:hAnsi="Arial" w:cs="Arial"/>
          <w:i/>
          <w:iCs/>
          <w:u w:val="single"/>
        </w:rPr>
        <w:t>Prabhakaran</w:t>
      </w:r>
      <w:r w:rsidR="00847804">
        <w:rPr>
          <w:rFonts w:ascii="Arial" w:hAnsi="Arial" w:cs="Arial"/>
          <w:i/>
          <w:iCs/>
          <w:u w:val="single"/>
        </w:rPr>
        <w:t xml:space="preserve"> A D</w:t>
      </w:r>
      <w:r w:rsidRPr="009623CF">
        <w:rPr>
          <w:rFonts w:ascii="Arial" w:hAnsi="Arial" w:cs="Arial"/>
          <w:i/>
          <w:iCs/>
          <w:u w:val="single"/>
          <w:vertAlign w:val="superscript"/>
        </w:rPr>
        <w:t>1</w:t>
      </w:r>
      <w:r w:rsidRPr="00D52D69">
        <w:rPr>
          <w:rFonts w:ascii="Arial" w:hAnsi="Arial" w:cs="Arial"/>
          <w:i/>
          <w:iCs/>
        </w:rPr>
        <w:t>,</w:t>
      </w:r>
      <w:r w:rsidRPr="009623CF">
        <w:rPr>
          <w:rFonts w:ascii="Arial" w:hAnsi="Arial" w:cs="Arial"/>
          <w:i/>
          <w:iCs/>
        </w:rPr>
        <w:t xml:space="preserve"> Hicke</w:t>
      </w:r>
      <w:r w:rsidR="00A12B10">
        <w:rPr>
          <w:rFonts w:ascii="Arial" w:hAnsi="Arial" w:cs="Arial"/>
          <w:i/>
          <w:iCs/>
        </w:rPr>
        <w:t>y</w:t>
      </w:r>
      <w:r w:rsidR="00847804">
        <w:rPr>
          <w:rFonts w:ascii="Arial" w:hAnsi="Arial" w:cs="Arial"/>
          <w:i/>
          <w:iCs/>
        </w:rPr>
        <w:t xml:space="preserve"> M</w:t>
      </w:r>
      <w:r w:rsidR="00D52D69">
        <w:rPr>
          <w:rFonts w:ascii="Arial" w:hAnsi="Arial" w:cs="Arial"/>
          <w:i/>
          <w:iCs/>
          <w:vertAlign w:val="superscript"/>
        </w:rPr>
        <w:t>1</w:t>
      </w:r>
      <w:r w:rsidRPr="009623CF">
        <w:rPr>
          <w:rFonts w:ascii="Arial" w:hAnsi="Arial" w:cs="Arial"/>
          <w:i/>
          <w:iCs/>
        </w:rPr>
        <w:t>, Dann</w:t>
      </w:r>
      <w:r w:rsidR="00847804">
        <w:rPr>
          <w:rFonts w:ascii="Arial" w:hAnsi="Arial" w:cs="Arial"/>
          <w:i/>
          <w:iCs/>
        </w:rPr>
        <w:t xml:space="preserve"> E K</w:t>
      </w:r>
      <w:r w:rsidRPr="009623CF">
        <w:rPr>
          <w:rFonts w:ascii="Arial" w:hAnsi="Arial" w:cs="Arial"/>
          <w:i/>
          <w:iCs/>
          <w:vertAlign w:val="superscript"/>
        </w:rPr>
        <w:t>1</w:t>
      </w:r>
    </w:p>
    <w:p w14:paraId="5BED2F95" w14:textId="1CC62A81" w:rsidR="006479CC" w:rsidRPr="009E7323" w:rsidRDefault="006479CC" w:rsidP="00847804">
      <w:pPr>
        <w:spacing w:after="120" w:line="240" w:lineRule="exact"/>
        <w:jc w:val="both"/>
        <w:rPr>
          <w:rFonts w:ascii="Arial" w:hAnsi="Arial" w:cs="Arial"/>
        </w:rPr>
      </w:pPr>
      <w:r w:rsidRPr="009E7323">
        <w:rPr>
          <w:rFonts w:ascii="Arial" w:hAnsi="Arial" w:cs="Arial"/>
          <w:vertAlign w:val="superscript"/>
        </w:rPr>
        <w:t>1</w:t>
      </w:r>
      <w:r w:rsidRPr="009E7323">
        <w:rPr>
          <w:rFonts w:ascii="Arial" w:hAnsi="Arial" w:cs="Arial"/>
        </w:rPr>
        <w:t>University of Queensland</w:t>
      </w:r>
      <w:r w:rsidR="00D52D69">
        <w:rPr>
          <w:rFonts w:ascii="Arial" w:hAnsi="Arial" w:cs="Arial"/>
        </w:rPr>
        <w:t>, Brisbane, Australia</w:t>
      </w:r>
    </w:p>
    <w:p w14:paraId="42CFB942" w14:textId="77777777" w:rsidR="00573DF7" w:rsidRDefault="00573DF7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701FA7F4" w14:textId="5B6DDE8C" w:rsidR="00A60737" w:rsidRDefault="00D52D69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Severe panicle dieback </w:t>
      </w:r>
      <w:r w:rsidR="00591B23">
        <w:rPr>
          <w:rFonts w:ascii="Arial" w:hAnsi="Arial" w:cs="Arial"/>
          <w:sz w:val="20"/>
          <w:szCs w:val="20"/>
        </w:rPr>
        <w:t>was</w:t>
      </w:r>
      <w:r w:rsidR="008A3F73" w:rsidRPr="00F755AE">
        <w:rPr>
          <w:rFonts w:ascii="Arial" w:hAnsi="Arial" w:cs="Arial"/>
          <w:sz w:val="20"/>
          <w:szCs w:val="20"/>
        </w:rPr>
        <w:t xml:space="preserve"> observed</w:t>
      </w:r>
      <w:r w:rsidR="008A3F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many orchards in the eastern production regions of Australia </w:t>
      </w:r>
      <w:r w:rsidR="008A3F73" w:rsidRPr="00F755AE">
        <w:rPr>
          <w:rFonts w:ascii="Arial" w:hAnsi="Arial" w:cs="Arial"/>
          <w:sz w:val="20"/>
          <w:szCs w:val="20"/>
        </w:rPr>
        <w:t xml:space="preserve">during the 2019 </w:t>
      </w:r>
      <w:r w:rsidR="000D567C" w:rsidRPr="00F755AE">
        <w:rPr>
          <w:rFonts w:ascii="Arial" w:hAnsi="Arial" w:cs="Arial"/>
          <w:sz w:val="20"/>
          <w:szCs w:val="20"/>
        </w:rPr>
        <w:t>and 2020</w:t>
      </w:r>
      <w:r w:rsidR="000D567C">
        <w:rPr>
          <w:rFonts w:ascii="Arial" w:hAnsi="Arial" w:cs="Arial"/>
          <w:sz w:val="20"/>
          <w:szCs w:val="20"/>
        </w:rPr>
        <w:t xml:space="preserve"> </w:t>
      </w:r>
      <w:r w:rsidR="008A3F73" w:rsidRPr="00F755AE">
        <w:rPr>
          <w:rFonts w:ascii="Arial" w:hAnsi="Arial" w:cs="Arial"/>
          <w:sz w:val="20"/>
          <w:szCs w:val="20"/>
        </w:rPr>
        <w:t xml:space="preserve">flowering </w:t>
      </w:r>
      <w:r>
        <w:rPr>
          <w:rFonts w:ascii="Arial" w:hAnsi="Arial" w:cs="Arial"/>
          <w:sz w:val="20"/>
          <w:szCs w:val="20"/>
        </w:rPr>
        <w:t xml:space="preserve">and fruit set </w:t>
      </w:r>
      <w:r w:rsidR="002B3217">
        <w:rPr>
          <w:rFonts w:ascii="Arial" w:hAnsi="Arial" w:cs="Arial"/>
          <w:sz w:val="20"/>
          <w:szCs w:val="20"/>
        </w:rPr>
        <w:t>periods</w:t>
      </w:r>
      <w:r w:rsidR="000D567C">
        <w:rPr>
          <w:rFonts w:ascii="Arial" w:hAnsi="Arial" w:cs="Arial"/>
          <w:sz w:val="20"/>
          <w:szCs w:val="20"/>
        </w:rPr>
        <w:t xml:space="preserve">. </w:t>
      </w:r>
      <w:r w:rsidR="00A60737">
        <w:rPr>
          <w:rFonts w:ascii="Arial" w:hAnsi="Arial" w:cs="Arial"/>
          <w:sz w:val="20"/>
          <w:szCs w:val="20"/>
        </w:rPr>
        <w:t>These regions had experienced drought conditions leading up to the 2019 flowering,</w:t>
      </w:r>
      <w:r w:rsidR="002B3217">
        <w:rPr>
          <w:rFonts w:ascii="Arial" w:hAnsi="Arial" w:cs="Arial"/>
          <w:sz w:val="20"/>
          <w:szCs w:val="20"/>
        </w:rPr>
        <w:t xml:space="preserve"> </w:t>
      </w:r>
      <w:r w:rsidR="00DA5630">
        <w:rPr>
          <w:rFonts w:ascii="Arial" w:hAnsi="Arial" w:cs="Arial"/>
          <w:sz w:val="20"/>
          <w:szCs w:val="20"/>
        </w:rPr>
        <w:t xml:space="preserve">initially </w:t>
      </w:r>
      <w:r w:rsidR="002B3217">
        <w:rPr>
          <w:rFonts w:ascii="Arial" w:hAnsi="Arial" w:cs="Arial"/>
          <w:sz w:val="20"/>
          <w:szCs w:val="20"/>
        </w:rPr>
        <w:t xml:space="preserve">suggesting an abiotic </w:t>
      </w:r>
      <w:r w:rsidR="00BC3588">
        <w:rPr>
          <w:rFonts w:ascii="Arial" w:hAnsi="Arial" w:cs="Arial"/>
          <w:sz w:val="20"/>
          <w:szCs w:val="20"/>
        </w:rPr>
        <w:t>cause</w:t>
      </w:r>
      <w:r w:rsidR="002B3217">
        <w:rPr>
          <w:rFonts w:ascii="Arial" w:hAnsi="Arial" w:cs="Arial"/>
          <w:sz w:val="20"/>
          <w:szCs w:val="20"/>
        </w:rPr>
        <w:t>,</w:t>
      </w:r>
      <w:r w:rsidR="00A60737">
        <w:rPr>
          <w:rFonts w:ascii="Arial" w:hAnsi="Arial" w:cs="Arial"/>
          <w:sz w:val="20"/>
          <w:szCs w:val="20"/>
        </w:rPr>
        <w:t xml:space="preserve"> and symptoms were noted to be more severe on Hass and Maluma than Shepard. </w:t>
      </w:r>
      <w:r w:rsidR="000D567C">
        <w:rPr>
          <w:rFonts w:ascii="Arial" w:hAnsi="Arial" w:cs="Arial"/>
          <w:sz w:val="20"/>
          <w:szCs w:val="20"/>
        </w:rPr>
        <w:t xml:space="preserve">The symptoms include </w:t>
      </w:r>
      <w:r w:rsidR="002B3217">
        <w:rPr>
          <w:rFonts w:ascii="Arial" w:hAnsi="Arial" w:cs="Arial"/>
          <w:sz w:val="20"/>
          <w:szCs w:val="20"/>
        </w:rPr>
        <w:t xml:space="preserve">necrosis (death) of the </w:t>
      </w:r>
      <w:r w:rsidR="000D567C">
        <w:rPr>
          <w:rFonts w:ascii="Arial" w:hAnsi="Arial" w:cs="Arial"/>
          <w:sz w:val="20"/>
          <w:szCs w:val="20"/>
        </w:rPr>
        <w:t>flower</w:t>
      </w:r>
      <w:r w:rsidR="002B3217">
        <w:rPr>
          <w:rFonts w:ascii="Arial" w:hAnsi="Arial" w:cs="Arial"/>
          <w:sz w:val="20"/>
          <w:szCs w:val="20"/>
        </w:rPr>
        <w:t>s</w:t>
      </w:r>
      <w:r w:rsidR="000D567C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0D567C">
        <w:rPr>
          <w:rFonts w:ascii="Arial" w:hAnsi="Arial" w:cs="Arial"/>
          <w:sz w:val="20"/>
          <w:szCs w:val="20"/>
        </w:rPr>
        <w:t>peduncle</w:t>
      </w:r>
      <w:proofErr w:type="gramEnd"/>
      <w:r w:rsidR="000D567C">
        <w:rPr>
          <w:rFonts w:ascii="Arial" w:hAnsi="Arial" w:cs="Arial"/>
          <w:sz w:val="20"/>
          <w:szCs w:val="20"/>
        </w:rPr>
        <w:t xml:space="preserve"> and rachis</w:t>
      </w:r>
      <w:r w:rsidR="000D567C" w:rsidRPr="00F755AE">
        <w:rPr>
          <w:rFonts w:ascii="Arial" w:hAnsi="Arial" w:cs="Arial"/>
          <w:sz w:val="20"/>
          <w:szCs w:val="20"/>
        </w:rPr>
        <w:t>, wilting</w:t>
      </w:r>
      <w:r w:rsidR="000D567C">
        <w:rPr>
          <w:rFonts w:ascii="Arial" w:hAnsi="Arial" w:cs="Arial"/>
          <w:sz w:val="20"/>
          <w:szCs w:val="20"/>
        </w:rPr>
        <w:t xml:space="preserve"> and dieback of the whole inflorescence</w:t>
      </w:r>
      <w:r w:rsidR="00847804">
        <w:rPr>
          <w:rFonts w:ascii="Arial" w:hAnsi="Arial" w:cs="Arial"/>
          <w:sz w:val="20"/>
          <w:szCs w:val="20"/>
        </w:rPr>
        <w:t>,</w:t>
      </w:r>
      <w:r w:rsidR="001324A2">
        <w:rPr>
          <w:rFonts w:ascii="Arial" w:hAnsi="Arial" w:cs="Arial"/>
          <w:sz w:val="20"/>
          <w:szCs w:val="20"/>
        </w:rPr>
        <w:t xml:space="preserve"> including small fruitlets</w:t>
      </w:r>
      <w:r w:rsidR="00847804">
        <w:rPr>
          <w:rFonts w:ascii="Arial" w:hAnsi="Arial" w:cs="Arial"/>
          <w:sz w:val="20"/>
          <w:szCs w:val="20"/>
        </w:rPr>
        <w:t>,</w:t>
      </w:r>
      <w:r w:rsidR="001324A2">
        <w:rPr>
          <w:rFonts w:ascii="Arial" w:hAnsi="Arial" w:cs="Arial"/>
          <w:sz w:val="20"/>
          <w:szCs w:val="20"/>
        </w:rPr>
        <w:t xml:space="preserve"> </w:t>
      </w:r>
      <w:r w:rsidR="008B718E">
        <w:rPr>
          <w:rFonts w:ascii="Arial" w:hAnsi="Arial" w:cs="Arial"/>
          <w:sz w:val="20"/>
          <w:szCs w:val="20"/>
        </w:rPr>
        <w:t>within 4-6 weeks of peak flowering</w:t>
      </w:r>
      <w:r w:rsidR="001324A2">
        <w:rPr>
          <w:rFonts w:ascii="Arial" w:hAnsi="Arial" w:cs="Arial"/>
          <w:sz w:val="20"/>
          <w:szCs w:val="20"/>
        </w:rPr>
        <w:t>.</w:t>
      </w:r>
      <w:r w:rsidR="00A12B10">
        <w:rPr>
          <w:rFonts w:ascii="Arial" w:hAnsi="Arial" w:cs="Arial"/>
          <w:sz w:val="20"/>
          <w:szCs w:val="20"/>
        </w:rPr>
        <w:t xml:space="preserve"> </w:t>
      </w:r>
      <w:r w:rsidR="00A12B10" w:rsidRPr="00241848">
        <w:rPr>
          <w:rFonts w:ascii="Arial" w:hAnsi="Arial" w:cs="Arial"/>
          <w:sz w:val="20"/>
          <w:szCs w:val="20"/>
        </w:rPr>
        <w:t>Th</w:t>
      </w:r>
      <w:r w:rsidR="00A12B10">
        <w:rPr>
          <w:rFonts w:ascii="Arial" w:hAnsi="Arial" w:cs="Arial"/>
          <w:sz w:val="20"/>
          <w:szCs w:val="20"/>
        </w:rPr>
        <w:t xml:space="preserve">is </w:t>
      </w:r>
      <w:r w:rsidR="00A12B10" w:rsidRPr="00241848">
        <w:rPr>
          <w:rFonts w:ascii="Arial" w:hAnsi="Arial" w:cs="Arial"/>
          <w:sz w:val="20"/>
          <w:szCs w:val="20"/>
        </w:rPr>
        <w:t xml:space="preserve">study </w:t>
      </w:r>
      <w:r w:rsidR="00A12B10">
        <w:rPr>
          <w:rFonts w:ascii="Arial" w:hAnsi="Arial" w:cs="Arial"/>
          <w:sz w:val="20"/>
          <w:szCs w:val="20"/>
        </w:rPr>
        <w:t>aims to determine</w:t>
      </w:r>
      <w:r w:rsidR="00A12B10" w:rsidRPr="00241848">
        <w:rPr>
          <w:rFonts w:ascii="Arial" w:hAnsi="Arial" w:cs="Arial"/>
          <w:sz w:val="20"/>
          <w:szCs w:val="20"/>
        </w:rPr>
        <w:t xml:space="preserve"> </w:t>
      </w:r>
      <w:r w:rsidR="00A12B10">
        <w:rPr>
          <w:rFonts w:ascii="Arial" w:hAnsi="Arial" w:cs="Arial"/>
          <w:sz w:val="20"/>
          <w:szCs w:val="20"/>
        </w:rPr>
        <w:t xml:space="preserve">whether fungi are associated </w:t>
      </w:r>
      <w:r w:rsidR="00A60737">
        <w:rPr>
          <w:rFonts w:ascii="Arial" w:hAnsi="Arial" w:cs="Arial"/>
          <w:sz w:val="20"/>
          <w:szCs w:val="20"/>
        </w:rPr>
        <w:t>with panicle blight,</w:t>
      </w:r>
      <w:r w:rsidR="00A12B10" w:rsidRPr="00241848">
        <w:rPr>
          <w:rFonts w:ascii="Arial" w:hAnsi="Arial" w:cs="Arial"/>
          <w:sz w:val="20"/>
          <w:szCs w:val="20"/>
        </w:rPr>
        <w:t xml:space="preserve"> </w:t>
      </w:r>
      <w:r w:rsidR="00A12B10">
        <w:rPr>
          <w:rFonts w:ascii="Arial" w:hAnsi="Arial" w:cs="Arial"/>
          <w:sz w:val="20"/>
          <w:szCs w:val="20"/>
        </w:rPr>
        <w:t xml:space="preserve">in order </w:t>
      </w:r>
      <w:r w:rsidR="00A12B10" w:rsidRPr="00241848">
        <w:rPr>
          <w:rFonts w:ascii="Arial" w:hAnsi="Arial" w:cs="Arial"/>
          <w:sz w:val="20"/>
          <w:szCs w:val="20"/>
        </w:rPr>
        <w:t xml:space="preserve">to develop </w:t>
      </w:r>
      <w:r w:rsidR="00A12B10">
        <w:rPr>
          <w:rFonts w:ascii="Arial" w:hAnsi="Arial" w:cs="Arial"/>
          <w:sz w:val="20"/>
          <w:szCs w:val="20"/>
        </w:rPr>
        <w:t>a</w:t>
      </w:r>
      <w:r w:rsidR="00A12B10" w:rsidRPr="00241848">
        <w:rPr>
          <w:rFonts w:ascii="Arial" w:hAnsi="Arial" w:cs="Arial"/>
          <w:sz w:val="20"/>
          <w:szCs w:val="20"/>
        </w:rPr>
        <w:t xml:space="preserve"> suitable </w:t>
      </w:r>
      <w:r w:rsidR="00A12B10">
        <w:rPr>
          <w:rFonts w:ascii="Arial" w:hAnsi="Arial" w:cs="Arial"/>
          <w:sz w:val="20"/>
          <w:szCs w:val="20"/>
        </w:rPr>
        <w:t>management strategy</w:t>
      </w:r>
      <w:r w:rsidR="00A12B10" w:rsidRPr="00241848">
        <w:rPr>
          <w:rFonts w:ascii="Arial" w:hAnsi="Arial" w:cs="Arial"/>
          <w:sz w:val="20"/>
          <w:szCs w:val="20"/>
        </w:rPr>
        <w:t>.</w:t>
      </w:r>
      <w:r w:rsidR="00A60737" w:rsidRPr="00A60737">
        <w:rPr>
          <w:rFonts w:ascii="Arial" w:hAnsi="Arial" w:cs="Arial"/>
          <w:sz w:val="20"/>
          <w:szCs w:val="20"/>
        </w:rPr>
        <w:t xml:space="preserve"> </w:t>
      </w:r>
      <w:r w:rsidR="00A60737" w:rsidRPr="00F755AE">
        <w:rPr>
          <w:rFonts w:ascii="Arial" w:hAnsi="Arial" w:cs="Arial"/>
          <w:sz w:val="20"/>
          <w:szCs w:val="20"/>
        </w:rPr>
        <w:t>Symptomatic panicle</w:t>
      </w:r>
      <w:r w:rsidR="00F55EE7">
        <w:rPr>
          <w:rFonts w:ascii="Arial" w:hAnsi="Arial" w:cs="Arial"/>
          <w:sz w:val="20"/>
          <w:szCs w:val="20"/>
        </w:rPr>
        <w:t>s</w:t>
      </w:r>
      <w:r w:rsidR="00A60737">
        <w:rPr>
          <w:rFonts w:ascii="Arial" w:hAnsi="Arial" w:cs="Arial"/>
          <w:sz w:val="20"/>
          <w:szCs w:val="20"/>
        </w:rPr>
        <w:t xml:space="preserve"> </w:t>
      </w:r>
      <w:r w:rsidR="00A60737" w:rsidRPr="00F755AE">
        <w:rPr>
          <w:rFonts w:ascii="Arial" w:hAnsi="Arial" w:cs="Arial"/>
          <w:sz w:val="20"/>
          <w:szCs w:val="20"/>
        </w:rPr>
        <w:t xml:space="preserve">were collected from affected orchards </w:t>
      </w:r>
      <w:r w:rsidR="00A60737">
        <w:rPr>
          <w:rFonts w:ascii="Arial" w:hAnsi="Arial" w:cs="Arial"/>
          <w:sz w:val="20"/>
          <w:szCs w:val="20"/>
        </w:rPr>
        <w:t>and s</w:t>
      </w:r>
      <w:r w:rsidR="00A60737" w:rsidRPr="00F755AE">
        <w:rPr>
          <w:rFonts w:ascii="Arial" w:hAnsi="Arial" w:cs="Arial"/>
          <w:sz w:val="20"/>
          <w:szCs w:val="20"/>
        </w:rPr>
        <w:t>everal fung</w:t>
      </w:r>
      <w:r w:rsidR="00A60737">
        <w:rPr>
          <w:rFonts w:ascii="Arial" w:hAnsi="Arial" w:cs="Arial"/>
          <w:sz w:val="20"/>
          <w:szCs w:val="20"/>
        </w:rPr>
        <w:t xml:space="preserve">i </w:t>
      </w:r>
      <w:r w:rsidR="00A60737" w:rsidRPr="00F755AE">
        <w:rPr>
          <w:rFonts w:ascii="Arial" w:hAnsi="Arial" w:cs="Arial"/>
          <w:sz w:val="20"/>
          <w:szCs w:val="20"/>
        </w:rPr>
        <w:t>were consistently isolated in 2019 and 2020, whereas</w:t>
      </w:r>
      <w:r w:rsidR="00A60737">
        <w:rPr>
          <w:rFonts w:ascii="Arial" w:hAnsi="Arial" w:cs="Arial"/>
          <w:sz w:val="20"/>
          <w:szCs w:val="20"/>
        </w:rPr>
        <w:t xml:space="preserve"> only</w:t>
      </w:r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A60737" w:rsidRPr="00F755AE">
        <w:rPr>
          <w:rFonts w:ascii="Arial" w:hAnsi="Arial" w:cs="Arial"/>
          <w:i/>
          <w:iCs/>
          <w:sz w:val="20"/>
          <w:szCs w:val="20"/>
        </w:rPr>
        <w:t>Colletotrichum</w:t>
      </w:r>
      <w:r w:rsidR="00A60737" w:rsidRPr="00F755AE">
        <w:rPr>
          <w:rFonts w:ascii="Arial" w:hAnsi="Arial" w:cs="Arial"/>
          <w:sz w:val="20"/>
          <w:szCs w:val="20"/>
        </w:rPr>
        <w:t xml:space="preserve"> spp</w:t>
      </w:r>
      <w:r w:rsidR="00A60737">
        <w:rPr>
          <w:rFonts w:ascii="Arial" w:hAnsi="Arial" w:cs="Arial"/>
          <w:sz w:val="20"/>
          <w:szCs w:val="20"/>
        </w:rPr>
        <w:t>.</w:t>
      </w:r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A60737">
        <w:rPr>
          <w:rFonts w:ascii="Arial" w:hAnsi="Arial" w:cs="Arial"/>
          <w:sz w:val="20"/>
          <w:szCs w:val="20"/>
        </w:rPr>
        <w:t xml:space="preserve">was </w:t>
      </w:r>
      <w:r w:rsidR="00A60737" w:rsidRPr="00F755AE">
        <w:rPr>
          <w:rFonts w:ascii="Arial" w:hAnsi="Arial" w:cs="Arial"/>
          <w:sz w:val="20"/>
          <w:szCs w:val="20"/>
        </w:rPr>
        <w:t xml:space="preserve">isolated </w:t>
      </w:r>
      <w:r w:rsidR="00A60737">
        <w:rPr>
          <w:rFonts w:ascii="Arial" w:hAnsi="Arial" w:cs="Arial"/>
          <w:sz w:val="20"/>
          <w:szCs w:val="20"/>
        </w:rPr>
        <w:t xml:space="preserve">from panicles showing early symptoms </w:t>
      </w:r>
      <w:r w:rsidR="00A60737" w:rsidRPr="00F755AE">
        <w:rPr>
          <w:rFonts w:ascii="Arial" w:hAnsi="Arial" w:cs="Arial"/>
          <w:sz w:val="20"/>
          <w:szCs w:val="20"/>
        </w:rPr>
        <w:t>in 2021.</w:t>
      </w:r>
      <w:r w:rsidR="00F55EE7">
        <w:rPr>
          <w:rFonts w:ascii="Arial" w:hAnsi="Arial" w:cs="Arial"/>
          <w:sz w:val="20"/>
          <w:szCs w:val="20"/>
        </w:rPr>
        <w:t xml:space="preserve"> Inoculation</w:t>
      </w:r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F55EE7">
        <w:rPr>
          <w:rFonts w:ascii="Arial" w:hAnsi="Arial" w:cs="Arial"/>
          <w:sz w:val="20"/>
          <w:szCs w:val="20"/>
        </w:rPr>
        <w:t>of</w:t>
      </w:r>
      <w:r w:rsidR="00A60737" w:rsidRPr="00F755AE">
        <w:rPr>
          <w:rFonts w:ascii="Arial" w:hAnsi="Arial" w:cs="Arial"/>
          <w:sz w:val="20"/>
          <w:szCs w:val="20"/>
        </w:rPr>
        <w:t xml:space="preserve"> detached</w:t>
      </w:r>
      <w:r w:rsidR="00A60737">
        <w:rPr>
          <w:rFonts w:ascii="Arial" w:hAnsi="Arial" w:cs="Arial"/>
          <w:sz w:val="20"/>
          <w:szCs w:val="20"/>
        </w:rPr>
        <w:t xml:space="preserve"> panicles </w:t>
      </w:r>
      <w:r w:rsidR="00A60737" w:rsidRPr="00F755AE">
        <w:rPr>
          <w:rFonts w:ascii="Arial" w:hAnsi="Arial" w:cs="Arial"/>
          <w:sz w:val="20"/>
          <w:szCs w:val="20"/>
        </w:rPr>
        <w:t xml:space="preserve">with </w:t>
      </w:r>
      <w:r w:rsidR="00A60737" w:rsidRPr="00F755AE">
        <w:rPr>
          <w:rFonts w:ascii="Arial" w:hAnsi="Arial" w:cs="Arial"/>
          <w:i/>
          <w:iCs/>
          <w:sz w:val="20"/>
          <w:szCs w:val="20"/>
        </w:rPr>
        <w:t>Alternaria</w:t>
      </w:r>
      <w:r w:rsidR="005801F3">
        <w:rPr>
          <w:rFonts w:ascii="Arial" w:hAnsi="Arial" w:cs="Arial"/>
          <w:i/>
          <w:iCs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>sp.</w:t>
      </w:r>
      <w:r w:rsidR="002B3217">
        <w:rPr>
          <w:rFonts w:ascii="Arial" w:hAnsi="Arial" w:cs="Arial"/>
          <w:sz w:val="20"/>
          <w:szCs w:val="20"/>
        </w:rPr>
        <w:t>,</w:t>
      </w:r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A60737" w:rsidRPr="00F755AE">
        <w:rPr>
          <w:rFonts w:ascii="Arial" w:hAnsi="Arial" w:cs="Arial"/>
          <w:i/>
          <w:iCs/>
          <w:sz w:val="20"/>
          <w:szCs w:val="20"/>
        </w:rPr>
        <w:t>Colletotrichum</w:t>
      </w:r>
      <w:r w:rsidR="005801F3">
        <w:rPr>
          <w:rFonts w:ascii="Arial" w:hAnsi="Arial" w:cs="Arial"/>
          <w:i/>
          <w:iCs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>sp.</w:t>
      </w:r>
      <w:r w:rsidR="00A60737" w:rsidRPr="00F755AE">
        <w:rPr>
          <w:rFonts w:ascii="Arial" w:hAnsi="Arial" w:cs="Arial"/>
          <w:sz w:val="20"/>
          <w:szCs w:val="20"/>
        </w:rPr>
        <w:t xml:space="preserve">, </w:t>
      </w:r>
      <w:r w:rsidR="00A60737" w:rsidRPr="00F755AE">
        <w:rPr>
          <w:rFonts w:ascii="Arial" w:hAnsi="Arial" w:cs="Arial"/>
          <w:i/>
          <w:iCs/>
          <w:sz w:val="20"/>
          <w:szCs w:val="20"/>
        </w:rPr>
        <w:t>Lasiodiplodia</w:t>
      </w:r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 xml:space="preserve">sp. </w:t>
      </w:r>
      <w:r w:rsidR="00A60737" w:rsidRPr="00F755A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A60737" w:rsidRPr="00F755AE">
        <w:rPr>
          <w:rFonts w:ascii="Arial" w:hAnsi="Arial" w:cs="Arial"/>
          <w:i/>
          <w:iCs/>
          <w:sz w:val="20"/>
          <w:szCs w:val="20"/>
        </w:rPr>
        <w:t>Neopestalotiopsis</w:t>
      </w:r>
      <w:proofErr w:type="spellEnd"/>
      <w:r w:rsidR="00A60737" w:rsidRPr="00F755AE">
        <w:rPr>
          <w:rFonts w:ascii="Arial" w:hAnsi="Arial" w:cs="Arial"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 xml:space="preserve">sp. </w:t>
      </w:r>
      <w:r w:rsidR="00A60737" w:rsidRPr="00F755AE">
        <w:rPr>
          <w:rFonts w:ascii="Arial" w:hAnsi="Arial" w:cs="Arial"/>
          <w:sz w:val="20"/>
          <w:szCs w:val="20"/>
        </w:rPr>
        <w:t>caused significant</w:t>
      </w:r>
      <w:r w:rsidR="00BE47C6">
        <w:rPr>
          <w:rFonts w:ascii="Arial" w:hAnsi="Arial" w:cs="Arial"/>
          <w:sz w:val="20"/>
          <w:szCs w:val="20"/>
        </w:rPr>
        <w:t xml:space="preserve">ly more </w:t>
      </w:r>
      <w:r w:rsidR="00A60737" w:rsidRPr="00F755AE">
        <w:rPr>
          <w:rFonts w:ascii="Arial" w:hAnsi="Arial" w:cs="Arial"/>
          <w:sz w:val="20"/>
          <w:szCs w:val="20"/>
        </w:rPr>
        <w:t xml:space="preserve">necrosis </w:t>
      </w:r>
      <w:r w:rsidR="00A60737">
        <w:rPr>
          <w:rFonts w:ascii="Arial" w:hAnsi="Arial" w:cs="Arial"/>
          <w:sz w:val="20"/>
          <w:szCs w:val="20"/>
        </w:rPr>
        <w:t xml:space="preserve">on flowers compared to the non-inoculated </w:t>
      </w:r>
      <w:r w:rsidR="00BE47C6">
        <w:rPr>
          <w:rFonts w:ascii="Arial" w:hAnsi="Arial" w:cs="Arial"/>
          <w:sz w:val="20"/>
          <w:szCs w:val="20"/>
        </w:rPr>
        <w:t>panicles</w:t>
      </w:r>
      <w:r w:rsidR="00A60737">
        <w:rPr>
          <w:rFonts w:ascii="Arial" w:hAnsi="Arial" w:cs="Arial"/>
          <w:sz w:val="20"/>
          <w:szCs w:val="20"/>
        </w:rPr>
        <w:t xml:space="preserve">. However, inoculation of intact panicles in the field with </w:t>
      </w:r>
      <w:r w:rsidR="00A60737" w:rsidRPr="00D76B5E">
        <w:rPr>
          <w:rFonts w:ascii="Arial" w:hAnsi="Arial" w:cs="Arial"/>
          <w:i/>
          <w:iCs/>
          <w:sz w:val="20"/>
          <w:szCs w:val="20"/>
        </w:rPr>
        <w:t>Colletotrichum</w:t>
      </w:r>
      <w:r w:rsidR="00A60737">
        <w:rPr>
          <w:rFonts w:ascii="Arial" w:hAnsi="Arial" w:cs="Arial"/>
          <w:sz w:val="20"/>
          <w:szCs w:val="20"/>
        </w:rPr>
        <w:t xml:space="preserve"> sp</w:t>
      </w:r>
      <w:r w:rsidR="00F55EE7">
        <w:rPr>
          <w:rFonts w:ascii="Arial" w:hAnsi="Arial" w:cs="Arial"/>
          <w:sz w:val="20"/>
          <w:szCs w:val="20"/>
        </w:rPr>
        <w:t>.</w:t>
      </w:r>
      <w:r w:rsidR="00A60737">
        <w:rPr>
          <w:rFonts w:ascii="Arial" w:hAnsi="Arial" w:cs="Arial"/>
          <w:sz w:val="20"/>
          <w:szCs w:val="20"/>
        </w:rPr>
        <w:t xml:space="preserve"> resulted </w:t>
      </w:r>
      <w:r w:rsidR="00F55EE7">
        <w:rPr>
          <w:rFonts w:ascii="Arial" w:hAnsi="Arial" w:cs="Arial"/>
          <w:sz w:val="20"/>
          <w:szCs w:val="20"/>
        </w:rPr>
        <w:t xml:space="preserve">in </w:t>
      </w:r>
      <w:r w:rsidR="00A60737">
        <w:rPr>
          <w:rFonts w:ascii="Arial" w:hAnsi="Arial" w:cs="Arial"/>
          <w:sz w:val="20"/>
          <w:szCs w:val="20"/>
        </w:rPr>
        <w:t>significant</w:t>
      </w:r>
      <w:r w:rsidR="00BE47C6">
        <w:rPr>
          <w:rFonts w:ascii="Arial" w:hAnsi="Arial" w:cs="Arial"/>
          <w:sz w:val="20"/>
          <w:szCs w:val="20"/>
        </w:rPr>
        <w:t xml:space="preserve">ly more </w:t>
      </w:r>
      <w:r w:rsidR="005801F3">
        <w:rPr>
          <w:rFonts w:ascii="Arial" w:hAnsi="Arial" w:cs="Arial"/>
          <w:sz w:val="20"/>
          <w:szCs w:val="20"/>
        </w:rPr>
        <w:t xml:space="preserve">severe </w:t>
      </w:r>
      <w:r w:rsidR="00A60737">
        <w:rPr>
          <w:rFonts w:ascii="Arial" w:hAnsi="Arial" w:cs="Arial"/>
          <w:sz w:val="20"/>
          <w:szCs w:val="20"/>
        </w:rPr>
        <w:t>necrosis</w:t>
      </w:r>
      <w:r w:rsidR="00F55EE7">
        <w:rPr>
          <w:rFonts w:ascii="Arial" w:hAnsi="Arial" w:cs="Arial"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 xml:space="preserve">of </w:t>
      </w:r>
      <w:r w:rsidR="00A60737">
        <w:rPr>
          <w:rFonts w:ascii="Arial" w:hAnsi="Arial" w:cs="Arial"/>
          <w:sz w:val="20"/>
          <w:szCs w:val="20"/>
        </w:rPr>
        <w:t>peduncles and rachises (</w:t>
      </w:r>
      <w:r w:rsidR="0065777E">
        <w:rPr>
          <w:rFonts w:ascii="Arial" w:hAnsi="Arial" w:cs="Arial"/>
          <w:sz w:val="20"/>
          <w:szCs w:val="20"/>
        </w:rPr>
        <w:t xml:space="preserve">severity </w:t>
      </w:r>
      <w:r w:rsidR="00A60737">
        <w:rPr>
          <w:rFonts w:ascii="Arial" w:hAnsi="Arial" w:cs="Arial"/>
          <w:sz w:val="20"/>
          <w:szCs w:val="20"/>
        </w:rPr>
        <w:t>25%</w:t>
      </w:r>
      <w:r w:rsidR="0065777E">
        <w:rPr>
          <w:rFonts w:ascii="Arial" w:hAnsi="Arial" w:cs="Arial"/>
          <w:sz w:val="20"/>
          <w:szCs w:val="20"/>
        </w:rPr>
        <w:t>)</w:t>
      </w:r>
      <w:r w:rsidR="00A60737">
        <w:rPr>
          <w:rFonts w:ascii="Arial" w:hAnsi="Arial" w:cs="Arial"/>
          <w:sz w:val="20"/>
          <w:szCs w:val="20"/>
        </w:rPr>
        <w:t xml:space="preserve"> compared to non-inoculated </w:t>
      </w:r>
      <w:r w:rsidR="00BE47C6">
        <w:rPr>
          <w:rFonts w:ascii="Arial" w:hAnsi="Arial" w:cs="Arial"/>
          <w:sz w:val="20"/>
          <w:szCs w:val="20"/>
        </w:rPr>
        <w:t xml:space="preserve">or those inoculated with </w:t>
      </w:r>
      <w:r w:rsidR="00BE47C6" w:rsidRPr="0065777E">
        <w:rPr>
          <w:rFonts w:ascii="Arial" w:hAnsi="Arial" w:cs="Arial"/>
          <w:i/>
          <w:iCs/>
          <w:sz w:val="20"/>
          <w:szCs w:val="20"/>
        </w:rPr>
        <w:t>Neofusicoccum</w:t>
      </w:r>
      <w:r w:rsidR="00BE47C6">
        <w:rPr>
          <w:rFonts w:ascii="Arial" w:hAnsi="Arial" w:cs="Arial"/>
          <w:sz w:val="20"/>
          <w:szCs w:val="20"/>
        </w:rPr>
        <w:t xml:space="preserve"> sp. or </w:t>
      </w:r>
      <w:proofErr w:type="spellStart"/>
      <w:r w:rsidR="00BE47C6" w:rsidRPr="0065777E">
        <w:rPr>
          <w:rFonts w:ascii="Arial" w:hAnsi="Arial" w:cs="Arial"/>
          <w:i/>
          <w:iCs/>
          <w:sz w:val="20"/>
          <w:szCs w:val="20"/>
        </w:rPr>
        <w:t>Neopestalotiopsis</w:t>
      </w:r>
      <w:proofErr w:type="spellEnd"/>
      <w:r w:rsidR="00BE47C6">
        <w:rPr>
          <w:rFonts w:ascii="Arial" w:hAnsi="Arial" w:cs="Arial"/>
          <w:sz w:val="20"/>
          <w:szCs w:val="20"/>
        </w:rPr>
        <w:t xml:space="preserve"> sp. </w:t>
      </w:r>
      <w:r w:rsidR="0065777E">
        <w:rPr>
          <w:rFonts w:ascii="Arial" w:hAnsi="Arial" w:cs="Arial"/>
          <w:sz w:val="20"/>
          <w:szCs w:val="20"/>
        </w:rPr>
        <w:t xml:space="preserve">(severity 4-6%). </w:t>
      </w:r>
      <w:r w:rsidR="00A60737">
        <w:rPr>
          <w:rFonts w:ascii="Arial" w:hAnsi="Arial" w:cs="Arial"/>
          <w:sz w:val="20"/>
          <w:szCs w:val="20"/>
        </w:rPr>
        <w:t xml:space="preserve">Further extensive field pathogenicity </w:t>
      </w:r>
      <w:r w:rsidR="005801F3">
        <w:rPr>
          <w:rFonts w:ascii="Arial" w:hAnsi="Arial" w:cs="Arial"/>
          <w:sz w:val="20"/>
          <w:szCs w:val="20"/>
        </w:rPr>
        <w:t>testing</w:t>
      </w:r>
      <w:r w:rsidR="00A60737">
        <w:rPr>
          <w:rFonts w:ascii="Arial" w:hAnsi="Arial" w:cs="Arial"/>
          <w:sz w:val="20"/>
          <w:szCs w:val="20"/>
        </w:rPr>
        <w:t xml:space="preserve"> </w:t>
      </w:r>
      <w:r w:rsidR="005801F3">
        <w:rPr>
          <w:rFonts w:ascii="Arial" w:hAnsi="Arial" w:cs="Arial"/>
          <w:sz w:val="20"/>
          <w:szCs w:val="20"/>
        </w:rPr>
        <w:t>is</w:t>
      </w:r>
      <w:r w:rsidR="00A60737">
        <w:rPr>
          <w:rFonts w:ascii="Arial" w:hAnsi="Arial" w:cs="Arial"/>
          <w:sz w:val="20"/>
          <w:szCs w:val="20"/>
        </w:rPr>
        <w:t xml:space="preserve"> currently in progress with</w:t>
      </w:r>
      <w:r w:rsidR="00847804">
        <w:rPr>
          <w:rFonts w:ascii="Arial" w:hAnsi="Arial" w:cs="Arial"/>
          <w:sz w:val="20"/>
          <w:szCs w:val="20"/>
        </w:rPr>
        <w:t xml:space="preserve"> </w:t>
      </w:r>
      <w:r w:rsidR="00AF0995">
        <w:rPr>
          <w:rFonts w:ascii="Arial" w:hAnsi="Arial" w:cs="Arial"/>
          <w:sz w:val="20"/>
          <w:szCs w:val="20"/>
        </w:rPr>
        <w:t xml:space="preserve">3 varieties and </w:t>
      </w:r>
      <w:r w:rsidR="00A60737">
        <w:rPr>
          <w:rFonts w:ascii="Arial" w:hAnsi="Arial" w:cs="Arial"/>
          <w:sz w:val="20"/>
          <w:szCs w:val="20"/>
        </w:rPr>
        <w:t>11 fungal isolates</w:t>
      </w:r>
      <w:r w:rsidR="00F55EE7">
        <w:rPr>
          <w:rFonts w:ascii="Arial" w:hAnsi="Arial" w:cs="Arial"/>
          <w:sz w:val="20"/>
          <w:szCs w:val="20"/>
        </w:rPr>
        <w:t>,</w:t>
      </w:r>
      <w:r w:rsidR="00A60737">
        <w:rPr>
          <w:rFonts w:ascii="Arial" w:hAnsi="Arial" w:cs="Arial"/>
          <w:sz w:val="20"/>
          <w:szCs w:val="20"/>
        </w:rPr>
        <w:t xml:space="preserve"> including </w:t>
      </w:r>
      <w:r w:rsidR="00F55EE7">
        <w:rPr>
          <w:rFonts w:ascii="Arial" w:hAnsi="Arial" w:cs="Arial"/>
          <w:sz w:val="20"/>
          <w:szCs w:val="20"/>
        </w:rPr>
        <w:t xml:space="preserve">those </w:t>
      </w:r>
      <w:r w:rsidR="00A60737">
        <w:rPr>
          <w:rFonts w:ascii="Arial" w:hAnsi="Arial" w:cs="Arial"/>
          <w:sz w:val="20"/>
          <w:szCs w:val="20"/>
        </w:rPr>
        <w:t xml:space="preserve">frequently isolated from symptomatic panicles and common avocado </w:t>
      </w:r>
      <w:r w:rsidR="00F55EE7">
        <w:rPr>
          <w:rFonts w:ascii="Arial" w:hAnsi="Arial" w:cs="Arial"/>
          <w:sz w:val="20"/>
          <w:szCs w:val="20"/>
        </w:rPr>
        <w:t xml:space="preserve">fruit </w:t>
      </w:r>
      <w:r w:rsidR="00A60737">
        <w:rPr>
          <w:rFonts w:ascii="Arial" w:hAnsi="Arial" w:cs="Arial"/>
          <w:sz w:val="20"/>
          <w:szCs w:val="20"/>
        </w:rPr>
        <w:t>pathogens</w:t>
      </w:r>
      <w:r w:rsidR="00F55EE7">
        <w:rPr>
          <w:rFonts w:ascii="Arial" w:hAnsi="Arial" w:cs="Arial"/>
          <w:sz w:val="20"/>
          <w:szCs w:val="20"/>
        </w:rPr>
        <w:t>.</w:t>
      </w:r>
      <w:r w:rsidR="008A0009">
        <w:rPr>
          <w:rFonts w:ascii="Arial" w:hAnsi="Arial" w:cs="Arial"/>
          <w:sz w:val="20"/>
          <w:szCs w:val="20"/>
        </w:rPr>
        <w:t xml:space="preserve"> </w:t>
      </w:r>
    </w:p>
    <w:p w14:paraId="43C24CE0" w14:textId="128C805B" w:rsidR="00D52D69" w:rsidRDefault="00D52D69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4BD831A" w14:textId="6A29465F" w:rsidR="008B718E" w:rsidRDefault="00573DF7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847804">
        <w:rPr>
          <w:rFonts w:ascii="Arial" w:hAnsi="Arial" w:cs="Arial"/>
          <w:b/>
          <w:bCs/>
          <w:sz w:val="20"/>
          <w:szCs w:val="20"/>
        </w:rPr>
        <w:t>Key words</w:t>
      </w:r>
      <w:r w:rsidR="00847804">
        <w:rPr>
          <w:rFonts w:ascii="Arial" w:hAnsi="Arial" w:cs="Arial"/>
          <w:sz w:val="20"/>
          <w:szCs w:val="20"/>
        </w:rPr>
        <w:t>: p</w:t>
      </w:r>
      <w:r w:rsidRPr="002D4644">
        <w:rPr>
          <w:rFonts w:ascii="Arial" w:hAnsi="Arial" w:cs="Arial"/>
          <w:sz w:val="20"/>
          <w:szCs w:val="20"/>
        </w:rPr>
        <w:t>athogenicity test</w:t>
      </w:r>
      <w:r>
        <w:rPr>
          <w:rFonts w:ascii="Arial" w:hAnsi="Arial" w:cs="Arial"/>
          <w:sz w:val="20"/>
          <w:szCs w:val="20"/>
        </w:rPr>
        <w:t>,</w:t>
      </w:r>
      <w:r w:rsidRPr="002D4644">
        <w:rPr>
          <w:rFonts w:ascii="Arial" w:hAnsi="Arial" w:cs="Arial"/>
          <w:sz w:val="20"/>
          <w:szCs w:val="20"/>
        </w:rPr>
        <w:t xml:space="preserve"> </w:t>
      </w:r>
      <w:r w:rsidRPr="00F84A3D">
        <w:rPr>
          <w:rFonts w:ascii="Arial" w:hAnsi="Arial" w:cs="Arial"/>
          <w:i/>
          <w:iCs/>
          <w:sz w:val="20"/>
          <w:szCs w:val="20"/>
        </w:rPr>
        <w:t>Colletotrichum</w:t>
      </w:r>
      <w:r w:rsidRPr="002D4644">
        <w:rPr>
          <w:rFonts w:ascii="Arial" w:hAnsi="Arial" w:cs="Arial"/>
          <w:sz w:val="20"/>
          <w:szCs w:val="20"/>
        </w:rPr>
        <w:t xml:space="preserve"> sp</w:t>
      </w:r>
      <w:r w:rsidR="00E746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="00FC1520">
        <w:rPr>
          <w:rFonts w:ascii="Arial" w:hAnsi="Arial" w:cs="Arial"/>
          <w:sz w:val="20"/>
          <w:szCs w:val="20"/>
        </w:rPr>
        <w:t xml:space="preserve">avocado </w:t>
      </w:r>
      <w:r w:rsidR="00F4506C" w:rsidRPr="00F4506C">
        <w:rPr>
          <w:rFonts w:ascii="Arial" w:hAnsi="Arial" w:cs="Arial"/>
          <w:sz w:val="20"/>
          <w:szCs w:val="20"/>
        </w:rPr>
        <w:t>flower disease</w:t>
      </w:r>
    </w:p>
    <w:p w14:paraId="471355B7" w14:textId="4BCC3269" w:rsidR="009C17FD" w:rsidRDefault="009C17FD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36E2D492" w14:textId="77777777" w:rsidR="00114B5D" w:rsidRPr="00852298" w:rsidRDefault="00114B5D" w:rsidP="00114B5D">
      <w:pPr>
        <w:pStyle w:val="elementtoproof"/>
        <w:shd w:val="clear" w:color="auto" w:fill="FFFFFF"/>
        <w:spacing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Investigación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hongos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asociados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con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el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tizón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de la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panícula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y la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muerte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regresiva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en</w:t>
      </w:r>
      <w:proofErr w:type="spellEnd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52298">
        <w:rPr>
          <w:rFonts w:ascii="Arial" w:hAnsi="Arial" w:cs="Arial"/>
          <w:b/>
          <w:bCs/>
          <w:color w:val="000000"/>
          <w:sz w:val="22"/>
          <w:szCs w:val="22"/>
        </w:rPr>
        <w:t>aguacate</w:t>
      </w:r>
      <w:proofErr w:type="spellEnd"/>
    </w:p>
    <w:p w14:paraId="56193109" w14:textId="2490A4DC" w:rsidR="00114B5D" w:rsidRPr="009623CF" w:rsidRDefault="00114B5D" w:rsidP="00114B5D">
      <w:pPr>
        <w:spacing w:after="120" w:line="240" w:lineRule="exact"/>
        <w:jc w:val="both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  <w:i/>
          <w:iCs/>
          <w:u w:val="single"/>
        </w:rPr>
        <w:t>1</w:t>
      </w:r>
      <w:r w:rsidRPr="009623CF">
        <w:rPr>
          <w:rFonts w:ascii="Arial" w:hAnsi="Arial" w:cs="Arial"/>
          <w:i/>
          <w:iCs/>
          <w:u w:val="single"/>
        </w:rPr>
        <w:t>Prabhakaran</w:t>
      </w:r>
      <w:r>
        <w:rPr>
          <w:rFonts w:ascii="Arial" w:hAnsi="Arial" w:cs="Arial"/>
          <w:i/>
          <w:iCs/>
          <w:u w:val="single"/>
        </w:rPr>
        <w:t xml:space="preserve"> A D</w:t>
      </w:r>
      <w:r w:rsidRPr="00D52D69">
        <w:rPr>
          <w:rFonts w:ascii="Arial" w:hAnsi="Arial" w:cs="Arial"/>
          <w:i/>
          <w:iCs/>
        </w:rPr>
        <w:t>,</w:t>
      </w:r>
      <w:r w:rsidRPr="009623C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  <w:r w:rsidRPr="009623CF">
        <w:rPr>
          <w:rFonts w:ascii="Arial" w:hAnsi="Arial" w:cs="Arial"/>
          <w:i/>
          <w:iCs/>
        </w:rPr>
        <w:t>Hicke</w:t>
      </w:r>
      <w:r>
        <w:rPr>
          <w:rFonts w:ascii="Arial" w:hAnsi="Arial" w:cs="Arial"/>
          <w:i/>
          <w:iCs/>
        </w:rPr>
        <w:t>y M</w:t>
      </w:r>
      <w:r w:rsidRPr="009623C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1</w:t>
      </w:r>
      <w:r w:rsidRPr="009623CF">
        <w:rPr>
          <w:rFonts w:ascii="Arial" w:hAnsi="Arial" w:cs="Arial"/>
          <w:i/>
          <w:iCs/>
        </w:rPr>
        <w:t>Dann</w:t>
      </w:r>
      <w:r>
        <w:rPr>
          <w:rFonts w:ascii="Arial" w:hAnsi="Arial" w:cs="Arial"/>
          <w:i/>
          <w:iCs/>
        </w:rPr>
        <w:t xml:space="preserve"> E K</w:t>
      </w:r>
    </w:p>
    <w:p w14:paraId="4244F1AD" w14:textId="77777777" w:rsidR="007809BC" w:rsidRPr="007809BC" w:rsidRDefault="007809BC" w:rsidP="007809BC">
      <w:pPr>
        <w:spacing w:after="120" w:line="240" w:lineRule="exact"/>
        <w:jc w:val="both"/>
        <w:rPr>
          <w:rFonts w:ascii="Arial" w:hAnsi="Arial" w:cs="Arial"/>
        </w:rPr>
      </w:pPr>
      <w:r w:rsidRPr="007809BC">
        <w:rPr>
          <w:rFonts w:ascii="Arial" w:hAnsi="Arial" w:cs="Arial"/>
          <w:lang w:val="es-ES"/>
        </w:rPr>
        <w:t>1Universidad de Queensland, Brisbane, Australia</w:t>
      </w:r>
    </w:p>
    <w:p w14:paraId="73B6B351" w14:textId="639AE650" w:rsidR="009C17FD" w:rsidRDefault="009C17FD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4882851F" w14:textId="58DB1498" w:rsidR="00114B5D" w:rsidRDefault="00AF0995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F0995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AF0995">
        <w:rPr>
          <w:rFonts w:ascii="Arial" w:hAnsi="Arial" w:cs="Arial"/>
          <w:sz w:val="20"/>
          <w:szCs w:val="20"/>
        </w:rPr>
        <w:t>observó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una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muerte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regresiva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severa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muchos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huertos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AF0995">
        <w:rPr>
          <w:rFonts w:ascii="Arial" w:hAnsi="Arial" w:cs="Arial"/>
          <w:sz w:val="20"/>
          <w:szCs w:val="20"/>
        </w:rPr>
        <w:t>regiones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producción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F0995">
        <w:rPr>
          <w:rFonts w:ascii="Arial" w:hAnsi="Arial" w:cs="Arial"/>
          <w:sz w:val="20"/>
          <w:szCs w:val="20"/>
        </w:rPr>
        <w:t>este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Australia </w:t>
      </w:r>
      <w:proofErr w:type="spellStart"/>
      <w:r w:rsidRPr="00AF0995">
        <w:rPr>
          <w:rFonts w:ascii="Arial" w:hAnsi="Arial" w:cs="Arial"/>
          <w:sz w:val="20"/>
          <w:szCs w:val="20"/>
        </w:rPr>
        <w:t>durante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períodos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floración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F0995">
        <w:rPr>
          <w:rFonts w:ascii="Arial" w:hAnsi="Arial" w:cs="Arial"/>
          <w:sz w:val="20"/>
          <w:szCs w:val="20"/>
        </w:rPr>
        <w:t>fructificación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</w:t>
      </w:r>
      <w:r w:rsidR="001F0292">
        <w:rPr>
          <w:rFonts w:ascii="Arial" w:hAnsi="Arial" w:cs="Arial"/>
          <w:sz w:val="20"/>
          <w:szCs w:val="20"/>
        </w:rPr>
        <w:t>l</w:t>
      </w:r>
      <w:r w:rsidRPr="00AF0995">
        <w:rPr>
          <w:rFonts w:ascii="Arial" w:hAnsi="Arial" w:cs="Arial"/>
          <w:sz w:val="20"/>
          <w:szCs w:val="20"/>
        </w:rPr>
        <w:t xml:space="preserve"> 2019 y 2020. </w:t>
      </w:r>
      <w:proofErr w:type="spellStart"/>
      <w:r w:rsidRPr="00AF0995">
        <w:rPr>
          <w:rFonts w:ascii="Arial" w:hAnsi="Arial" w:cs="Arial"/>
          <w:sz w:val="20"/>
          <w:szCs w:val="20"/>
        </w:rPr>
        <w:t>Estas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regiones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habían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experimentado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condiciones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sequía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AF0995">
        <w:rPr>
          <w:rFonts w:ascii="Arial" w:hAnsi="Arial" w:cs="Arial"/>
          <w:sz w:val="20"/>
          <w:szCs w:val="20"/>
        </w:rPr>
        <w:t>floración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</w:t>
      </w:r>
      <w:r w:rsidR="001F0292">
        <w:rPr>
          <w:rFonts w:ascii="Arial" w:hAnsi="Arial" w:cs="Arial"/>
          <w:sz w:val="20"/>
          <w:szCs w:val="20"/>
        </w:rPr>
        <w:t>l</w:t>
      </w:r>
      <w:r w:rsidRPr="00AF0995">
        <w:rPr>
          <w:rFonts w:ascii="Arial" w:hAnsi="Arial" w:cs="Arial"/>
          <w:sz w:val="20"/>
          <w:szCs w:val="20"/>
        </w:rPr>
        <w:t xml:space="preserve"> 2019, lo que </w:t>
      </w:r>
      <w:proofErr w:type="spellStart"/>
      <w:r w:rsidRPr="00AF0995">
        <w:rPr>
          <w:rFonts w:ascii="Arial" w:hAnsi="Arial" w:cs="Arial"/>
          <w:sz w:val="20"/>
          <w:szCs w:val="20"/>
        </w:rPr>
        <w:t>inicialmente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sugería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una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causa </w:t>
      </w:r>
      <w:proofErr w:type="spellStart"/>
      <w:r w:rsidRPr="00AF0995">
        <w:rPr>
          <w:rFonts w:ascii="Arial" w:hAnsi="Arial" w:cs="Arial"/>
          <w:sz w:val="20"/>
          <w:szCs w:val="20"/>
        </w:rPr>
        <w:t>abiótica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y se </w:t>
      </w:r>
      <w:proofErr w:type="spellStart"/>
      <w:r w:rsidRPr="00AF0995">
        <w:rPr>
          <w:rFonts w:ascii="Arial" w:hAnsi="Arial" w:cs="Arial"/>
          <w:sz w:val="20"/>
          <w:szCs w:val="20"/>
        </w:rPr>
        <w:t>observó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síntomas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eran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más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graves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Hass y </w:t>
      </w:r>
      <w:proofErr w:type="spellStart"/>
      <w:r w:rsidRPr="00AF0995">
        <w:rPr>
          <w:rFonts w:ascii="Arial" w:hAnsi="Arial" w:cs="Arial"/>
          <w:sz w:val="20"/>
          <w:szCs w:val="20"/>
        </w:rPr>
        <w:t>Maluma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Shepard. Los </w:t>
      </w:r>
      <w:proofErr w:type="spellStart"/>
      <w:r w:rsidRPr="00AF0995">
        <w:rPr>
          <w:rFonts w:ascii="Arial" w:hAnsi="Arial" w:cs="Arial"/>
          <w:sz w:val="20"/>
          <w:szCs w:val="20"/>
        </w:rPr>
        <w:t>síntomas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incluyen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necrosis (</w:t>
      </w:r>
      <w:proofErr w:type="spellStart"/>
      <w:r w:rsidRPr="00AF0995">
        <w:rPr>
          <w:rFonts w:ascii="Arial" w:hAnsi="Arial" w:cs="Arial"/>
          <w:sz w:val="20"/>
          <w:szCs w:val="20"/>
        </w:rPr>
        <w:t>muerte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) de las </w:t>
      </w:r>
      <w:proofErr w:type="spellStart"/>
      <w:r w:rsidRPr="00AF0995">
        <w:rPr>
          <w:rFonts w:ascii="Arial" w:hAnsi="Arial" w:cs="Arial"/>
          <w:sz w:val="20"/>
          <w:szCs w:val="20"/>
        </w:rPr>
        <w:t>flores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995">
        <w:rPr>
          <w:rFonts w:ascii="Arial" w:hAnsi="Arial" w:cs="Arial"/>
          <w:sz w:val="20"/>
          <w:szCs w:val="20"/>
        </w:rPr>
        <w:t>pedúnculo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F0995">
        <w:rPr>
          <w:rFonts w:ascii="Arial" w:hAnsi="Arial" w:cs="Arial"/>
          <w:sz w:val="20"/>
          <w:szCs w:val="20"/>
        </w:rPr>
        <w:t>raquis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995">
        <w:rPr>
          <w:rFonts w:ascii="Arial" w:hAnsi="Arial" w:cs="Arial"/>
          <w:sz w:val="20"/>
          <w:szCs w:val="20"/>
        </w:rPr>
        <w:t>marchitamiento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F0995">
        <w:rPr>
          <w:rFonts w:ascii="Arial" w:hAnsi="Arial" w:cs="Arial"/>
          <w:sz w:val="20"/>
          <w:szCs w:val="20"/>
        </w:rPr>
        <w:t>muerte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regresiva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toda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F0995">
        <w:rPr>
          <w:rFonts w:ascii="Arial" w:hAnsi="Arial" w:cs="Arial"/>
          <w:sz w:val="20"/>
          <w:szCs w:val="20"/>
        </w:rPr>
        <w:t>inflorescencia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995">
        <w:rPr>
          <w:rFonts w:ascii="Arial" w:hAnsi="Arial" w:cs="Arial"/>
          <w:sz w:val="20"/>
          <w:szCs w:val="20"/>
        </w:rPr>
        <w:t>incluidos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pequeños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frutos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995">
        <w:rPr>
          <w:rFonts w:ascii="Arial" w:hAnsi="Arial" w:cs="Arial"/>
          <w:sz w:val="20"/>
          <w:szCs w:val="20"/>
        </w:rPr>
        <w:t>dentro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las 4 a 6 </w:t>
      </w:r>
      <w:proofErr w:type="spellStart"/>
      <w:r w:rsidRPr="00AF0995">
        <w:rPr>
          <w:rFonts w:ascii="Arial" w:hAnsi="Arial" w:cs="Arial"/>
          <w:sz w:val="20"/>
          <w:szCs w:val="20"/>
        </w:rPr>
        <w:t>semanas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posteriores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AF0995">
        <w:rPr>
          <w:rFonts w:ascii="Arial" w:hAnsi="Arial" w:cs="Arial"/>
          <w:sz w:val="20"/>
          <w:szCs w:val="20"/>
        </w:rPr>
        <w:t>floración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máxima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. Este </w:t>
      </w:r>
      <w:proofErr w:type="spellStart"/>
      <w:r w:rsidRPr="00AF0995">
        <w:rPr>
          <w:rFonts w:ascii="Arial" w:hAnsi="Arial" w:cs="Arial"/>
          <w:sz w:val="20"/>
          <w:szCs w:val="20"/>
        </w:rPr>
        <w:t>estudio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tiene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como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objetivo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determinar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si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hongos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están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asociados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AF0995">
        <w:rPr>
          <w:rFonts w:ascii="Arial" w:hAnsi="Arial" w:cs="Arial"/>
          <w:sz w:val="20"/>
          <w:szCs w:val="20"/>
        </w:rPr>
        <w:t>el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tizón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AF0995">
        <w:rPr>
          <w:rFonts w:ascii="Arial" w:hAnsi="Arial" w:cs="Arial"/>
          <w:sz w:val="20"/>
          <w:szCs w:val="20"/>
        </w:rPr>
        <w:t>panícula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con </w:t>
      </w:r>
      <w:proofErr w:type="spellStart"/>
      <w:r w:rsidRPr="00AF0995">
        <w:rPr>
          <w:rFonts w:ascii="Arial" w:hAnsi="Arial" w:cs="Arial"/>
          <w:sz w:val="20"/>
          <w:szCs w:val="20"/>
        </w:rPr>
        <w:t>el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fin de </w:t>
      </w:r>
      <w:proofErr w:type="spellStart"/>
      <w:r w:rsidRPr="00AF0995">
        <w:rPr>
          <w:rFonts w:ascii="Arial" w:hAnsi="Arial" w:cs="Arial"/>
          <w:sz w:val="20"/>
          <w:szCs w:val="20"/>
        </w:rPr>
        <w:t>desarrollar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una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estrategia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manejo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adecuada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AF0995">
        <w:rPr>
          <w:rFonts w:ascii="Arial" w:hAnsi="Arial" w:cs="Arial"/>
          <w:sz w:val="20"/>
          <w:szCs w:val="20"/>
        </w:rPr>
        <w:t>recolectaron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sintomáticas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huertos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afectados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AF0995">
        <w:rPr>
          <w:rFonts w:ascii="Arial" w:hAnsi="Arial" w:cs="Arial"/>
          <w:sz w:val="20"/>
          <w:szCs w:val="20"/>
        </w:rPr>
        <w:t>aislaron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varios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hongos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manera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constante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2019 y 2020, </w:t>
      </w:r>
      <w:proofErr w:type="spellStart"/>
      <w:r w:rsidRPr="00AF0995">
        <w:rPr>
          <w:rFonts w:ascii="Arial" w:hAnsi="Arial" w:cs="Arial"/>
          <w:sz w:val="20"/>
          <w:szCs w:val="20"/>
        </w:rPr>
        <w:t>mientras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que solo </w:t>
      </w:r>
      <w:r w:rsidRPr="00AF0995">
        <w:rPr>
          <w:rFonts w:ascii="Arial" w:hAnsi="Arial" w:cs="Arial"/>
          <w:i/>
          <w:iCs/>
          <w:sz w:val="20"/>
          <w:szCs w:val="20"/>
        </w:rPr>
        <w:t>Colletotrichum</w:t>
      </w:r>
      <w:r w:rsidRPr="00AF0995">
        <w:rPr>
          <w:rFonts w:ascii="Arial" w:hAnsi="Arial" w:cs="Arial"/>
          <w:sz w:val="20"/>
          <w:szCs w:val="20"/>
        </w:rPr>
        <w:t xml:space="preserve"> spp. </w:t>
      </w:r>
      <w:proofErr w:type="spellStart"/>
      <w:r w:rsidRPr="00AF0995">
        <w:rPr>
          <w:rFonts w:ascii="Arial" w:hAnsi="Arial" w:cs="Arial"/>
          <w:sz w:val="20"/>
          <w:szCs w:val="20"/>
        </w:rPr>
        <w:t>fue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aislado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F0995">
        <w:rPr>
          <w:rFonts w:ascii="Arial" w:hAnsi="Arial" w:cs="Arial"/>
          <w:sz w:val="20"/>
          <w:szCs w:val="20"/>
        </w:rPr>
        <w:t>mostraron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síntomas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tempranos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2021. La </w:t>
      </w:r>
      <w:proofErr w:type="spellStart"/>
      <w:r w:rsidRPr="00AF0995">
        <w:rPr>
          <w:rFonts w:ascii="Arial" w:hAnsi="Arial" w:cs="Arial"/>
          <w:sz w:val="20"/>
          <w:szCs w:val="20"/>
        </w:rPr>
        <w:t>inoculación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desprendidas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</w:t>
      </w:r>
      <w:r w:rsidRPr="00AF0995">
        <w:rPr>
          <w:rFonts w:ascii="Arial" w:hAnsi="Arial" w:cs="Arial"/>
          <w:i/>
          <w:iCs/>
          <w:sz w:val="20"/>
          <w:szCs w:val="20"/>
        </w:rPr>
        <w:t>Alternaria</w:t>
      </w:r>
      <w:r w:rsidRPr="00AF0995">
        <w:rPr>
          <w:rFonts w:ascii="Arial" w:hAnsi="Arial" w:cs="Arial"/>
          <w:sz w:val="20"/>
          <w:szCs w:val="20"/>
        </w:rPr>
        <w:t xml:space="preserve"> sp., </w:t>
      </w:r>
      <w:r w:rsidRPr="00AF0995">
        <w:rPr>
          <w:rFonts w:ascii="Arial" w:hAnsi="Arial" w:cs="Arial"/>
          <w:i/>
          <w:iCs/>
          <w:sz w:val="20"/>
          <w:szCs w:val="20"/>
        </w:rPr>
        <w:t>Colletotrichum</w:t>
      </w:r>
      <w:r w:rsidRPr="00AF0995">
        <w:rPr>
          <w:rFonts w:ascii="Arial" w:hAnsi="Arial" w:cs="Arial"/>
          <w:sz w:val="20"/>
          <w:szCs w:val="20"/>
        </w:rPr>
        <w:t xml:space="preserve"> sp., </w:t>
      </w:r>
      <w:r w:rsidRPr="00AF0995">
        <w:rPr>
          <w:rFonts w:ascii="Arial" w:hAnsi="Arial" w:cs="Arial"/>
          <w:i/>
          <w:iCs/>
          <w:sz w:val="20"/>
          <w:szCs w:val="20"/>
        </w:rPr>
        <w:t>Lasiodiplodia</w:t>
      </w:r>
      <w:r w:rsidRPr="00AF0995">
        <w:rPr>
          <w:rFonts w:ascii="Arial" w:hAnsi="Arial" w:cs="Arial"/>
          <w:sz w:val="20"/>
          <w:szCs w:val="20"/>
        </w:rPr>
        <w:t xml:space="preserve"> sp. y </w:t>
      </w:r>
      <w:proofErr w:type="spellStart"/>
      <w:r w:rsidRPr="00AF0995">
        <w:rPr>
          <w:rFonts w:ascii="Arial" w:hAnsi="Arial" w:cs="Arial"/>
          <w:i/>
          <w:iCs/>
          <w:sz w:val="20"/>
          <w:szCs w:val="20"/>
        </w:rPr>
        <w:t>Neopestalotiopsis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AF0995">
        <w:rPr>
          <w:rFonts w:ascii="Arial" w:hAnsi="Arial" w:cs="Arial"/>
          <w:sz w:val="20"/>
          <w:szCs w:val="20"/>
        </w:rPr>
        <w:t>causó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significativamente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más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necrosis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AF0995">
        <w:rPr>
          <w:rFonts w:ascii="Arial" w:hAnsi="Arial" w:cs="Arial"/>
          <w:sz w:val="20"/>
          <w:szCs w:val="20"/>
        </w:rPr>
        <w:t>flores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comparación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las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F0995">
        <w:rPr>
          <w:rFonts w:ascii="Arial" w:hAnsi="Arial" w:cs="Arial"/>
          <w:sz w:val="20"/>
          <w:szCs w:val="20"/>
        </w:rPr>
        <w:t>inoculadas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. Sin embargo, la </w:t>
      </w:r>
      <w:proofErr w:type="spellStart"/>
      <w:r w:rsidRPr="00AF0995">
        <w:rPr>
          <w:rFonts w:ascii="Arial" w:hAnsi="Arial" w:cs="Arial"/>
          <w:sz w:val="20"/>
          <w:szCs w:val="20"/>
        </w:rPr>
        <w:t>inoculación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intactas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el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campo con </w:t>
      </w:r>
      <w:r w:rsidRPr="00AF0995">
        <w:rPr>
          <w:rFonts w:ascii="Arial" w:hAnsi="Arial" w:cs="Arial"/>
          <w:i/>
          <w:iCs/>
          <w:sz w:val="20"/>
          <w:szCs w:val="20"/>
        </w:rPr>
        <w:t>Colletotrichum</w:t>
      </w:r>
      <w:r w:rsidRPr="00AF0995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AF0995">
        <w:rPr>
          <w:rFonts w:ascii="Arial" w:hAnsi="Arial" w:cs="Arial"/>
          <w:sz w:val="20"/>
          <w:szCs w:val="20"/>
        </w:rPr>
        <w:t>resultó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una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necrosis </w:t>
      </w:r>
      <w:proofErr w:type="spellStart"/>
      <w:r w:rsidRPr="00AF0995">
        <w:rPr>
          <w:rFonts w:ascii="Arial" w:hAnsi="Arial" w:cs="Arial"/>
          <w:sz w:val="20"/>
          <w:szCs w:val="20"/>
        </w:rPr>
        <w:t>significativamente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más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severa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pedúnculos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F0995">
        <w:rPr>
          <w:rFonts w:ascii="Arial" w:hAnsi="Arial" w:cs="Arial"/>
          <w:sz w:val="20"/>
          <w:szCs w:val="20"/>
        </w:rPr>
        <w:t>raquis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0995">
        <w:rPr>
          <w:rFonts w:ascii="Arial" w:hAnsi="Arial" w:cs="Arial"/>
          <w:sz w:val="20"/>
          <w:szCs w:val="20"/>
        </w:rPr>
        <w:t>severidad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25%)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comparación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F0995">
        <w:rPr>
          <w:rFonts w:ascii="Arial" w:hAnsi="Arial" w:cs="Arial"/>
          <w:sz w:val="20"/>
          <w:szCs w:val="20"/>
        </w:rPr>
        <w:t>inoculados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inoculados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</w:t>
      </w:r>
      <w:r w:rsidRPr="00AF0995">
        <w:rPr>
          <w:rFonts w:ascii="Arial" w:hAnsi="Arial" w:cs="Arial"/>
          <w:i/>
          <w:iCs/>
          <w:sz w:val="20"/>
          <w:szCs w:val="20"/>
        </w:rPr>
        <w:t>Neofusicoccum</w:t>
      </w:r>
      <w:r w:rsidRPr="00AF0995">
        <w:rPr>
          <w:rFonts w:ascii="Arial" w:hAnsi="Arial" w:cs="Arial"/>
          <w:sz w:val="20"/>
          <w:szCs w:val="20"/>
        </w:rPr>
        <w:t xml:space="preserve"> sp. o </w:t>
      </w:r>
      <w:proofErr w:type="spellStart"/>
      <w:r w:rsidRPr="00AF0995">
        <w:rPr>
          <w:rFonts w:ascii="Arial" w:hAnsi="Arial" w:cs="Arial"/>
          <w:i/>
          <w:iCs/>
          <w:sz w:val="20"/>
          <w:szCs w:val="20"/>
        </w:rPr>
        <w:t>Neopestalotiopsis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sp. (</w:t>
      </w:r>
      <w:proofErr w:type="spellStart"/>
      <w:r w:rsidRPr="00AF0995">
        <w:rPr>
          <w:rFonts w:ascii="Arial" w:hAnsi="Arial" w:cs="Arial"/>
          <w:sz w:val="20"/>
          <w:szCs w:val="20"/>
        </w:rPr>
        <w:t>gravedad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4-6%). </w:t>
      </w:r>
      <w:proofErr w:type="spellStart"/>
      <w:r w:rsidRPr="00AF0995">
        <w:rPr>
          <w:rFonts w:ascii="Arial" w:hAnsi="Arial" w:cs="Arial"/>
          <w:sz w:val="20"/>
          <w:szCs w:val="20"/>
        </w:rPr>
        <w:t>Actualmente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F0995">
        <w:rPr>
          <w:rFonts w:ascii="Arial" w:hAnsi="Arial" w:cs="Arial"/>
          <w:sz w:val="20"/>
          <w:szCs w:val="20"/>
        </w:rPr>
        <w:t>están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realizando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más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pruebas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extensivas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patogenicidad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el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campo con 3 </w:t>
      </w:r>
      <w:proofErr w:type="spellStart"/>
      <w:r w:rsidRPr="00AF0995">
        <w:rPr>
          <w:rFonts w:ascii="Arial" w:hAnsi="Arial" w:cs="Arial"/>
          <w:sz w:val="20"/>
          <w:szCs w:val="20"/>
        </w:rPr>
        <w:t>variedades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11 </w:t>
      </w:r>
      <w:proofErr w:type="spellStart"/>
      <w:r w:rsidRPr="00AF0995">
        <w:rPr>
          <w:rFonts w:ascii="Arial" w:hAnsi="Arial" w:cs="Arial"/>
          <w:sz w:val="20"/>
          <w:szCs w:val="20"/>
        </w:rPr>
        <w:t>aislamientos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fúngicos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995">
        <w:rPr>
          <w:rFonts w:ascii="Arial" w:hAnsi="Arial" w:cs="Arial"/>
          <w:sz w:val="20"/>
          <w:szCs w:val="20"/>
        </w:rPr>
        <w:t>incluidos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los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AF0995">
        <w:rPr>
          <w:rFonts w:ascii="Arial" w:hAnsi="Arial" w:cs="Arial"/>
          <w:sz w:val="20"/>
          <w:szCs w:val="20"/>
        </w:rPr>
        <w:t>aíslan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AF0995">
        <w:rPr>
          <w:rFonts w:ascii="Arial" w:hAnsi="Arial" w:cs="Arial"/>
          <w:sz w:val="20"/>
          <w:szCs w:val="20"/>
        </w:rPr>
        <w:t>frecuencia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0995">
        <w:rPr>
          <w:rFonts w:ascii="Arial" w:hAnsi="Arial" w:cs="Arial"/>
          <w:sz w:val="20"/>
          <w:szCs w:val="20"/>
        </w:rPr>
        <w:t>panículas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sintomáticas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F0995">
        <w:rPr>
          <w:rFonts w:ascii="Arial" w:hAnsi="Arial" w:cs="Arial"/>
          <w:sz w:val="20"/>
          <w:szCs w:val="20"/>
        </w:rPr>
        <w:t>patógenos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995">
        <w:rPr>
          <w:rFonts w:ascii="Arial" w:hAnsi="Arial" w:cs="Arial"/>
          <w:sz w:val="20"/>
          <w:szCs w:val="20"/>
        </w:rPr>
        <w:t>comunes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F0995">
        <w:rPr>
          <w:rFonts w:ascii="Arial" w:hAnsi="Arial" w:cs="Arial"/>
          <w:sz w:val="20"/>
          <w:szCs w:val="20"/>
        </w:rPr>
        <w:t>fruto</w:t>
      </w:r>
      <w:proofErr w:type="spellEnd"/>
      <w:r w:rsidRPr="00AF099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F0995">
        <w:rPr>
          <w:rFonts w:ascii="Arial" w:hAnsi="Arial" w:cs="Arial"/>
          <w:sz w:val="20"/>
          <w:szCs w:val="20"/>
        </w:rPr>
        <w:t>aguacate</w:t>
      </w:r>
      <w:proofErr w:type="spellEnd"/>
      <w:r w:rsidRPr="00AF0995">
        <w:rPr>
          <w:rFonts w:ascii="Arial" w:hAnsi="Arial" w:cs="Arial"/>
          <w:sz w:val="20"/>
          <w:szCs w:val="20"/>
        </w:rPr>
        <w:t>.</w:t>
      </w:r>
    </w:p>
    <w:p w14:paraId="0E532E3C" w14:textId="0878FF0D" w:rsidR="00114B5D" w:rsidRDefault="00114B5D" w:rsidP="008478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24DD4FE8" w14:textId="040799C5" w:rsidR="00AF0995" w:rsidRPr="00AF0995" w:rsidRDefault="00AF0995" w:rsidP="00847804">
      <w:pPr>
        <w:spacing w:after="120" w:line="240" w:lineRule="exact"/>
        <w:jc w:val="both"/>
        <w:rPr>
          <w:rFonts w:ascii="Arial" w:eastAsia="Arial" w:hAnsi="Arial" w:cs="Arial"/>
          <w:bCs/>
          <w:sz w:val="20"/>
          <w:szCs w:val="20"/>
        </w:rPr>
      </w:pPr>
      <w:r w:rsidRPr="00176512">
        <w:rPr>
          <w:rFonts w:ascii="Arial" w:eastAsia="Arial" w:hAnsi="Arial" w:cs="Arial"/>
          <w:b/>
          <w:sz w:val="20"/>
          <w:szCs w:val="20"/>
          <w:lang w:val="es-CL"/>
        </w:rPr>
        <w:t>Palabras clave</w:t>
      </w:r>
      <w:r w:rsidRPr="00AF0995">
        <w:rPr>
          <w:rFonts w:ascii="Arial" w:eastAsia="Arial" w:hAnsi="Arial" w:cs="Arial"/>
          <w:bCs/>
          <w:sz w:val="20"/>
          <w:szCs w:val="20"/>
          <w:lang w:val="es-CL"/>
        </w:rPr>
        <w:t xml:space="preserve">: </w:t>
      </w:r>
      <w:r w:rsidRPr="00AF0995">
        <w:rPr>
          <w:rFonts w:ascii="Arial" w:eastAsia="Arial" w:hAnsi="Arial" w:cs="Arial"/>
          <w:bCs/>
          <w:sz w:val="20"/>
          <w:szCs w:val="20"/>
          <w:lang w:val="es-ES"/>
        </w:rPr>
        <w:t xml:space="preserve">prueba de patogenicidad, </w:t>
      </w:r>
      <w:r w:rsidRPr="00AF0995">
        <w:rPr>
          <w:rFonts w:ascii="Arial" w:eastAsia="Arial" w:hAnsi="Arial" w:cs="Arial"/>
          <w:bCs/>
          <w:i/>
          <w:iCs/>
          <w:sz w:val="20"/>
          <w:szCs w:val="20"/>
          <w:lang w:val="es-ES"/>
        </w:rPr>
        <w:t>Colletotrichum</w:t>
      </w:r>
      <w:r w:rsidRPr="00AF0995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AF0995">
        <w:rPr>
          <w:rFonts w:ascii="Arial" w:eastAsia="Arial" w:hAnsi="Arial" w:cs="Arial"/>
          <w:bCs/>
          <w:sz w:val="20"/>
          <w:szCs w:val="20"/>
          <w:lang w:val="es-ES"/>
        </w:rPr>
        <w:t>sp</w:t>
      </w:r>
      <w:proofErr w:type="spellEnd"/>
      <w:r w:rsidRPr="00AF0995">
        <w:rPr>
          <w:rFonts w:ascii="Arial" w:eastAsia="Arial" w:hAnsi="Arial" w:cs="Arial"/>
          <w:bCs/>
          <w:sz w:val="20"/>
          <w:szCs w:val="20"/>
          <w:lang w:val="es-ES"/>
        </w:rPr>
        <w:t>., enfermedad de la flor del aguacate</w:t>
      </w:r>
    </w:p>
    <w:sectPr w:rsidR="00AF0995" w:rsidRPr="00AF0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2AC0" w14:textId="77777777" w:rsidR="00425BC3" w:rsidRDefault="00425BC3" w:rsidP="001324A2">
      <w:pPr>
        <w:spacing w:after="0" w:line="240" w:lineRule="auto"/>
      </w:pPr>
      <w:r>
        <w:separator/>
      </w:r>
    </w:p>
  </w:endnote>
  <w:endnote w:type="continuationSeparator" w:id="0">
    <w:p w14:paraId="21DD7E29" w14:textId="77777777" w:rsidR="00425BC3" w:rsidRDefault="00425BC3" w:rsidP="0013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FA98" w14:textId="77777777" w:rsidR="00425BC3" w:rsidRDefault="00425BC3" w:rsidP="001324A2">
      <w:pPr>
        <w:spacing w:after="0" w:line="240" w:lineRule="auto"/>
      </w:pPr>
      <w:r>
        <w:separator/>
      </w:r>
    </w:p>
  </w:footnote>
  <w:footnote w:type="continuationSeparator" w:id="0">
    <w:p w14:paraId="3409B1BB" w14:textId="77777777" w:rsidR="00425BC3" w:rsidRDefault="00425BC3" w:rsidP="0013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73"/>
    <w:rsid w:val="0000605D"/>
    <w:rsid w:val="00034B04"/>
    <w:rsid w:val="00057D62"/>
    <w:rsid w:val="00063B61"/>
    <w:rsid w:val="000677C7"/>
    <w:rsid w:val="00077876"/>
    <w:rsid w:val="00080B19"/>
    <w:rsid w:val="000C7DA6"/>
    <w:rsid w:val="000D567C"/>
    <w:rsid w:val="00114B5D"/>
    <w:rsid w:val="00115F63"/>
    <w:rsid w:val="001324A2"/>
    <w:rsid w:val="001C0C69"/>
    <w:rsid w:val="001F0292"/>
    <w:rsid w:val="001F6AD3"/>
    <w:rsid w:val="00254498"/>
    <w:rsid w:val="00283A70"/>
    <w:rsid w:val="00286C3B"/>
    <w:rsid w:val="002A68F4"/>
    <w:rsid w:val="002B3217"/>
    <w:rsid w:val="002E6D16"/>
    <w:rsid w:val="00311760"/>
    <w:rsid w:val="003221D9"/>
    <w:rsid w:val="003359DE"/>
    <w:rsid w:val="0035152D"/>
    <w:rsid w:val="0037234D"/>
    <w:rsid w:val="003B477A"/>
    <w:rsid w:val="00410319"/>
    <w:rsid w:val="00425BC3"/>
    <w:rsid w:val="004410C8"/>
    <w:rsid w:val="004532BF"/>
    <w:rsid w:val="00497312"/>
    <w:rsid w:val="004D1107"/>
    <w:rsid w:val="004E69BD"/>
    <w:rsid w:val="0054191C"/>
    <w:rsid w:val="00545A23"/>
    <w:rsid w:val="00563DB7"/>
    <w:rsid w:val="00573DF7"/>
    <w:rsid w:val="005801F3"/>
    <w:rsid w:val="00591B23"/>
    <w:rsid w:val="005958ED"/>
    <w:rsid w:val="00620C93"/>
    <w:rsid w:val="006479CC"/>
    <w:rsid w:val="0065777E"/>
    <w:rsid w:val="00660BC1"/>
    <w:rsid w:val="00674A52"/>
    <w:rsid w:val="00681C6D"/>
    <w:rsid w:val="006C460E"/>
    <w:rsid w:val="00722AAB"/>
    <w:rsid w:val="00757D73"/>
    <w:rsid w:val="00762160"/>
    <w:rsid w:val="007632B5"/>
    <w:rsid w:val="007718B9"/>
    <w:rsid w:val="007809BC"/>
    <w:rsid w:val="007E07EF"/>
    <w:rsid w:val="007E5AF7"/>
    <w:rsid w:val="00847804"/>
    <w:rsid w:val="00882351"/>
    <w:rsid w:val="008A0009"/>
    <w:rsid w:val="008A3F73"/>
    <w:rsid w:val="008B2DEF"/>
    <w:rsid w:val="008B718E"/>
    <w:rsid w:val="008C34EC"/>
    <w:rsid w:val="008C79D3"/>
    <w:rsid w:val="008E5E3F"/>
    <w:rsid w:val="009372F0"/>
    <w:rsid w:val="009623CF"/>
    <w:rsid w:val="00975305"/>
    <w:rsid w:val="00983C14"/>
    <w:rsid w:val="009C17FD"/>
    <w:rsid w:val="009E7323"/>
    <w:rsid w:val="009F4CB6"/>
    <w:rsid w:val="00A12B10"/>
    <w:rsid w:val="00A21DFE"/>
    <w:rsid w:val="00A47008"/>
    <w:rsid w:val="00A60737"/>
    <w:rsid w:val="00A66271"/>
    <w:rsid w:val="00A93CEA"/>
    <w:rsid w:val="00AA7070"/>
    <w:rsid w:val="00AC77E2"/>
    <w:rsid w:val="00AF0995"/>
    <w:rsid w:val="00B655F8"/>
    <w:rsid w:val="00BC3588"/>
    <w:rsid w:val="00BE47C6"/>
    <w:rsid w:val="00C615D2"/>
    <w:rsid w:val="00C63A2F"/>
    <w:rsid w:val="00C9171C"/>
    <w:rsid w:val="00CE43B6"/>
    <w:rsid w:val="00CF4166"/>
    <w:rsid w:val="00D41A33"/>
    <w:rsid w:val="00D47E67"/>
    <w:rsid w:val="00D52D69"/>
    <w:rsid w:val="00DA5630"/>
    <w:rsid w:val="00DB0AF2"/>
    <w:rsid w:val="00E2642D"/>
    <w:rsid w:val="00E34D94"/>
    <w:rsid w:val="00E65DC7"/>
    <w:rsid w:val="00E746D2"/>
    <w:rsid w:val="00E81CDB"/>
    <w:rsid w:val="00EB27B4"/>
    <w:rsid w:val="00EC4147"/>
    <w:rsid w:val="00EC7933"/>
    <w:rsid w:val="00F04295"/>
    <w:rsid w:val="00F35F16"/>
    <w:rsid w:val="00F4506C"/>
    <w:rsid w:val="00F55EE7"/>
    <w:rsid w:val="00F710AE"/>
    <w:rsid w:val="00F84A3D"/>
    <w:rsid w:val="00FC1520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B6D12"/>
  <w15:chartTrackingRefBased/>
  <w15:docId w15:val="{6A5CF4CE-70F8-43E2-9AD9-EF963BC3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B5D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114B5D"/>
  </w:style>
  <w:style w:type="paragraph" w:customStyle="1" w:styleId="elementtoproof">
    <w:name w:val="elementtoproof"/>
    <w:basedOn w:val="Normal"/>
    <w:rsid w:val="0011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 Prabhakaran</dc:creator>
  <cp:keywords/>
  <dc:description/>
  <cp:lastModifiedBy>Elizabeth Dann</cp:lastModifiedBy>
  <cp:revision>3</cp:revision>
  <dcterms:created xsi:type="dcterms:W3CDTF">2022-10-08T22:32:00Z</dcterms:created>
  <dcterms:modified xsi:type="dcterms:W3CDTF">2022-10-08T22:35:00Z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2022-10-03T06:17:03Z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900dc849-aa04-4c33-ac21-fc725e9fa9d6</vt:lpwstr>
  </property>
  <property fmtid="{D5CDD505-2E9C-101B-9397-08002B2CF9AE}" pid="8" name="MSIP_Label_0f488380-630a-4f55-a077-a19445e3f360_ContentBits">
    <vt:lpwstr>0</vt:lpwstr>
  </property>
</Properties>
</file>