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FA6" w14:textId="3E5E97CA" w:rsidR="002C379F" w:rsidRPr="000C1AFF" w:rsidRDefault="00A20949" w:rsidP="006E4EFD">
      <w:pPr>
        <w:autoSpaceDE w:val="0"/>
        <w:autoSpaceDN w:val="0"/>
        <w:adjustRightInd w:val="0"/>
        <w:spacing w:afterLines="120" w:after="288" w:line="240" w:lineRule="auto"/>
        <w:rPr>
          <w:rFonts w:ascii="Arial" w:hAnsi="Arial" w:cs="Arial"/>
          <w:b/>
          <w:bCs/>
          <w:lang w:eastAsia="en-US"/>
        </w:rPr>
      </w:pPr>
      <w:r w:rsidRPr="000C1AFF">
        <w:rPr>
          <w:rFonts w:ascii="Arial" w:hAnsi="Arial" w:cs="Arial"/>
          <w:b/>
          <w:bCs/>
        </w:rPr>
        <w:t>Biochemical</w:t>
      </w:r>
      <w:r w:rsidR="002C379F" w:rsidRPr="000C1AFF">
        <w:rPr>
          <w:rFonts w:ascii="Arial" w:hAnsi="Arial" w:cs="Arial"/>
          <w:b/>
          <w:bCs/>
        </w:rPr>
        <w:t xml:space="preserve"> </w:t>
      </w:r>
      <w:r w:rsidRPr="000C1AFF">
        <w:rPr>
          <w:rFonts w:ascii="Arial" w:hAnsi="Arial" w:cs="Arial"/>
          <w:b/>
          <w:bCs/>
        </w:rPr>
        <w:t>composition</w:t>
      </w:r>
      <w:r w:rsidR="002C379F" w:rsidRPr="000C1AFF">
        <w:rPr>
          <w:rFonts w:ascii="Arial" w:hAnsi="Arial" w:cs="Arial"/>
          <w:b/>
          <w:bCs/>
        </w:rPr>
        <w:t xml:space="preserve"> of </w:t>
      </w:r>
      <w:r w:rsidRPr="000C1AFF">
        <w:rPr>
          <w:rFonts w:ascii="Arial" w:hAnsi="Arial" w:cs="Arial"/>
          <w:b/>
          <w:bCs/>
        </w:rPr>
        <w:t xml:space="preserve">Madeira Island </w:t>
      </w:r>
      <w:r w:rsidR="002C379F" w:rsidRPr="000C1AFF">
        <w:rPr>
          <w:rFonts w:ascii="Arial" w:hAnsi="Arial" w:cs="Arial"/>
          <w:b/>
          <w:bCs/>
        </w:rPr>
        <w:t>avocado (</w:t>
      </w:r>
      <w:proofErr w:type="spellStart"/>
      <w:r w:rsidR="002C379F" w:rsidRPr="000C1AFF">
        <w:rPr>
          <w:rFonts w:ascii="Arial" w:hAnsi="Arial" w:cs="Arial"/>
          <w:b/>
          <w:bCs/>
          <w:i/>
          <w:iCs/>
        </w:rPr>
        <w:t>Persea</w:t>
      </w:r>
      <w:proofErr w:type="spellEnd"/>
      <w:r w:rsidR="002C379F" w:rsidRPr="000C1AFF">
        <w:rPr>
          <w:rFonts w:ascii="Arial" w:hAnsi="Arial" w:cs="Arial"/>
          <w:b/>
          <w:bCs/>
          <w:i/>
          <w:iCs/>
          <w:lang w:eastAsia="en-US"/>
        </w:rPr>
        <w:t xml:space="preserve"> </w:t>
      </w:r>
      <w:r w:rsidR="002C379F" w:rsidRPr="000C1AFF">
        <w:rPr>
          <w:rFonts w:ascii="Arial" w:hAnsi="Arial" w:cs="Arial"/>
          <w:b/>
          <w:bCs/>
          <w:i/>
          <w:iCs/>
        </w:rPr>
        <w:t xml:space="preserve">americana </w:t>
      </w:r>
      <w:r w:rsidR="002C379F" w:rsidRPr="000C1AFF">
        <w:rPr>
          <w:rFonts w:ascii="Arial" w:hAnsi="Arial" w:cs="Arial"/>
          <w:b/>
          <w:bCs/>
        </w:rPr>
        <w:t xml:space="preserve">Mill.) </w:t>
      </w:r>
      <w:r w:rsidRPr="000C1AFF">
        <w:rPr>
          <w:rFonts w:ascii="Arial" w:hAnsi="Arial" w:cs="Arial"/>
          <w:b/>
          <w:bCs/>
        </w:rPr>
        <w:t>and its by-products</w:t>
      </w:r>
    </w:p>
    <w:p w14:paraId="60D63D5B" w14:textId="4EE70FC5" w:rsidR="002C379F" w:rsidRPr="000C1AFF" w:rsidRDefault="002C379F" w:rsidP="000C1AFF">
      <w:pPr>
        <w:autoSpaceDE w:val="0"/>
        <w:autoSpaceDN w:val="0"/>
        <w:adjustRightInd w:val="0"/>
        <w:spacing w:afterLines="120" w:after="288" w:line="240" w:lineRule="auto"/>
        <w:rPr>
          <w:rFonts w:ascii="Arial" w:hAnsi="Arial" w:cs="Arial"/>
          <w:i/>
          <w:iCs/>
          <w:vertAlign w:val="superscript"/>
          <w:lang w:val="pt-PT" w:eastAsia="en-US"/>
        </w:rPr>
      </w:pPr>
      <w:r w:rsidRPr="000C1AFF">
        <w:rPr>
          <w:rFonts w:ascii="Arial" w:hAnsi="Arial" w:cs="Arial"/>
          <w:i/>
          <w:iCs/>
          <w:u w:val="single"/>
          <w:lang w:val="pt-PT"/>
        </w:rPr>
        <w:t>Gonçalves D</w:t>
      </w:r>
      <w:r w:rsidR="00B0588D" w:rsidRPr="000C1AFF">
        <w:rPr>
          <w:rFonts w:ascii="Arial" w:hAnsi="Arial" w:cs="Arial"/>
          <w:i/>
          <w:iCs/>
          <w:lang w:val="pt-PT"/>
        </w:rPr>
        <w:t>,</w:t>
      </w:r>
      <w:r w:rsidRPr="000C1AFF">
        <w:rPr>
          <w:rFonts w:ascii="Arial" w:hAnsi="Arial" w:cs="Arial"/>
          <w:i/>
          <w:iCs/>
          <w:vertAlign w:val="superscript"/>
          <w:lang w:val="pt-PT"/>
        </w:rPr>
        <w:t>1</w:t>
      </w:r>
      <w:r w:rsidR="00A20949" w:rsidRPr="000C1AFF">
        <w:rPr>
          <w:rFonts w:ascii="Arial" w:hAnsi="Arial" w:cs="Arial"/>
          <w:i/>
          <w:iCs/>
          <w:vertAlign w:val="superscript"/>
          <w:lang w:val="pt-PT"/>
        </w:rPr>
        <w:t>,</w:t>
      </w:r>
      <w:r w:rsidR="0072250D">
        <w:rPr>
          <w:rFonts w:ascii="Arial" w:hAnsi="Arial" w:cs="Arial"/>
          <w:i/>
          <w:iCs/>
          <w:vertAlign w:val="superscript"/>
          <w:lang w:val="pt-PT"/>
        </w:rPr>
        <w:t>2</w:t>
      </w:r>
      <w:r w:rsidRPr="000C1AFF">
        <w:rPr>
          <w:rFonts w:ascii="Arial" w:hAnsi="Arial" w:cs="Arial"/>
          <w:i/>
          <w:iCs/>
          <w:color w:val="000000"/>
          <w:szCs w:val="28"/>
          <w:vertAlign w:val="superscript"/>
          <w:lang w:val="pt-PT"/>
        </w:rPr>
        <w:t xml:space="preserve"> </w:t>
      </w:r>
      <w:r w:rsidRPr="000C1AFF">
        <w:rPr>
          <w:rFonts w:ascii="Arial" w:hAnsi="Arial" w:cs="Arial"/>
          <w:i/>
          <w:iCs/>
          <w:lang w:val="pt-PT"/>
        </w:rPr>
        <w:t>Gouveia C</w:t>
      </w:r>
      <w:r w:rsidRPr="000C1AFF">
        <w:rPr>
          <w:rFonts w:ascii="Arial" w:hAnsi="Arial" w:cs="Arial"/>
          <w:i/>
          <w:iCs/>
          <w:color w:val="000000"/>
          <w:szCs w:val="28"/>
          <w:lang w:val="pt-PT"/>
        </w:rPr>
        <w:t>SS,</w:t>
      </w:r>
      <w:r w:rsidRPr="000C1AFF">
        <w:rPr>
          <w:rFonts w:ascii="Arial" w:hAnsi="Arial" w:cs="Arial"/>
          <w:i/>
          <w:iCs/>
          <w:color w:val="000000"/>
          <w:szCs w:val="28"/>
          <w:vertAlign w:val="superscript"/>
          <w:lang w:val="pt-PT"/>
        </w:rPr>
        <w:t>1,3</w:t>
      </w:r>
      <w:r w:rsidR="0072250D">
        <w:rPr>
          <w:rFonts w:ascii="Arial" w:hAnsi="Arial" w:cs="Arial"/>
          <w:i/>
          <w:iCs/>
          <w:color w:val="000000"/>
          <w:szCs w:val="28"/>
          <w:vertAlign w:val="superscript"/>
          <w:lang w:val="pt-PT"/>
        </w:rPr>
        <w:t>,4</w:t>
      </w:r>
      <w:r w:rsidRPr="000C1AFF">
        <w:rPr>
          <w:rFonts w:ascii="Arial" w:hAnsi="Arial" w:cs="Arial"/>
          <w:i/>
          <w:iCs/>
          <w:color w:val="000000"/>
          <w:szCs w:val="28"/>
          <w:lang w:val="pt-PT"/>
        </w:rPr>
        <w:t xml:space="preserve"> </w:t>
      </w:r>
      <w:r w:rsidRPr="000C1AFF">
        <w:rPr>
          <w:rFonts w:ascii="Arial" w:hAnsi="Arial" w:cs="Arial"/>
          <w:i/>
          <w:iCs/>
          <w:lang w:val="pt-PT"/>
        </w:rPr>
        <w:t>Freitas G,</w:t>
      </w:r>
      <w:r w:rsidRPr="000C1AFF">
        <w:rPr>
          <w:rFonts w:ascii="Arial" w:hAnsi="Arial" w:cs="Arial"/>
          <w:i/>
          <w:iCs/>
          <w:vertAlign w:val="superscript"/>
          <w:lang w:val="pt-PT"/>
        </w:rPr>
        <w:t xml:space="preserve">1 </w:t>
      </w:r>
      <w:r w:rsidRPr="000C1AFF">
        <w:rPr>
          <w:rFonts w:ascii="Arial" w:hAnsi="Arial" w:cs="Arial"/>
          <w:i/>
          <w:iCs/>
          <w:lang w:val="pt-PT"/>
        </w:rPr>
        <w:t>Pinheiro</w:t>
      </w:r>
      <w:r w:rsidRPr="000C1AFF">
        <w:rPr>
          <w:rFonts w:ascii="Arial" w:hAnsi="Arial" w:cs="Arial"/>
          <w:i/>
          <w:iCs/>
          <w:lang w:val="pt-PT" w:eastAsia="en-US"/>
        </w:rPr>
        <w:t xml:space="preserve"> </w:t>
      </w:r>
      <w:r w:rsidRPr="000C1AFF">
        <w:rPr>
          <w:rFonts w:ascii="Arial" w:hAnsi="Arial" w:cs="Arial"/>
          <w:i/>
          <w:iCs/>
          <w:lang w:val="pt-PT"/>
        </w:rPr>
        <w:t>de Carvalho MÂA</w:t>
      </w:r>
      <w:r w:rsidR="00B0588D" w:rsidRPr="000C1AFF">
        <w:rPr>
          <w:rFonts w:ascii="Arial" w:hAnsi="Arial" w:cs="Arial"/>
          <w:i/>
          <w:iCs/>
          <w:vertAlign w:val="superscript"/>
          <w:lang w:val="pt-PT"/>
        </w:rPr>
        <w:t>1,</w:t>
      </w:r>
      <w:r w:rsidRPr="000C1AFF">
        <w:rPr>
          <w:rFonts w:ascii="Arial" w:hAnsi="Arial" w:cs="Arial"/>
          <w:i/>
          <w:iCs/>
          <w:vertAlign w:val="superscript"/>
          <w:lang w:val="pt-PT"/>
        </w:rPr>
        <w:t>3</w:t>
      </w:r>
      <w:r w:rsidR="0072250D">
        <w:rPr>
          <w:rFonts w:ascii="Arial" w:hAnsi="Arial" w:cs="Arial"/>
          <w:i/>
          <w:iCs/>
          <w:vertAlign w:val="superscript"/>
          <w:lang w:val="pt-PT"/>
        </w:rPr>
        <w:t>,4</w:t>
      </w:r>
    </w:p>
    <w:p w14:paraId="6AC86D54" w14:textId="6CD579D2" w:rsidR="002C379F" w:rsidRPr="006E4EFD" w:rsidRDefault="002C379F" w:rsidP="0072250D">
      <w:pPr>
        <w:spacing w:afterLines="120" w:after="288" w:line="240" w:lineRule="auto"/>
        <w:jc w:val="both"/>
        <w:rPr>
          <w:rFonts w:ascii="Arial" w:hAnsi="Arial" w:cs="Arial"/>
          <w:color w:val="000000"/>
        </w:rPr>
      </w:pPr>
      <w:r w:rsidRPr="006E4EFD">
        <w:rPr>
          <w:rFonts w:ascii="Arial" w:hAnsi="Arial" w:cs="Arial"/>
          <w:color w:val="000000"/>
          <w:vertAlign w:val="superscript"/>
        </w:rPr>
        <w:t>1</w:t>
      </w:r>
      <w:r w:rsidRPr="006E4EFD">
        <w:rPr>
          <w:rFonts w:ascii="Arial" w:hAnsi="Arial" w:cs="Arial"/>
          <w:color w:val="000000"/>
        </w:rPr>
        <w:t>ISOPlexis - Center for Sustainable Agriculture and Food Technology, University of Madeira, Portugal.</w:t>
      </w:r>
      <w:r w:rsidR="0072250D" w:rsidRPr="006E4EFD">
        <w:rPr>
          <w:rFonts w:ascii="Arial" w:hAnsi="Arial" w:cs="Arial"/>
          <w:color w:val="000000"/>
        </w:rPr>
        <w:t xml:space="preserve"> </w:t>
      </w:r>
      <w:r w:rsidR="0072250D" w:rsidRPr="006E4EFD">
        <w:rPr>
          <w:rFonts w:ascii="Arial" w:hAnsi="Arial" w:cs="Arial"/>
          <w:color w:val="000000"/>
          <w:vertAlign w:val="superscript"/>
        </w:rPr>
        <w:t>2</w:t>
      </w:r>
      <w:r w:rsidR="0072250D" w:rsidRPr="006E4EFD">
        <w:rPr>
          <w:rFonts w:ascii="Arial" w:hAnsi="Arial" w:cs="Arial"/>
          <w:color w:val="000000"/>
        </w:rPr>
        <w:t xml:space="preserve">Faculty of exact sciences and engineering, University of Madeira, Portugal. </w:t>
      </w:r>
      <w:r w:rsidR="0072250D" w:rsidRPr="006E4EFD">
        <w:rPr>
          <w:rFonts w:ascii="Arial" w:hAnsi="Arial" w:cs="Arial"/>
          <w:color w:val="000000"/>
          <w:vertAlign w:val="superscript"/>
        </w:rPr>
        <w:t>3</w:t>
      </w:r>
      <w:r w:rsidRPr="006E4EFD">
        <w:rPr>
          <w:rFonts w:ascii="Arial" w:hAnsi="Arial" w:cs="Arial"/>
          <w:color w:val="000000"/>
        </w:rPr>
        <w:t>Faculty of Life Sciences, University of Madeira, Portugal.</w:t>
      </w:r>
      <w:r w:rsidR="00A20949" w:rsidRPr="006E4EFD">
        <w:rPr>
          <w:rFonts w:ascii="Arial" w:hAnsi="Arial" w:cs="Arial"/>
          <w:color w:val="000000"/>
        </w:rPr>
        <w:t xml:space="preserve"> </w:t>
      </w:r>
      <w:r w:rsidR="0072250D" w:rsidRPr="006E4EFD">
        <w:rPr>
          <w:rFonts w:ascii="Arial" w:hAnsi="Arial" w:cs="Arial"/>
          <w:color w:val="000000"/>
          <w:vertAlign w:val="superscript"/>
        </w:rPr>
        <w:t>4</w:t>
      </w:r>
      <w:r w:rsidRPr="006E4EFD">
        <w:rPr>
          <w:rFonts w:ascii="Arial" w:hAnsi="Arial" w:cs="Arial"/>
          <w:color w:val="000000"/>
        </w:rPr>
        <w:t xml:space="preserve">CITAB - Research Center for the Research and Technology of </w:t>
      </w:r>
      <w:proofErr w:type="spellStart"/>
      <w:r w:rsidRPr="006E4EFD">
        <w:rPr>
          <w:rFonts w:ascii="Arial" w:hAnsi="Arial" w:cs="Arial"/>
          <w:color w:val="000000"/>
        </w:rPr>
        <w:t>Agro</w:t>
      </w:r>
      <w:proofErr w:type="spellEnd"/>
      <w:r w:rsidRPr="006E4EFD">
        <w:rPr>
          <w:rFonts w:ascii="Arial" w:hAnsi="Arial" w:cs="Arial"/>
          <w:color w:val="000000"/>
        </w:rPr>
        <w:t>-Environmental and Biological Sciences, Portugal.</w:t>
      </w:r>
      <w:r w:rsidR="00A20949" w:rsidRPr="006E4EFD">
        <w:rPr>
          <w:rFonts w:ascii="Arial" w:hAnsi="Arial" w:cs="Arial"/>
          <w:color w:val="000000"/>
        </w:rPr>
        <w:t xml:space="preserve"> </w:t>
      </w:r>
    </w:p>
    <w:p w14:paraId="4CE89AEC" w14:textId="0E0A3087" w:rsidR="00DB7E08" w:rsidRPr="000C1AFF" w:rsidRDefault="00DB7E08" w:rsidP="000C1AFF">
      <w:pPr>
        <w:spacing w:afterLines="120" w:after="288" w:line="240" w:lineRule="auto"/>
        <w:jc w:val="both"/>
        <w:rPr>
          <w:rFonts w:ascii="Arial" w:hAnsi="Arial" w:cs="Arial"/>
          <w:sz w:val="20"/>
          <w:szCs w:val="20"/>
        </w:rPr>
      </w:pPr>
      <w:r w:rsidRPr="000C1AFF">
        <w:rPr>
          <w:rFonts w:ascii="Arial" w:hAnsi="Arial" w:cs="Arial"/>
          <w:sz w:val="20"/>
          <w:szCs w:val="20"/>
        </w:rPr>
        <w:t xml:space="preserve">A morphological, nutritional, and biochemical study was carried out on the pulp, peel, and seed of five varieties of Portuguese avocados from Madeira Island (5 regional and 1 commercial). From 2020 to 2022, the fruits were harvested in two moments: at the optimal harvest point and 1 month after, with the fruit staying longer in the tree. The pulp and by-products were transformed into flour and were submitted to physicochemical (pH and titratable acidity), proximate (lipids, proteins, fibers, ash, glucose, and starch), and </w:t>
      </w:r>
      <w:proofErr w:type="spellStart"/>
      <w:r w:rsidRPr="000C1AFF">
        <w:rPr>
          <w:rFonts w:ascii="Arial" w:hAnsi="Arial" w:cs="Arial"/>
          <w:sz w:val="20"/>
          <w:szCs w:val="20"/>
        </w:rPr>
        <w:t>CIELab</w:t>
      </w:r>
      <w:proofErr w:type="spellEnd"/>
      <w:r w:rsidRPr="000C1AFF">
        <w:rPr>
          <w:rFonts w:ascii="Arial" w:hAnsi="Arial" w:cs="Arial"/>
          <w:sz w:val="20"/>
          <w:szCs w:val="20"/>
        </w:rPr>
        <w:t xml:space="preserve"> analysis. Some variations in the quality traits occurred in each cycle, primarily not significant. The most significant variation factor was the partial ripening in the avocado tree, leading to an increase in the lipidic fraction on average from 65% to 79%, increasing the mono and polyunsaturated fatty acids (MUFA and PUFA), and thus the quality of the pulp and by-products flours. The avocado harvest point and the flour transformation of the edible part (pulp) and by-products, can ensure the post-harvest quality for commercialization, thus increasing its economic valorization and bio</w:t>
      </w:r>
      <w:r w:rsidR="00205E2C" w:rsidRPr="000C1AFF">
        <w:rPr>
          <w:rFonts w:ascii="Arial" w:hAnsi="Arial" w:cs="Arial"/>
          <w:sz w:val="20"/>
          <w:szCs w:val="20"/>
        </w:rPr>
        <w:t>-</w:t>
      </w:r>
      <w:r w:rsidRPr="000C1AFF">
        <w:rPr>
          <w:rFonts w:ascii="Arial" w:hAnsi="Arial" w:cs="Arial"/>
          <w:sz w:val="20"/>
          <w:szCs w:val="20"/>
        </w:rPr>
        <w:t>sustainability, facilitating exportation and consumption without compromising the quality of this fruit.</w:t>
      </w:r>
    </w:p>
    <w:p w14:paraId="4466DFA0" w14:textId="6AC6038C" w:rsidR="0009297E" w:rsidRPr="000C1AFF" w:rsidRDefault="00664B4F" w:rsidP="000C1AFF">
      <w:pPr>
        <w:spacing w:afterLines="120" w:after="288" w:line="240" w:lineRule="auto"/>
        <w:jc w:val="both"/>
        <w:rPr>
          <w:rFonts w:ascii="Arial" w:eastAsia="Arial" w:hAnsi="Arial" w:cs="Arial"/>
          <w:sz w:val="20"/>
          <w:szCs w:val="20"/>
        </w:rPr>
      </w:pPr>
      <w:r w:rsidRPr="000C1AFF">
        <w:rPr>
          <w:rFonts w:ascii="Arial" w:eastAsia="Arial" w:hAnsi="Arial" w:cs="Arial"/>
          <w:b/>
          <w:sz w:val="20"/>
          <w:szCs w:val="20"/>
        </w:rPr>
        <w:t>Keywords</w:t>
      </w:r>
      <w:r w:rsidRPr="000C1AFF">
        <w:rPr>
          <w:rFonts w:ascii="Arial" w:eastAsia="Arial" w:hAnsi="Arial" w:cs="Arial"/>
          <w:sz w:val="20"/>
          <w:szCs w:val="20"/>
        </w:rPr>
        <w:t xml:space="preserve">: </w:t>
      </w:r>
      <w:r w:rsidR="00845F7F" w:rsidRPr="000C1AFF">
        <w:rPr>
          <w:rFonts w:ascii="Arial" w:eastAsia="Arial" w:hAnsi="Arial" w:cs="Arial"/>
          <w:sz w:val="20"/>
          <w:szCs w:val="20"/>
        </w:rPr>
        <w:t>fruit</w:t>
      </w:r>
      <w:r w:rsidR="00205E2C" w:rsidRPr="000C1AFF">
        <w:rPr>
          <w:rFonts w:ascii="Arial" w:eastAsia="Arial" w:hAnsi="Arial" w:cs="Arial"/>
          <w:sz w:val="20"/>
          <w:szCs w:val="20"/>
        </w:rPr>
        <w:t>s</w:t>
      </w:r>
      <w:r w:rsidR="00845F7F" w:rsidRPr="000C1AFF">
        <w:rPr>
          <w:rFonts w:ascii="Arial" w:eastAsia="Arial" w:hAnsi="Arial" w:cs="Arial"/>
          <w:sz w:val="20"/>
          <w:szCs w:val="20"/>
        </w:rPr>
        <w:t xml:space="preserve">, </w:t>
      </w:r>
      <w:r w:rsidR="00DB7E08" w:rsidRPr="000C1AFF">
        <w:rPr>
          <w:rFonts w:ascii="Arial" w:eastAsia="Arial" w:hAnsi="Arial" w:cs="Arial"/>
          <w:sz w:val="20"/>
          <w:szCs w:val="20"/>
        </w:rPr>
        <w:t xml:space="preserve">by-products, </w:t>
      </w:r>
      <w:proofErr w:type="spellStart"/>
      <w:r w:rsidR="00DB7E08" w:rsidRPr="000C1AFF">
        <w:rPr>
          <w:rFonts w:ascii="Arial" w:eastAsia="Arial" w:hAnsi="Arial" w:cs="Arial"/>
          <w:sz w:val="20"/>
          <w:szCs w:val="20"/>
        </w:rPr>
        <w:t>CIELab</w:t>
      </w:r>
      <w:proofErr w:type="spellEnd"/>
      <w:r w:rsidR="00DB7E08" w:rsidRPr="000C1AFF">
        <w:rPr>
          <w:rFonts w:ascii="Arial" w:eastAsia="Arial" w:hAnsi="Arial" w:cs="Arial"/>
          <w:sz w:val="20"/>
          <w:szCs w:val="20"/>
        </w:rPr>
        <w:t>, MUFA, PUFA, bio</w:t>
      </w:r>
      <w:r w:rsidR="00205E2C" w:rsidRPr="000C1AFF">
        <w:rPr>
          <w:rFonts w:ascii="Arial" w:eastAsia="Arial" w:hAnsi="Arial" w:cs="Arial"/>
          <w:sz w:val="20"/>
          <w:szCs w:val="20"/>
        </w:rPr>
        <w:t>-</w:t>
      </w:r>
      <w:r w:rsidR="00DB7E08" w:rsidRPr="000C1AFF">
        <w:rPr>
          <w:rFonts w:ascii="Arial" w:eastAsia="Arial" w:hAnsi="Arial" w:cs="Arial"/>
          <w:sz w:val="20"/>
          <w:szCs w:val="20"/>
        </w:rPr>
        <w:t>sustainability</w:t>
      </w:r>
    </w:p>
    <w:p w14:paraId="7CAB8FCC" w14:textId="6EDB90D6" w:rsidR="000C1AFF" w:rsidRDefault="000C1AFF" w:rsidP="000C1AFF">
      <w:pPr>
        <w:autoSpaceDE w:val="0"/>
        <w:autoSpaceDN w:val="0"/>
        <w:adjustRightInd w:val="0"/>
        <w:spacing w:afterLines="120" w:after="288" w:line="240" w:lineRule="auto"/>
        <w:jc w:val="center"/>
        <w:rPr>
          <w:rFonts w:ascii="Arial" w:hAnsi="Arial" w:cs="Arial"/>
          <w:b/>
          <w:bCs/>
        </w:rPr>
      </w:pPr>
    </w:p>
    <w:p w14:paraId="7850628A" w14:textId="1B3728B8" w:rsidR="000C1AFF" w:rsidRPr="0072250D" w:rsidRDefault="0072250D" w:rsidP="006E4EFD">
      <w:pPr>
        <w:autoSpaceDE w:val="0"/>
        <w:autoSpaceDN w:val="0"/>
        <w:adjustRightInd w:val="0"/>
        <w:spacing w:afterLines="120" w:after="288" w:line="240" w:lineRule="auto"/>
        <w:rPr>
          <w:rFonts w:ascii="Arial" w:hAnsi="Arial" w:cs="Arial"/>
          <w:b/>
          <w:bCs/>
          <w:lang w:val="pt-PT"/>
        </w:rPr>
      </w:pPr>
      <w:r w:rsidRPr="0072250D">
        <w:rPr>
          <w:rFonts w:ascii="Arial" w:hAnsi="Arial" w:cs="Arial"/>
          <w:b/>
          <w:bCs/>
          <w:lang w:val="pt-PT"/>
        </w:rPr>
        <w:t>Composición bioquímica del aguacate de la isla de Madeira (</w:t>
      </w:r>
      <w:r w:rsidRPr="0072250D">
        <w:rPr>
          <w:rFonts w:ascii="Arial" w:hAnsi="Arial" w:cs="Arial"/>
          <w:b/>
          <w:bCs/>
          <w:i/>
          <w:iCs/>
          <w:lang w:val="pt-PT"/>
        </w:rPr>
        <w:t>Persea americana</w:t>
      </w:r>
      <w:r w:rsidRPr="0072250D">
        <w:rPr>
          <w:rFonts w:ascii="Arial" w:hAnsi="Arial" w:cs="Arial"/>
          <w:b/>
          <w:bCs/>
          <w:lang w:val="pt-PT"/>
        </w:rPr>
        <w:t xml:space="preserve"> Mill.) y sus derivados</w:t>
      </w:r>
    </w:p>
    <w:p w14:paraId="3D8460F1" w14:textId="77777777" w:rsidR="0072250D" w:rsidRPr="000C1AFF" w:rsidRDefault="0072250D" w:rsidP="0072250D">
      <w:pPr>
        <w:autoSpaceDE w:val="0"/>
        <w:autoSpaceDN w:val="0"/>
        <w:adjustRightInd w:val="0"/>
        <w:spacing w:afterLines="120" w:after="288" w:line="240" w:lineRule="auto"/>
        <w:rPr>
          <w:rFonts w:ascii="Arial" w:hAnsi="Arial" w:cs="Arial"/>
          <w:i/>
          <w:iCs/>
          <w:vertAlign w:val="superscript"/>
          <w:lang w:val="pt-PT" w:eastAsia="en-US"/>
        </w:rPr>
      </w:pPr>
      <w:r w:rsidRPr="000C1AFF">
        <w:rPr>
          <w:rFonts w:ascii="Arial" w:hAnsi="Arial" w:cs="Arial"/>
          <w:i/>
          <w:iCs/>
          <w:u w:val="single"/>
          <w:lang w:val="pt-PT"/>
        </w:rPr>
        <w:t>Gonçalves D</w:t>
      </w:r>
      <w:r w:rsidRPr="000C1AFF">
        <w:rPr>
          <w:rFonts w:ascii="Arial" w:hAnsi="Arial" w:cs="Arial"/>
          <w:i/>
          <w:iCs/>
          <w:lang w:val="pt-PT"/>
        </w:rPr>
        <w:t>,</w:t>
      </w:r>
      <w:r w:rsidRPr="000C1AFF">
        <w:rPr>
          <w:rFonts w:ascii="Arial" w:hAnsi="Arial" w:cs="Arial"/>
          <w:i/>
          <w:iCs/>
          <w:vertAlign w:val="superscript"/>
          <w:lang w:val="pt-PT"/>
        </w:rPr>
        <w:t>1,</w:t>
      </w:r>
      <w:r>
        <w:rPr>
          <w:rFonts w:ascii="Arial" w:hAnsi="Arial" w:cs="Arial"/>
          <w:i/>
          <w:iCs/>
          <w:vertAlign w:val="superscript"/>
          <w:lang w:val="pt-PT"/>
        </w:rPr>
        <w:t>2</w:t>
      </w:r>
      <w:r w:rsidRPr="000C1AFF">
        <w:rPr>
          <w:rFonts w:ascii="Arial" w:hAnsi="Arial" w:cs="Arial"/>
          <w:i/>
          <w:iCs/>
          <w:color w:val="000000"/>
          <w:szCs w:val="28"/>
          <w:vertAlign w:val="superscript"/>
          <w:lang w:val="pt-PT"/>
        </w:rPr>
        <w:t xml:space="preserve"> </w:t>
      </w:r>
      <w:r w:rsidRPr="000C1AFF">
        <w:rPr>
          <w:rFonts w:ascii="Arial" w:hAnsi="Arial" w:cs="Arial"/>
          <w:i/>
          <w:iCs/>
          <w:lang w:val="pt-PT"/>
        </w:rPr>
        <w:t>Gouveia C</w:t>
      </w:r>
      <w:r w:rsidRPr="000C1AFF">
        <w:rPr>
          <w:rFonts w:ascii="Arial" w:hAnsi="Arial" w:cs="Arial"/>
          <w:i/>
          <w:iCs/>
          <w:color w:val="000000"/>
          <w:szCs w:val="28"/>
          <w:lang w:val="pt-PT"/>
        </w:rPr>
        <w:t>SS,</w:t>
      </w:r>
      <w:r w:rsidRPr="000C1AFF">
        <w:rPr>
          <w:rFonts w:ascii="Arial" w:hAnsi="Arial" w:cs="Arial"/>
          <w:i/>
          <w:iCs/>
          <w:color w:val="000000"/>
          <w:szCs w:val="28"/>
          <w:vertAlign w:val="superscript"/>
          <w:lang w:val="pt-PT"/>
        </w:rPr>
        <w:t>1,3</w:t>
      </w:r>
      <w:r>
        <w:rPr>
          <w:rFonts w:ascii="Arial" w:hAnsi="Arial" w:cs="Arial"/>
          <w:i/>
          <w:iCs/>
          <w:color w:val="000000"/>
          <w:szCs w:val="28"/>
          <w:vertAlign w:val="superscript"/>
          <w:lang w:val="pt-PT"/>
        </w:rPr>
        <w:t>,4</w:t>
      </w:r>
      <w:r w:rsidRPr="000C1AFF">
        <w:rPr>
          <w:rFonts w:ascii="Arial" w:hAnsi="Arial" w:cs="Arial"/>
          <w:i/>
          <w:iCs/>
          <w:color w:val="000000"/>
          <w:szCs w:val="28"/>
          <w:lang w:val="pt-PT"/>
        </w:rPr>
        <w:t xml:space="preserve"> </w:t>
      </w:r>
      <w:r w:rsidRPr="000C1AFF">
        <w:rPr>
          <w:rFonts w:ascii="Arial" w:hAnsi="Arial" w:cs="Arial"/>
          <w:i/>
          <w:iCs/>
          <w:lang w:val="pt-PT"/>
        </w:rPr>
        <w:t>Freitas G,</w:t>
      </w:r>
      <w:r w:rsidRPr="000C1AFF">
        <w:rPr>
          <w:rFonts w:ascii="Arial" w:hAnsi="Arial" w:cs="Arial"/>
          <w:i/>
          <w:iCs/>
          <w:vertAlign w:val="superscript"/>
          <w:lang w:val="pt-PT"/>
        </w:rPr>
        <w:t xml:space="preserve">1 </w:t>
      </w:r>
      <w:r w:rsidRPr="000C1AFF">
        <w:rPr>
          <w:rFonts w:ascii="Arial" w:hAnsi="Arial" w:cs="Arial"/>
          <w:i/>
          <w:iCs/>
          <w:lang w:val="pt-PT"/>
        </w:rPr>
        <w:t>Pinheiro</w:t>
      </w:r>
      <w:r w:rsidRPr="000C1AFF">
        <w:rPr>
          <w:rFonts w:ascii="Arial" w:hAnsi="Arial" w:cs="Arial"/>
          <w:i/>
          <w:iCs/>
          <w:lang w:val="pt-PT" w:eastAsia="en-US"/>
        </w:rPr>
        <w:t xml:space="preserve"> </w:t>
      </w:r>
      <w:r w:rsidRPr="000C1AFF">
        <w:rPr>
          <w:rFonts w:ascii="Arial" w:hAnsi="Arial" w:cs="Arial"/>
          <w:i/>
          <w:iCs/>
          <w:lang w:val="pt-PT"/>
        </w:rPr>
        <w:t>de Carvalho MÂA</w:t>
      </w:r>
      <w:r w:rsidRPr="000C1AFF">
        <w:rPr>
          <w:rFonts w:ascii="Arial" w:hAnsi="Arial" w:cs="Arial"/>
          <w:i/>
          <w:iCs/>
          <w:vertAlign w:val="superscript"/>
          <w:lang w:val="pt-PT"/>
        </w:rPr>
        <w:t>1,3</w:t>
      </w:r>
      <w:r>
        <w:rPr>
          <w:rFonts w:ascii="Arial" w:hAnsi="Arial" w:cs="Arial"/>
          <w:i/>
          <w:iCs/>
          <w:vertAlign w:val="superscript"/>
          <w:lang w:val="pt-PT"/>
        </w:rPr>
        <w:t>,4</w:t>
      </w:r>
    </w:p>
    <w:p w14:paraId="1A87CD34" w14:textId="77777777" w:rsidR="0072250D" w:rsidRPr="006E4EFD" w:rsidRDefault="0072250D" w:rsidP="0072250D">
      <w:pPr>
        <w:spacing w:afterLines="120" w:after="288" w:line="240" w:lineRule="auto"/>
        <w:jc w:val="both"/>
        <w:rPr>
          <w:rFonts w:ascii="Arial" w:hAnsi="Arial" w:cs="Arial"/>
          <w:color w:val="000000"/>
        </w:rPr>
      </w:pPr>
      <w:r w:rsidRPr="006E4EFD">
        <w:rPr>
          <w:rFonts w:ascii="Arial" w:hAnsi="Arial" w:cs="Arial"/>
          <w:color w:val="000000"/>
          <w:vertAlign w:val="superscript"/>
        </w:rPr>
        <w:t>1</w:t>
      </w:r>
      <w:r w:rsidRPr="006E4EFD">
        <w:rPr>
          <w:rFonts w:ascii="Arial" w:hAnsi="Arial" w:cs="Arial"/>
          <w:color w:val="000000"/>
        </w:rPr>
        <w:t xml:space="preserve">ISOPlexis - Center for Sustainable Agriculture and Food Technology, University of Madeira, Portugal. </w:t>
      </w:r>
      <w:r w:rsidRPr="006E4EFD">
        <w:rPr>
          <w:rFonts w:ascii="Arial" w:hAnsi="Arial" w:cs="Arial"/>
          <w:color w:val="000000"/>
          <w:vertAlign w:val="superscript"/>
        </w:rPr>
        <w:t>2</w:t>
      </w:r>
      <w:r w:rsidRPr="006E4EFD">
        <w:rPr>
          <w:rFonts w:ascii="Arial" w:hAnsi="Arial" w:cs="Arial"/>
          <w:color w:val="000000"/>
        </w:rPr>
        <w:t xml:space="preserve">Faculty of exact sciences and engineering, University of Madeira, Portugal. </w:t>
      </w:r>
      <w:r w:rsidRPr="006E4EFD">
        <w:rPr>
          <w:rFonts w:ascii="Arial" w:hAnsi="Arial" w:cs="Arial"/>
          <w:color w:val="000000"/>
          <w:vertAlign w:val="superscript"/>
        </w:rPr>
        <w:t>3</w:t>
      </w:r>
      <w:r w:rsidRPr="006E4EFD">
        <w:rPr>
          <w:rFonts w:ascii="Arial" w:hAnsi="Arial" w:cs="Arial"/>
          <w:color w:val="000000"/>
        </w:rPr>
        <w:t xml:space="preserve">Faculty of Life Sciences, University of Madeira, Portugal. </w:t>
      </w:r>
      <w:r w:rsidRPr="006E4EFD">
        <w:rPr>
          <w:rFonts w:ascii="Arial" w:hAnsi="Arial" w:cs="Arial"/>
          <w:color w:val="000000"/>
          <w:vertAlign w:val="superscript"/>
        </w:rPr>
        <w:t>4</w:t>
      </w:r>
      <w:r w:rsidRPr="006E4EFD">
        <w:rPr>
          <w:rFonts w:ascii="Arial" w:hAnsi="Arial" w:cs="Arial"/>
          <w:color w:val="000000"/>
        </w:rPr>
        <w:t xml:space="preserve">CITAB - Research Center for the Research and Technology of </w:t>
      </w:r>
      <w:proofErr w:type="spellStart"/>
      <w:r w:rsidRPr="006E4EFD">
        <w:rPr>
          <w:rFonts w:ascii="Arial" w:hAnsi="Arial" w:cs="Arial"/>
          <w:color w:val="000000"/>
        </w:rPr>
        <w:t>Agro</w:t>
      </w:r>
      <w:proofErr w:type="spellEnd"/>
      <w:r w:rsidRPr="006E4EFD">
        <w:rPr>
          <w:rFonts w:ascii="Arial" w:hAnsi="Arial" w:cs="Arial"/>
          <w:color w:val="000000"/>
        </w:rPr>
        <w:t xml:space="preserve">-Environmental and Biological Sciences, Portugal. </w:t>
      </w:r>
    </w:p>
    <w:p w14:paraId="1B12F287" w14:textId="77777777" w:rsidR="000C1AFF" w:rsidRDefault="000C1AFF" w:rsidP="000C1AFF">
      <w:pPr>
        <w:spacing w:after="120" w:line="240" w:lineRule="auto"/>
        <w:jc w:val="both"/>
        <w:rPr>
          <w:rFonts w:ascii="Arial" w:eastAsia="Arial" w:hAnsi="Arial" w:cs="Arial"/>
          <w:sz w:val="20"/>
          <w:szCs w:val="20"/>
          <w:lang w:val="pt-PT"/>
        </w:rPr>
      </w:pPr>
      <w:r w:rsidRPr="000C1AFF">
        <w:rPr>
          <w:rFonts w:ascii="Arial" w:eastAsia="Arial" w:hAnsi="Arial" w:cs="Arial"/>
          <w:sz w:val="20"/>
          <w:szCs w:val="20"/>
          <w:lang w:val="pt-PT"/>
        </w:rPr>
        <w:t>Se realizó un estudio morfológico, nutricional y bioquímico de pulpa, cáscara y semilla de cinco variedades de aguacates portugueses de la isla de Madeira (5 regionales y 1 comercial). De 2020 a 2022, los frutos se cosecharon en dos momentos: en el punto óptimo de cosecha y 1 mes después, permaneciendo la fruta más tiempo en el árbol. La pulpa y los subproductos se transformaron en harina y se sometieron a análisis fisicoquímicos (pH y acidez titulable), próximos (lípidos, proteínas, fibras, cenizas, glucosa y almidón) y CIELab. Algunas variaciones en los rasgos de calidad ocurrieron en cada ciclo, principalmente no significativas. El factor de variación más significativo fue la maduración parcial en el árbol de aguacate, lo que llevó a un aumento de la fracción lipídica en promedio de 65% a 79%, aumentando los ácidos grasos mono y poliinsaturados (MUFA y PUFA), y por ende la calidad del fruto. pulpas y subproductos harinas. El punto de cosecha del aguacate y la transformación en harina de la parte comestible (pulpa) y subproductos, pueden asegurar la calidad postcosecha para su comercialización, aumentando así su valorización económica y biosostenibilidad, facilitando la exportación y el consumo sin comprometer la calidad de este fruto.</w:t>
      </w:r>
    </w:p>
    <w:p w14:paraId="4466DFBD" w14:textId="4982FF8E" w:rsidR="0009297E" w:rsidRPr="000C1AFF" w:rsidRDefault="002A517F" w:rsidP="000C1AFF">
      <w:pPr>
        <w:spacing w:after="120" w:line="240" w:lineRule="auto"/>
        <w:jc w:val="both"/>
        <w:rPr>
          <w:rFonts w:ascii="Arial" w:eastAsia="Arial" w:hAnsi="Arial" w:cs="Arial"/>
          <w:lang w:val="pt-PT"/>
        </w:rPr>
      </w:pPr>
      <w:r w:rsidRPr="000C1AFF">
        <w:rPr>
          <w:rFonts w:ascii="Arial" w:eastAsia="Arial" w:hAnsi="Arial" w:cs="Arial"/>
          <w:b/>
          <w:sz w:val="20"/>
          <w:szCs w:val="20"/>
          <w:lang w:val="pt-PT"/>
        </w:rPr>
        <w:br/>
      </w:r>
      <w:r w:rsidRPr="000C1AFF">
        <w:rPr>
          <w:rFonts w:ascii="Arial" w:eastAsia="Arial" w:hAnsi="Arial" w:cs="Arial"/>
          <w:b/>
          <w:sz w:val="20"/>
          <w:szCs w:val="20"/>
          <w:lang w:val="es-CL"/>
        </w:rPr>
        <w:t xml:space="preserve">Palabras clave: </w:t>
      </w:r>
      <w:r w:rsidR="000C1AFF">
        <w:rPr>
          <w:rFonts w:ascii="Arial" w:eastAsia="Arial" w:hAnsi="Arial" w:cs="Arial"/>
          <w:sz w:val="20"/>
          <w:szCs w:val="20"/>
          <w:lang w:val="es-CL"/>
        </w:rPr>
        <w:t xml:space="preserve">frutos, subproductos, </w:t>
      </w:r>
      <w:proofErr w:type="spellStart"/>
      <w:r w:rsidR="000C1AFF">
        <w:rPr>
          <w:rFonts w:ascii="Arial" w:eastAsia="Arial" w:hAnsi="Arial" w:cs="Arial"/>
          <w:sz w:val="20"/>
          <w:szCs w:val="20"/>
          <w:lang w:val="es-CL"/>
        </w:rPr>
        <w:t>CIELab</w:t>
      </w:r>
      <w:proofErr w:type="spellEnd"/>
      <w:r w:rsidR="000C1AFF">
        <w:rPr>
          <w:rFonts w:ascii="Arial" w:eastAsia="Arial" w:hAnsi="Arial" w:cs="Arial"/>
          <w:sz w:val="20"/>
          <w:szCs w:val="20"/>
          <w:lang w:val="es-CL"/>
        </w:rPr>
        <w:t xml:space="preserve">, MUFA, PUFA, </w:t>
      </w:r>
      <w:proofErr w:type="spellStart"/>
      <w:r w:rsidR="000C1AFF">
        <w:rPr>
          <w:rFonts w:ascii="Arial" w:eastAsia="Arial" w:hAnsi="Arial" w:cs="Arial"/>
          <w:sz w:val="20"/>
          <w:szCs w:val="20"/>
          <w:lang w:val="es-CL"/>
        </w:rPr>
        <w:t>biosostenibilidade</w:t>
      </w:r>
      <w:proofErr w:type="spellEnd"/>
    </w:p>
    <w:sectPr w:rsidR="0009297E" w:rsidRPr="000C1AF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C4D9" w14:textId="77777777" w:rsidR="003E27A8" w:rsidRDefault="003E27A8" w:rsidP="00241531">
      <w:pPr>
        <w:spacing w:after="0" w:line="240" w:lineRule="auto"/>
      </w:pPr>
      <w:r>
        <w:separator/>
      </w:r>
    </w:p>
  </w:endnote>
  <w:endnote w:type="continuationSeparator" w:id="0">
    <w:p w14:paraId="1459CEB4" w14:textId="77777777" w:rsidR="003E27A8" w:rsidRDefault="003E27A8"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353B" w14:textId="77777777" w:rsidR="003E27A8" w:rsidRDefault="003E27A8" w:rsidP="00241531">
      <w:pPr>
        <w:spacing w:after="0" w:line="240" w:lineRule="auto"/>
      </w:pPr>
      <w:r>
        <w:separator/>
      </w:r>
    </w:p>
  </w:footnote>
  <w:footnote w:type="continuationSeparator" w:id="0">
    <w:p w14:paraId="70550D7A" w14:textId="77777777" w:rsidR="003E27A8" w:rsidRDefault="003E27A8"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45577"/>
    <w:rsid w:val="0009297E"/>
    <w:rsid w:val="000B6FA2"/>
    <w:rsid w:val="000C1AFF"/>
    <w:rsid w:val="00176512"/>
    <w:rsid w:val="001C2146"/>
    <w:rsid w:val="001C7E2D"/>
    <w:rsid w:val="00205E2C"/>
    <w:rsid w:val="00241531"/>
    <w:rsid w:val="00270DAD"/>
    <w:rsid w:val="002A517F"/>
    <w:rsid w:val="002C379F"/>
    <w:rsid w:val="003E27A8"/>
    <w:rsid w:val="004648E3"/>
    <w:rsid w:val="004D49CF"/>
    <w:rsid w:val="00664B4F"/>
    <w:rsid w:val="006E4EFD"/>
    <w:rsid w:val="0072250D"/>
    <w:rsid w:val="00743081"/>
    <w:rsid w:val="00845F7F"/>
    <w:rsid w:val="00875689"/>
    <w:rsid w:val="00965C5F"/>
    <w:rsid w:val="009E7587"/>
    <w:rsid w:val="00A20949"/>
    <w:rsid w:val="00A976AD"/>
    <w:rsid w:val="00AA1C3F"/>
    <w:rsid w:val="00B0588D"/>
    <w:rsid w:val="00B91397"/>
    <w:rsid w:val="00DB7E08"/>
    <w:rsid w:val="00E229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 w:type="character" w:styleId="Emphasis">
    <w:name w:val="Emphasis"/>
    <w:uiPriority w:val="20"/>
    <w:qFormat/>
    <w:rsid w:val="002C3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4C22A-78E5-4FB5-99A9-B352812E1794}">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cab52c9b-ab33-4221-8af9-54f8f2b86a80"/>
    <ds:schemaRef ds:uri="9c8a2b7b-0bee-4c48-b0a6-23db8982d3bc"/>
    <ds:schemaRef ds:uri="6911e96c-4cc4-42d5-8e43-f93924cf6a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2022-10-20T21:48:00Z</dcterms:created>
  <dcterms:modified xsi:type="dcterms:W3CDTF">2022-10-20T21:48:00Z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