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20CB1" w14:textId="30A6BE80" w:rsidR="00BF0594" w:rsidRPr="00C80C77" w:rsidRDefault="00F4382A" w:rsidP="00BF0594">
      <w:pPr>
        <w:pStyle w:val="Heading1"/>
        <w:spacing w:before="0" w:after="0"/>
        <w:rPr>
          <w:rFonts w:ascii="Arial" w:hAnsi="Arial" w:cs="Arial"/>
          <w:sz w:val="22"/>
          <w:szCs w:val="22"/>
        </w:rPr>
      </w:pPr>
      <w:r w:rsidRPr="00C80C77">
        <w:rPr>
          <w:rStyle w:val="title-text"/>
          <w:rFonts w:ascii="Arial" w:hAnsi="Arial" w:cs="Arial"/>
          <w:sz w:val="22"/>
          <w:szCs w:val="22"/>
        </w:rPr>
        <w:t xml:space="preserve">Chemical compositions of </w:t>
      </w:r>
      <w:r w:rsidR="00BF0594" w:rsidRPr="00C80C77">
        <w:rPr>
          <w:rStyle w:val="title-text"/>
          <w:rFonts w:ascii="Arial" w:hAnsi="Arial" w:cs="Arial"/>
          <w:sz w:val="22"/>
          <w:szCs w:val="22"/>
        </w:rPr>
        <w:t>avocado oil</w:t>
      </w:r>
      <w:r w:rsidRPr="00C80C77">
        <w:rPr>
          <w:rStyle w:val="title-text"/>
          <w:rFonts w:ascii="Arial" w:hAnsi="Arial" w:cs="Arial"/>
          <w:sz w:val="22"/>
          <w:szCs w:val="22"/>
        </w:rPr>
        <w:t xml:space="preserve"> made from whole fruit and mesocarp</w:t>
      </w:r>
      <w:r w:rsidR="00516D3C" w:rsidRPr="00C80C77">
        <w:rPr>
          <w:rStyle w:val="title-text"/>
          <w:rFonts w:ascii="Arial" w:hAnsi="Arial" w:cs="Arial"/>
          <w:sz w:val="22"/>
          <w:szCs w:val="22"/>
        </w:rPr>
        <w:t xml:space="preserve"> and CODEX purity parameters</w:t>
      </w:r>
    </w:p>
    <w:p w14:paraId="296462A4" w14:textId="77777777" w:rsidR="00C80C77" w:rsidRDefault="00C80C77" w:rsidP="001C7E2D">
      <w:pPr>
        <w:spacing w:after="120" w:line="240" w:lineRule="exact"/>
        <w:jc w:val="both"/>
        <w:rPr>
          <w:rFonts w:ascii="Arial" w:eastAsia="Arial" w:hAnsi="Arial" w:cs="Arial"/>
          <w:b/>
          <w:sz w:val="22"/>
          <w:szCs w:val="22"/>
        </w:rPr>
      </w:pPr>
    </w:p>
    <w:p w14:paraId="70F80547" w14:textId="1B83C68A" w:rsidR="0009297E" w:rsidRPr="00C80C77" w:rsidRDefault="00BF0594" w:rsidP="001C7E2D">
      <w:pPr>
        <w:spacing w:after="120" w:line="240" w:lineRule="exact"/>
        <w:jc w:val="both"/>
        <w:rPr>
          <w:rFonts w:ascii="Arial" w:eastAsia="Arial" w:hAnsi="Arial" w:cs="Arial"/>
          <w:sz w:val="22"/>
          <w:szCs w:val="22"/>
        </w:rPr>
      </w:pPr>
      <w:r w:rsidRPr="00C80C77">
        <w:rPr>
          <w:rFonts w:ascii="Arial" w:eastAsia="Arial" w:hAnsi="Arial" w:cs="Arial"/>
          <w:i/>
          <w:sz w:val="22"/>
          <w:szCs w:val="22"/>
          <w:u w:val="single"/>
        </w:rPr>
        <w:t>Selina C. Wang</w:t>
      </w:r>
      <w:r w:rsidRPr="00C80C77">
        <w:rPr>
          <w:rFonts w:ascii="Arial" w:eastAsia="Arial" w:hAnsi="Arial" w:cs="Arial"/>
          <w:i/>
          <w:sz w:val="22"/>
          <w:szCs w:val="22"/>
          <w:u w:val="single"/>
          <w:vertAlign w:val="superscript"/>
        </w:rPr>
        <w:t>1</w:t>
      </w:r>
      <w:r w:rsidRPr="00C80C77">
        <w:rPr>
          <w:rFonts w:ascii="Arial" w:eastAsia="Arial" w:hAnsi="Arial" w:cs="Arial"/>
          <w:i/>
          <w:sz w:val="22"/>
          <w:szCs w:val="22"/>
        </w:rPr>
        <w:t>, Hilary S. Green</w:t>
      </w:r>
      <w:r w:rsidRPr="00C80C77">
        <w:rPr>
          <w:rFonts w:ascii="Arial" w:eastAsia="Arial" w:hAnsi="Arial" w:cs="Arial"/>
          <w:i/>
          <w:sz w:val="22"/>
          <w:szCs w:val="22"/>
          <w:vertAlign w:val="superscript"/>
        </w:rPr>
        <w:t>1</w:t>
      </w:r>
    </w:p>
    <w:p w14:paraId="7C826250" w14:textId="77777777" w:rsidR="00BF0594" w:rsidRPr="00C80C77" w:rsidRDefault="00BF0594" w:rsidP="00BF0594">
      <w:pPr>
        <w:textAlignment w:val="top"/>
        <w:rPr>
          <w:rFonts w:ascii="Arial" w:hAnsi="Arial" w:cs="Arial"/>
          <w:sz w:val="22"/>
          <w:szCs w:val="22"/>
        </w:rPr>
      </w:pPr>
      <w:r w:rsidRPr="00C80C77">
        <w:rPr>
          <w:rFonts w:ascii="Arial" w:hAnsi="Arial" w:cs="Arial"/>
          <w:sz w:val="22"/>
          <w:szCs w:val="22"/>
          <w:vertAlign w:val="superscript"/>
        </w:rPr>
        <w:t>1</w:t>
      </w:r>
      <w:r w:rsidR="005E79D1" w:rsidRPr="00C80C77">
        <w:rPr>
          <w:rFonts w:ascii="Arial" w:hAnsi="Arial" w:cs="Arial"/>
          <w:sz w:val="22"/>
          <w:szCs w:val="22"/>
          <w:vertAlign w:val="superscript"/>
        </w:rPr>
        <w:t xml:space="preserve"> </w:t>
      </w:r>
      <w:r w:rsidRPr="00C80C77">
        <w:rPr>
          <w:rFonts w:ascii="Arial" w:hAnsi="Arial" w:cs="Arial"/>
          <w:sz w:val="22"/>
          <w:szCs w:val="22"/>
        </w:rPr>
        <w:t>Department of Food Science and Technology, University of California Davis, Davis, CA, 95616, USA</w:t>
      </w:r>
    </w:p>
    <w:p w14:paraId="31028462" w14:textId="77777777" w:rsidR="0009297E" w:rsidRPr="002A517F" w:rsidRDefault="0009297E" w:rsidP="001C7E2D">
      <w:pPr>
        <w:spacing w:after="120" w:line="240" w:lineRule="exact"/>
        <w:jc w:val="both"/>
        <w:rPr>
          <w:rFonts w:ascii="Arial" w:eastAsia="Arial" w:hAnsi="Arial" w:cs="Arial"/>
          <w:sz w:val="20"/>
          <w:szCs w:val="20"/>
        </w:rPr>
      </w:pPr>
    </w:p>
    <w:p w14:paraId="489D7E0A" w14:textId="3710A370" w:rsidR="0009297E" w:rsidRPr="002A517F" w:rsidRDefault="00664B4F" w:rsidP="001C7E2D">
      <w:pPr>
        <w:spacing w:after="120" w:line="240" w:lineRule="exact"/>
        <w:jc w:val="both"/>
        <w:rPr>
          <w:rFonts w:ascii="Arial" w:eastAsia="Arial" w:hAnsi="Arial" w:cs="Arial"/>
          <w:sz w:val="20"/>
          <w:szCs w:val="20"/>
        </w:rPr>
      </w:pPr>
      <w:r w:rsidRPr="002A517F">
        <w:rPr>
          <w:rFonts w:ascii="Arial" w:eastAsia="Arial" w:hAnsi="Arial" w:cs="Arial"/>
          <w:b/>
          <w:sz w:val="20"/>
          <w:szCs w:val="20"/>
        </w:rPr>
        <w:t>Key words</w:t>
      </w:r>
      <w:r w:rsidRPr="002A517F">
        <w:rPr>
          <w:rFonts w:ascii="Arial" w:eastAsia="Arial" w:hAnsi="Arial" w:cs="Arial"/>
          <w:sz w:val="20"/>
          <w:szCs w:val="20"/>
        </w:rPr>
        <w:t xml:space="preserve">: </w:t>
      </w:r>
      <w:r w:rsidR="003C51EC">
        <w:rPr>
          <w:rFonts w:ascii="Arial" w:eastAsia="Arial" w:hAnsi="Arial" w:cs="Arial"/>
          <w:sz w:val="20"/>
          <w:szCs w:val="20"/>
        </w:rPr>
        <w:t xml:space="preserve">standards, </w:t>
      </w:r>
      <w:r w:rsidR="00BF0594">
        <w:rPr>
          <w:rFonts w:ascii="Arial" w:eastAsia="Arial" w:hAnsi="Arial" w:cs="Arial"/>
          <w:sz w:val="20"/>
          <w:szCs w:val="20"/>
        </w:rPr>
        <w:t xml:space="preserve">fatty acids, sterols, tocopherols </w:t>
      </w:r>
    </w:p>
    <w:p w14:paraId="5CF928B0" w14:textId="77777777" w:rsidR="0009297E" w:rsidRDefault="0009297E" w:rsidP="001C7E2D">
      <w:pPr>
        <w:spacing w:after="120" w:line="240" w:lineRule="exact"/>
        <w:jc w:val="both"/>
        <w:rPr>
          <w:rFonts w:ascii="Arial" w:eastAsia="Arial" w:hAnsi="Arial" w:cs="Arial"/>
          <w:sz w:val="20"/>
          <w:szCs w:val="20"/>
        </w:rPr>
      </w:pPr>
    </w:p>
    <w:p w14:paraId="5D9AC6B8" w14:textId="15FACCF2" w:rsidR="00176512" w:rsidRPr="00BF0594" w:rsidRDefault="00BF0594" w:rsidP="001C7E2D">
      <w:pPr>
        <w:spacing w:after="120" w:line="240" w:lineRule="exact"/>
        <w:jc w:val="both"/>
        <w:rPr>
          <w:rFonts w:ascii="Arial" w:eastAsia="Arial" w:hAnsi="Arial" w:cs="Arial"/>
          <w:sz w:val="20"/>
          <w:szCs w:val="20"/>
        </w:rPr>
      </w:pPr>
      <w:r w:rsidRPr="00BF0594">
        <w:rPr>
          <w:rFonts w:ascii="Arial" w:hAnsi="Arial" w:cs="Arial"/>
          <w:color w:val="2E2E2E"/>
          <w:sz w:val="20"/>
          <w:szCs w:val="20"/>
        </w:rPr>
        <w:t xml:space="preserve">Avocado oil is a high-value product with a growing </w:t>
      </w:r>
      <w:r w:rsidR="005E79D1">
        <w:rPr>
          <w:rFonts w:ascii="Arial" w:hAnsi="Arial" w:cs="Arial"/>
          <w:color w:val="2E2E2E"/>
          <w:sz w:val="20"/>
          <w:szCs w:val="20"/>
        </w:rPr>
        <w:t xml:space="preserve">worldwide </w:t>
      </w:r>
      <w:r w:rsidRPr="00BF0594">
        <w:rPr>
          <w:rFonts w:ascii="Arial" w:hAnsi="Arial" w:cs="Arial"/>
          <w:color w:val="2E2E2E"/>
          <w:sz w:val="20"/>
          <w:szCs w:val="20"/>
        </w:rPr>
        <w:t xml:space="preserve">industry. </w:t>
      </w:r>
      <w:r w:rsidR="005E79D1">
        <w:rPr>
          <w:rFonts w:ascii="Arial" w:hAnsi="Arial" w:cs="Arial"/>
          <w:color w:val="2E2E2E"/>
          <w:sz w:val="20"/>
          <w:szCs w:val="20"/>
        </w:rPr>
        <w:t xml:space="preserve">With the increased demand for this high-value oil, there is a growing problem with </w:t>
      </w:r>
      <w:r w:rsidRPr="00BF0594">
        <w:rPr>
          <w:rFonts w:ascii="Arial" w:hAnsi="Arial" w:cs="Arial"/>
          <w:color w:val="2E2E2E"/>
          <w:sz w:val="20"/>
          <w:szCs w:val="20"/>
        </w:rPr>
        <w:t>adulteration</w:t>
      </w:r>
      <w:r w:rsidR="005E79D1">
        <w:rPr>
          <w:rFonts w:ascii="Arial" w:hAnsi="Arial" w:cs="Arial"/>
          <w:color w:val="2E2E2E"/>
          <w:sz w:val="20"/>
          <w:szCs w:val="20"/>
        </w:rPr>
        <w:t xml:space="preserve">, </w:t>
      </w:r>
      <w:proofErr w:type="gramStart"/>
      <w:r w:rsidR="005E79D1">
        <w:rPr>
          <w:rFonts w:ascii="Arial" w:hAnsi="Arial" w:cs="Arial"/>
          <w:color w:val="2E2E2E"/>
          <w:sz w:val="20"/>
          <w:szCs w:val="20"/>
        </w:rPr>
        <w:t>similar to</w:t>
      </w:r>
      <w:proofErr w:type="gramEnd"/>
      <w:r w:rsidR="005E79D1">
        <w:rPr>
          <w:rFonts w:ascii="Arial" w:hAnsi="Arial" w:cs="Arial"/>
          <w:color w:val="2E2E2E"/>
          <w:sz w:val="20"/>
          <w:szCs w:val="20"/>
        </w:rPr>
        <w:t xml:space="preserve"> that in olive oil.</w:t>
      </w:r>
      <w:r w:rsidRPr="00BF0594">
        <w:rPr>
          <w:rFonts w:ascii="Arial" w:hAnsi="Arial" w:cs="Arial"/>
          <w:color w:val="2E2E2E"/>
          <w:sz w:val="20"/>
          <w:szCs w:val="20"/>
        </w:rPr>
        <w:t xml:space="preserve"> </w:t>
      </w:r>
      <w:r w:rsidR="005E79D1">
        <w:rPr>
          <w:rFonts w:ascii="Arial" w:hAnsi="Arial" w:cs="Arial"/>
          <w:color w:val="2E2E2E"/>
          <w:sz w:val="20"/>
          <w:szCs w:val="20"/>
        </w:rPr>
        <w:t xml:space="preserve">Therefore, </w:t>
      </w:r>
      <w:r w:rsidRPr="00BF0594">
        <w:rPr>
          <w:rFonts w:ascii="Arial" w:hAnsi="Arial" w:cs="Arial"/>
          <w:color w:val="2E2E2E"/>
          <w:sz w:val="20"/>
          <w:szCs w:val="20"/>
        </w:rPr>
        <w:t>standards are being developed with the effort being led by the international organization CODEX Alimentarius. Adequate standards need to accommodate natural variables while also minimizing the likelihood for undetectable adulteration. This study utilizes a comprehensive set of authentic samples for avocado oil and their chemical compositions were compared to proposed CODEX standards. The variables in this study included region, harvest time, cultivar, grade of fruit, and using whole fruit oil versus only mesocarp oil; the chemical parameters analyzed were fatty acids, sterols, and </w:t>
      </w:r>
      <w:hyperlink r:id="rId11" w:tooltip="Learn more about tocopherols from ScienceDirect's AI-generated Topic Pages" w:history="1">
        <w:r w:rsidRPr="00BF0594">
          <w:rPr>
            <w:rStyle w:val="Hyperlink"/>
            <w:rFonts w:ascii="Arial" w:hAnsi="Arial" w:cs="Arial"/>
            <w:color w:val="2E2E2E"/>
            <w:sz w:val="20"/>
            <w:szCs w:val="20"/>
            <w:u w:val="none"/>
          </w:rPr>
          <w:t>tocopherols</w:t>
        </w:r>
      </w:hyperlink>
      <w:r w:rsidRPr="00BF0594">
        <w:rPr>
          <w:rFonts w:ascii="Arial" w:hAnsi="Arial" w:cs="Arial"/>
          <w:color w:val="2E2E2E"/>
          <w:sz w:val="20"/>
          <w:szCs w:val="20"/>
        </w:rPr>
        <w:t>. Fatty acids and sterols profiles were most impacted by region and harvest time. And although current standards are heading in the right direction</w:t>
      </w:r>
      <w:r w:rsidR="005E79D1">
        <w:rPr>
          <w:rFonts w:ascii="Arial" w:hAnsi="Arial" w:cs="Arial"/>
          <w:color w:val="2E2E2E"/>
          <w:sz w:val="20"/>
          <w:szCs w:val="20"/>
        </w:rPr>
        <w:t>,</w:t>
      </w:r>
      <w:r w:rsidRPr="00BF0594">
        <w:rPr>
          <w:rFonts w:ascii="Arial" w:hAnsi="Arial" w:cs="Arial"/>
          <w:color w:val="2E2E2E"/>
          <w:sz w:val="20"/>
          <w:szCs w:val="20"/>
        </w:rPr>
        <w:t xml:space="preserve"> fatty acid and delta-7-stigmastenol and delta-7-avenasterol stood out as parameters that need future research and adjustment. Tocopherols were significantly different for whole fruit oils compared to mesocarp oils which is an important finding that needs to be considered for avocado oil standard development.</w:t>
      </w:r>
    </w:p>
    <w:p w14:paraId="2BF17214" w14:textId="77777777" w:rsidR="00B47695" w:rsidRDefault="00B47695" w:rsidP="00B47695">
      <w:pPr>
        <w:pStyle w:val="Heading1"/>
        <w:spacing w:before="0" w:after="0"/>
        <w:rPr>
          <w:rStyle w:val="title-text"/>
          <w:rFonts w:ascii="Arial" w:hAnsi="Arial" w:cs="Arial"/>
          <w:color w:val="505050"/>
          <w:sz w:val="22"/>
          <w:szCs w:val="22"/>
        </w:rPr>
      </w:pPr>
    </w:p>
    <w:p w14:paraId="0267C3E2" w14:textId="6AF4FB56" w:rsidR="00B47695" w:rsidRPr="00C80C77" w:rsidRDefault="00B47695" w:rsidP="00C80C77">
      <w:pPr>
        <w:pStyle w:val="Heading1"/>
        <w:spacing w:before="0" w:after="0"/>
        <w:rPr>
          <w:rFonts w:ascii="Arial" w:hAnsi="Arial" w:cs="Arial"/>
          <w:sz w:val="22"/>
          <w:szCs w:val="22"/>
        </w:rPr>
      </w:pPr>
      <w:r w:rsidRPr="00C80C77">
        <w:rPr>
          <w:rFonts w:ascii="Arial" w:hAnsi="Arial" w:cs="Arial"/>
          <w:sz w:val="22"/>
          <w:szCs w:val="22"/>
          <w:lang w:val="es-ES"/>
        </w:rPr>
        <w:t>Composiciones químicas del aceite de aguacate elaborado a partir de frutos enteros y mesocarpio y parámetros de pureza CODEX</w:t>
      </w:r>
      <w:r w:rsidR="00C80C77">
        <w:rPr>
          <w:rFonts w:ascii="Arial" w:hAnsi="Arial" w:cs="Arial"/>
          <w:sz w:val="22"/>
          <w:szCs w:val="22"/>
          <w:lang w:val="es-ES"/>
        </w:rPr>
        <w:br/>
      </w:r>
    </w:p>
    <w:p w14:paraId="1680BA1E" w14:textId="0D7965E0" w:rsidR="00B47695" w:rsidRPr="00C80C77" w:rsidRDefault="00B47695" w:rsidP="00B47695">
      <w:pPr>
        <w:spacing w:after="120" w:line="240" w:lineRule="exact"/>
        <w:jc w:val="both"/>
        <w:rPr>
          <w:rFonts w:ascii="Arial" w:eastAsia="Arial" w:hAnsi="Arial" w:cs="Arial"/>
          <w:i/>
          <w:sz w:val="22"/>
          <w:szCs w:val="22"/>
          <w:vertAlign w:val="superscript"/>
        </w:rPr>
      </w:pPr>
      <w:r w:rsidRPr="00C80C77">
        <w:rPr>
          <w:rFonts w:ascii="Arial" w:eastAsia="Arial" w:hAnsi="Arial" w:cs="Arial"/>
          <w:i/>
          <w:sz w:val="22"/>
          <w:szCs w:val="22"/>
          <w:u w:val="single"/>
        </w:rPr>
        <w:t>Selina C. Wang</w:t>
      </w:r>
      <w:r w:rsidRPr="00C80C77">
        <w:rPr>
          <w:rFonts w:ascii="Arial" w:eastAsia="Arial" w:hAnsi="Arial" w:cs="Arial"/>
          <w:i/>
          <w:sz w:val="22"/>
          <w:szCs w:val="22"/>
          <w:u w:val="single"/>
          <w:vertAlign w:val="superscript"/>
        </w:rPr>
        <w:t>1</w:t>
      </w:r>
      <w:r w:rsidRPr="00C80C77">
        <w:rPr>
          <w:rFonts w:ascii="Arial" w:eastAsia="Arial" w:hAnsi="Arial" w:cs="Arial"/>
          <w:i/>
          <w:sz w:val="22"/>
          <w:szCs w:val="22"/>
        </w:rPr>
        <w:t>, Hilary S. Green</w:t>
      </w:r>
      <w:r w:rsidRPr="00C80C77">
        <w:rPr>
          <w:rFonts w:ascii="Arial" w:eastAsia="Arial" w:hAnsi="Arial" w:cs="Arial"/>
          <w:i/>
          <w:sz w:val="22"/>
          <w:szCs w:val="22"/>
          <w:vertAlign w:val="superscript"/>
        </w:rPr>
        <w:t>1</w:t>
      </w:r>
    </w:p>
    <w:p w14:paraId="35EC07FC" w14:textId="6370CDE3" w:rsidR="00B47695" w:rsidRPr="00C80C77" w:rsidRDefault="00B47695" w:rsidP="00B47695">
      <w:pPr>
        <w:textAlignment w:val="top"/>
        <w:rPr>
          <w:rFonts w:ascii="Arial" w:hAnsi="Arial" w:cs="Arial"/>
          <w:color w:val="000000" w:themeColor="text1"/>
          <w:sz w:val="22"/>
          <w:szCs w:val="22"/>
        </w:rPr>
      </w:pPr>
      <w:r w:rsidRPr="00C80C77">
        <w:rPr>
          <w:rFonts w:ascii="Arial" w:hAnsi="Arial" w:cs="Arial"/>
          <w:color w:val="000000" w:themeColor="text1"/>
          <w:sz w:val="22"/>
          <w:szCs w:val="22"/>
          <w:vertAlign w:val="superscript"/>
        </w:rPr>
        <w:t xml:space="preserve">1 </w:t>
      </w:r>
      <w:r w:rsidRPr="00C80C77">
        <w:rPr>
          <w:rFonts w:ascii="Arial" w:hAnsi="Arial" w:cs="Arial"/>
          <w:color w:val="000000" w:themeColor="text1"/>
          <w:sz w:val="22"/>
          <w:szCs w:val="22"/>
        </w:rPr>
        <w:t>Department of Food Science and Technology, University of California Davis, Davis, CA, 95616, USA</w:t>
      </w:r>
    </w:p>
    <w:p w14:paraId="7997781F" w14:textId="42E8245D" w:rsidR="00B47695" w:rsidRDefault="00B47695" w:rsidP="00B47695">
      <w:pPr>
        <w:textAlignment w:val="top"/>
        <w:rPr>
          <w:rFonts w:ascii="Arial" w:hAnsi="Arial" w:cs="Arial"/>
          <w:color w:val="000000" w:themeColor="text1"/>
        </w:rPr>
      </w:pPr>
    </w:p>
    <w:p w14:paraId="47F18D3D" w14:textId="7AFC9C34" w:rsidR="00B47695" w:rsidRPr="00C80C77" w:rsidRDefault="00B47695" w:rsidP="00B47695">
      <w:pPr>
        <w:spacing w:after="120" w:line="240" w:lineRule="exact"/>
        <w:jc w:val="both"/>
        <w:rPr>
          <w:rFonts w:ascii="Arial" w:eastAsia="Arial" w:hAnsi="Arial" w:cs="Arial"/>
          <w:sz w:val="20"/>
          <w:szCs w:val="20"/>
        </w:rPr>
      </w:pPr>
      <w:r w:rsidRPr="00B47695">
        <w:rPr>
          <w:rStyle w:val="y2iqfc"/>
          <w:rFonts w:ascii="Arial" w:hAnsi="Arial" w:cs="Arial"/>
          <w:b/>
          <w:bCs/>
          <w:sz w:val="20"/>
          <w:szCs w:val="20"/>
          <w:lang w:val="es-ES"/>
        </w:rPr>
        <w:t xml:space="preserve">Palabras clave: </w:t>
      </w:r>
      <w:r w:rsidRPr="00C80C77">
        <w:rPr>
          <w:rStyle w:val="y2iqfc"/>
          <w:rFonts w:ascii="Arial" w:hAnsi="Arial" w:cs="Arial"/>
          <w:sz w:val="20"/>
          <w:szCs w:val="20"/>
          <w:lang w:val="es-ES"/>
        </w:rPr>
        <w:t>estándares, ácidos grasos, esteroles, tocoferoles</w:t>
      </w:r>
    </w:p>
    <w:p w14:paraId="12947DE1" w14:textId="3C96F57E" w:rsidR="0009297E" w:rsidRPr="00B47695" w:rsidRDefault="002A517F" w:rsidP="00B47695">
      <w:pPr>
        <w:pStyle w:val="HTMLPreformatted"/>
        <w:contextualSpacing/>
        <w:rPr>
          <w:rFonts w:ascii="Arial" w:hAnsi="Arial" w:cs="Arial"/>
        </w:rPr>
      </w:pPr>
      <w:r w:rsidRPr="00B47695">
        <w:rPr>
          <w:rFonts w:ascii="Arial" w:eastAsia="Arial" w:hAnsi="Arial" w:cs="Arial"/>
          <w:b/>
        </w:rPr>
        <w:br/>
      </w:r>
      <w:r w:rsidR="00B47695" w:rsidRPr="00B47695">
        <w:rPr>
          <w:rStyle w:val="y2iqfc"/>
          <w:rFonts w:ascii="Arial" w:hAnsi="Arial" w:cs="Arial"/>
          <w:lang w:val="es-ES"/>
        </w:rPr>
        <w:t xml:space="preserve">El aceite de aguacate es un producto de alto valor con una industria mundial en crecimiento. Con el aumento de la demanda de este aceite de alto valor, existe un problema creciente de adulteración, similar al del aceite de oliva. Por lo tanto, los estándares se están desarrollando con el esfuerzo liderado por la organización internacional CODEX </w:t>
      </w:r>
      <w:proofErr w:type="spellStart"/>
      <w:r w:rsidR="00B47695" w:rsidRPr="00B47695">
        <w:rPr>
          <w:rStyle w:val="y2iqfc"/>
          <w:rFonts w:ascii="Arial" w:hAnsi="Arial" w:cs="Arial"/>
          <w:lang w:val="es-ES"/>
        </w:rPr>
        <w:t>Alimentarius</w:t>
      </w:r>
      <w:proofErr w:type="spellEnd"/>
      <w:r w:rsidR="00B47695" w:rsidRPr="00B47695">
        <w:rPr>
          <w:rStyle w:val="y2iqfc"/>
          <w:rFonts w:ascii="Arial" w:hAnsi="Arial" w:cs="Arial"/>
          <w:lang w:val="es-ES"/>
        </w:rPr>
        <w:t>. Los estándares adecuados deben adaptarse a las variables naturales y, al mismo tiempo, minimizar la probabilidad de adulteración indetectable. Este estudio utiliza un conjunto completo de muestras auténticas de aceite de aguacate y sus composiciones químicas se compararon con los estándares CODEX propuestos. Las variables en este estudio incluyeron región, tiempo de cosecha, cultivar, grado de fruta y uso de aceite de fruta entera versus solo aceite de mesocarpio; los parámetros químicos analizados fueron ácidos grasos, esteroles y tocoferoles. Los perfiles de ácidos grasos y esteroles se vieron más afectados por la región y el momento de la cosecha. Y aunque los estándares actuales van en la dirección correcta, los ácidos grasos y el delta-7-estigmastenol y delta-7-avenasterol se destacaron como parámetros que necesitan futuras investigaciones y ajustes. Los tocoferoles fueron significativamente diferentes para los aceites de frutas enteras en comparación con los aceites de mesocarpio, lo cual es un hallazgo importante que debe tenerse en cuenta para el desarrollo estándar del aceite de aguacate.</w:t>
      </w:r>
    </w:p>
    <w:p w14:paraId="65ADE286" w14:textId="77777777" w:rsidR="0009297E" w:rsidRPr="00B47695" w:rsidRDefault="0009297E" w:rsidP="001C7E2D">
      <w:pPr>
        <w:spacing w:after="120" w:line="240" w:lineRule="exact"/>
        <w:jc w:val="both"/>
        <w:rPr>
          <w:rFonts w:ascii="Arial" w:eastAsia="Arial" w:hAnsi="Arial" w:cs="Arial"/>
        </w:rPr>
      </w:pPr>
    </w:p>
    <w:p w14:paraId="13A22F68" w14:textId="77777777" w:rsidR="0009297E" w:rsidRPr="00B47695" w:rsidRDefault="0009297E" w:rsidP="001C7E2D">
      <w:pPr>
        <w:spacing w:after="120" w:line="240" w:lineRule="exact"/>
        <w:rPr>
          <w:rFonts w:ascii="Arial" w:eastAsia="Arial" w:hAnsi="Arial" w:cs="Arial"/>
        </w:rPr>
      </w:pPr>
    </w:p>
    <w:sectPr w:rsidR="0009297E" w:rsidRPr="00B4769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C7B12" w14:textId="77777777" w:rsidR="00616D25" w:rsidRDefault="00616D25" w:rsidP="00241531">
      <w:r>
        <w:separator/>
      </w:r>
    </w:p>
  </w:endnote>
  <w:endnote w:type="continuationSeparator" w:id="0">
    <w:p w14:paraId="3B4AFBA1" w14:textId="77777777" w:rsidR="00616D25" w:rsidRDefault="00616D25" w:rsidP="0024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EF85" w14:textId="77777777" w:rsidR="00241531" w:rsidRDefault="00241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943B" w14:textId="77777777" w:rsidR="00241531" w:rsidRDefault="00241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D164" w14:textId="77777777" w:rsidR="00241531" w:rsidRDefault="00241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BBE8" w14:textId="77777777" w:rsidR="00616D25" w:rsidRDefault="00616D25" w:rsidP="00241531">
      <w:r>
        <w:separator/>
      </w:r>
    </w:p>
  </w:footnote>
  <w:footnote w:type="continuationSeparator" w:id="0">
    <w:p w14:paraId="709FAF02" w14:textId="77777777" w:rsidR="00616D25" w:rsidRDefault="00616D25" w:rsidP="00241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C35B" w14:textId="77777777" w:rsidR="00241531" w:rsidRDefault="00241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45C1" w14:textId="77777777" w:rsidR="00241531" w:rsidRDefault="00241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1040" w14:textId="77777777" w:rsidR="00241531" w:rsidRDefault="00241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00812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7E"/>
    <w:rsid w:val="0009297E"/>
    <w:rsid w:val="000B6FA2"/>
    <w:rsid w:val="00126435"/>
    <w:rsid w:val="00176512"/>
    <w:rsid w:val="001C2146"/>
    <w:rsid w:val="001C7E2D"/>
    <w:rsid w:val="001F32DA"/>
    <w:rsid w:val="00241531"/>
    <w:rsid w:val="00294D51"/>
    <w:rsid w:val="002A517F"/>
    <w:rsid w:val="002C77E6"/>
    <w:rsid w:val="00352785"/>
    <w:rsid w:val="003C51EC"/>
    <w:rsid w:val="004648E3"/>
    <w:rsid w:val="004D49CF"/>
    <w:rsid w:val="00516D3C"/>
    <w:rsid w:val="005E79D1"/>
    <w:rsid w:val="00616D25"/>
    <w:rsid w:val="00664B4F"/>
    <w:rsid w:val="007434E6"/>
    <w:rsid w:val="00875689"/>
    <w:rsid w:val="008E68E4"/>
    <w:rsid w:val="00965C5F"/>
    <w:rsid w:val="00A41766"/>
    <w:rsid w:val="00A976AD"/>
    <w:rsid w:val="00B47695"/>
    <w:rsid w:val="00B91397"/>
    <w:rsid w:val="00BF0594"/>
    <w:rsid w:val="00C80C77"/>
    <w:rsid w:val="00D45C27"/>
    <w:rsid w:val="00E22974"/>
    <w:rsid w:val="00F4382A"/>
    <w:rsid w:val="00F866CF"/>
    <w:rsid w:val="00FD4E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5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695"/>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lang w:eastAsia="en-NZ"/>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lang w:eastAsia="en-NZ"/>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lang w:eastAsia="en-NZ"/>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lang w:eastAsia="en-NZ"/>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lang w:eastAsia="en-NZ"/>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Calibri" w:eastAsia="Calibri" w:hAnsi="Calibri" w:cs="Calibri"/>
      <w:b/>
      <w:sz w:val="72"/>
      <w:szCs w:val="72"/>
      <w:lang w:eastAsia="en-NZ"/>
    </w:rPr>
  </w:style>
  <w:style w:type="paragraph" w:styleId="ListParagraph">
    <w:name w:val="List Paragraph"/>
    <w:basedOn w:val="Normal"/>
    <w:uiPriority w:val="34"/>
    <w:qFormat/>
    <w:rsid w:val="00E34370"/>
    <w:pPr>
      <w:spacing w:after="160" w:line="259" w:lineRule="auto"/>
      <w:ind w:left="720"/>
      <w:contextualSpacing/>
    </w:pPr>
    <w:rPr>
      <w:rFonts w:ascii="Calibri" w:eastAsia="Calibri" w:hAnsi="Calibri" w:cs="Calibri"/>
      <w:sz w:val="22"/>
      <w:szCs w:val="22"/>
      <w:lang w:eastAsia="en-NZ"/>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eastAsia="en-NZ"/>
    </w:rPr>
  </w:style>
  <w:style w:type="paragraph" w:styleId="CommentText">
    <w:name w:val="annotation text"/>
    <w:basedOn w:val="Normal"/>
    <w:link w:val="CommentTextChar"/>
    <w:uiPriority w:val="99"/>
    <w:semiHidden/>
    <w:unhideWhenUsed/>
    <w:pPr>
      <w:spacing w:after="160"/>
    </w:pPr>
    <w:rPr>
      <w:rFonts w:ascii="Calibri" w:eastAsia="Calibri" w:hAnsi="Calibri" w:cs="Calibri"/>
      <w:sz w:val="20"/>
      <w:szCs w:val="20"/>
      <w:lang w:eastAsia="en-NZ"/>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9CF"/>
    <w:rPr>
      <w:rFonts w:ascii="Segoe UI" w:eastAsia="Calibri" w:hAnsi="Segoe UI" w:cs="Segoe UI"/>
      <w:sz w:val="18"/>
      <w:szCs w:val="18"/>
      <w:lang w:eastAsia="en-NZ"/>
    </w:rPr>
  </w:style>
  <w:style w:type="character" w:customStyle="1" w:styleId="BalloonTextChar">
    <w:name w:val="Balloon Text Char"/>
    <w:basedOn w:val="DefaultParagraphFont"/>
    <w:link w:val="BalloonText"/>
    <w:uiPriority w:val="99"/>
    <w:semiHidden/>
    <w:rsid w:val="004D49CF"/>
    <w:rPr>
      <w:rFonts w:ascii="Segoe UI" w:hAnsi="Segoe UI" w:cs="Segoe UI"/>
      <w:sz w:val="18"/>
      <w:szCs w:val="18"/>
    </w:rPr>
  </w:style>
  <w:style w:type="paragraph" w:styleId="Header">
    <w:name w:val="header"/>
    <w:basedOn w:val="Normal"/>
    <w:link w:val="HeaderChar"/>
    <w:uiPriority w:val="99"/>
    <w:unhideWhenUsed/>
    <w:rsid w:val="00241531"/>
    <w:pPr>
      <w:tabs>
        <w:tab w:val="center" w:pos="4513"/>
        <w:tab w:val="right" w:pos="9026"/>
      </w:tabs>
    </w:pPr>
    <w:rPr>
      <w:rFonts w:ascii="Calibri" w:eastAsia="Calibri" w:hAnsi="Calibri" w:cs="Calibri"/>
      <w:sz w:val="22"/>
      <w:szCs w:val="22"/>
      <w:lang w:eastAsia="en-NZ"/>
    </w:rPr>
  </w:style>
  <w:style w:type="character" w:customStyle="1" w:styleId="HeaderChar">
    <w:name w:val="Header Char"/>
    <w:basedOn w:val="DefaultParagraphFont"/>
    <w:link w:val="Header"/>
    <w:uiPriority w:val="99"/>
    <w:rsid w:val="00241531"/>
  </w:style>
  <w:style w:type="paragraph" w:styleId="Footer">
    <w:name w:val="footer"/>
    <w:basedOn w:val="Normal"/>
    <w:link w:val="FooterChar"/>
    <w:uiPriority w:val="99"/>
    <w:unhideWhenUsed/>
    <w:rsid w:val="00241531"/>
    <w:pPr>
      <w:tabs>
        <w:tab w:val="center" w:pos="4513"/>
        <w:tab w:val="right" w:pos="9026"/>
      </w:tabs>
    </w:pPr>
    <w:rPr>
      <w:rFonts w:ascii="Calibri" w:eastAsia="Calibri" w:hAnsi="Calibri" w:cs="Calibri"/>
      <w:sz w:val="22"/>
      <w:szCs w:val="22"/>
      <w:lang w:eastAsia="en-NZ"/>
    </w:rPr>
  </w:style>
  <w:style w:type="character" w:customStyle="1" w:styleId="FooterChar">
    <w:name w:val="Footer Char"/>
    <w:basedOn w:val="DefaultParagraphFont"/>
    <w:link w:val="Footer"/>
    <w:uiPriority w:val="99"/>
    <w:rsid w:val="00241531"/>
  </w:style>
  <w:style w:type="paragraph" w:styleId="CommentSubject">
    <w:name w:val="annotation subject"/>
    <w:basedOn w:val="CommentText"/>
    <w:next w:val="CommentText"/>
    <w:link w:val="CommentSubjectChar"/>
    <w:uiPriority w:val="99"/>
    <w:semiHidden/>
    <w:unhideWhenUsed/>
    <w:rsid w:val="00B91397"/>
    <w:rPr>
      <w:b/>
      <w:bCs/>
    </w:rPr>
  </w:style>
  <w:style w:type="character" w:customStyle="1" w:styleId="CommentSubjectChar">
    <w:name w:val="Comment Subject Char"/>
    <w:basedOn w:val="CommentTextChar"/>
    <w:link w:val="CommentSubject"/>
    <w:uiPriority w:val="99"/>
    <w:semiHidden/>
    <w:rsid w:val="00B91397"/>
    <w:rPr>
      <w:b/>
      <w:bCs/>
      <w:sz w:val="20"/>
      <w:szCs w:val="20"/>
    </w:rPr>
  </w:style>
  <w:style w:type="paragraph" w:styleId="Revision">
    <w:name w:val="Revision"/>
    <w:hidden/>
    <w:uiPriority w:val="99"/>
    <w:semiHidden/>
    <w:rsid w:val="001C7E2D"/>
    <w:pPr>
      <w:spacing w:after="0" w:line="240" w:lineRule="auto"/>
    </w:pPr>
  </w:style>
  <w:style w:type="character" w:styleId="Hyperlink">
    <w:name w:val="Hyperlink"/>
    <w:basedOn w:val="DefaultParagraphFont"/>
    <w:uiPriority w:val="99"/>
    <w:semiHidden/>
    <w:unhideWhenUsed/>
    <w:rsid w:val="00BF0594"/>
    <w:rPr>
      <w:color w:val="0000FF"/>
      <w:u w:val="single"/>
    </w:rPr>
  </w:style>
  <w:style w:type="character" w:customStyle="1" w:styleId="text">
    <w:name w:val="text"/>
    <w:basedOn w:val="DefaultParagraphFont"/>
    <w:rsid w:val="00BF0594"/>
  </w:style>
  <w:style w:type="character" w:customStyle="1" w:styleId="title-text">
    <w:name w:val="title-text"/>
    <w:basedOn w:val="DefaultParagraphFont"/>
    <w:rsid w:val="00BF0594"/>
  </w:style>
  <w:style w:type="paragraph" w:styleId="HTMLPreformatted">
    <w:name w:val="HTML Preformatted"/>
    <w:basedOn w:val="Normal"/>
    <w:link w:val="HTMLPreformattedChar"/>
    <w:uiPriority w:val="99"/>
    <w:unhideWhenUsed/>
    <w:rsid w:val="00B47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47695"/>
    <w:rPr>
      <w:rFonts w:ascii="Courier New" w:eastAsia="Times New Roman" w:hAnsi="Courier New" w:cs="Courier New"/>
      <w:sz w:val="20"/>
      <w:szCs w:val="20"/>
      <w:lang w:eastAsia="en-US"/>
    </w:rPr>
  </w:style>
  <w:style w:type="character" w:customStyle="1" w:styleId="y2iqfc">
    <w:name w:val="y2iqfc"/>
    <w:basedOn w:val="DefaultParagraphFont"/>
    <w:rsid w:val="00B47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4647">
      <w:bodyDiv w:val="1"/>
      <w:marLeft w:val="0"/>
      <w:marRight w:val="0"/>
      <w:marTop w:val="0"/>
      <w:marBottom w:val="0"/>
      <w:divBdr>
        <w:top w:val="none" w:sz="0" w:space="0" w:color="auto"/>
        <w:left w:val="none" w:sz="0" w:space="0" w:color="auto"/>
        <w:bottom w:val="none" w:sz="0" w:space="0" w:color="auto"/>
        <w:right w:val="none" w:sz="0" w:space="0" w:color="auto"/>
      </w:divBdr>
      <w:divsChild>
        <w:div w:id="549152028">
          <w:marLeft w:val="0"/>
          <w:marRight w:val="0"/>
          <w:marTop w:val="0"/>
          <w:marBottom w:val="0"/>
          <w:divBdr>
            <w:top w:val="none" w:sz="0" w:space="0" w:color="auto"/>
            <w:left w:val="none" w:sz="0" w:space="0" w:color="auto"/>
            <w:bottom w:val="none" w:sz="0" w:space="0" w:color="auto"/>
            <w:right w:val="none" w:sz="0" w:space="0" w:color="auto"/>
          </w:divBdr>
        </w:div>
        <w:div w:id="78406850">
          <w:marLeft w:val="0"/>
          <w:marRight w:val="0"/>
          <w:marTop w:val="0"/>
          <w:marBottom w:val="0"/>
          <w:divBdr>
            <w:top w:val="none" w:sz="0" w:space="0" w:color="auto"/>
            <w:left w:val="none" w:sz="0" w:space="0" w:color="auto"/>
            <w:bottom w:val="none" w:sz="0" w:space="0" w:color="auto"/>
            <w:right w:val="none" w:sz="0" w:space="0" w:color="auto"/>
          </w:divBdr>
          <w:divsChild>
            <w:div w:id="1650089422">
              <w:marLeft w:val="0"/>
              <w:marRight w:val="165"/>
              <w:marTop w:val="150"/>
              <w:marBottom w:val="0"/>
              <w:divBdr>
                <w:top w:val="none" w:sz="0" w:space="0" w:color="auto"/>
                <w:left w:val="none" w:sz="0" w:space="0" w:color="auto"/>
                <w:bottom w:val="none" w:sz="0" w:space="0" w:color="auto"/>
                <w:right w:val="none" w:sz="0" w:space="0" w:color="auto"/>
              </w:divBdr>
              <w:divsChild>
                <w:div w:id="1627272131">
                  <w:marLeft w:val="0"/>
                  <w:marRight w:val="0"/>
                  <w:marTop w:val="0"/>
                  <w:marBottom w:val="0"/>
                  <w:divBdr>
                    <w:top w:val="none" w:sz="0" w:space="0" w:color="auto"/>
                    <w:left w:val="none" w:sz="0" w:space="0" w:color="auto"/>
                    <w:bottom w:val="none" w:sz="0" w:space="0" w:color="auto"/>
                    <w:right w:val="none" w:sz="0" w:space="0" w:color="auto"/>
                  </w:divBdr>
                  <w:divsChild>
                    <w:div w:id="21324299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4307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3565">
      <w:bodyDiv w:val="1"/>
      <w:marLeft w:val="0"/>
      <w:marRight w:val="0"/>
      <w:marTop w:val="0"/>
      <w:marBottom w:val="0"/>
      <w:divBdr>
        <w:top w:val="none" w:sz="0" w:space="0" w:color="auto"/>
        <w:left w:val="none" w:sz="0" w:space="0" w:color="auto"/>
        <w:bottom w:val="none" w:sz="0" w:space="0" w:color="auto"/>
        <w:right w:val="none" w:sz="0" w:space="0" w:color="auto"/>
      </w:divBdr>
    </w:div>
    <w:div w:id="613750388">
      <w:bodyDiv w:val="1"/>
      <w:marLeft w:val="0"/>
      <w:marRight w:val="0"/>
      <w:marTop w:val="0"/>
      <w:marBottom w:val="0"/>
      <w:divBdr>
        <w:top w:val="none" w:sz="0" w:space="0" w:color="auto"/>
        <w:left w:val="none" w:sz="0" w:space="0" w:color="auto"/>
        <w:bottom w:val="none" w:sz="0" w:space="0" w:color="auto"/>
        <w:right w:val="none" w:sz="0" w:space="0" w:color="auto"/>
      </w:divBdr>
    </w:div>
    <w:div w:id="850872313">
      <w:bodyDiv w:val="1"/>
      <w:marLeft w:val="0"/>
      <w:marRight w:val="0"/>
      <w:marTop w:val="0"/>
      <w:marBottom w:val="0"/>
      <w:divBdr>
        <w:top w:val="none" w:sz="0" w:space="0" w:color="auto"/>
        <w:left w:val="none" w:sz="0" w:space="0" w:color="auto"/>
        <w:bottom w:val="none" w:sz="0" w:space="0" w:color="auto"/>
        <w:right w:val="none" w:sz="0" w:space="0" w:color="auto"/>
      </w:divBdr>
    </w:div>
    <w:div w:id="1580289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encedirect.com/topics/food-science/tocophero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3F345-3470-4883-89EE-D2F8E5C58E02}">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244C22A-78E5-4FB5-99A9-B352812E1794}">
  <ds:schemaRefs>
    <ds:schemaRef ds:uri="6911e96c-4cc4-42d5-8e43-f93924cf6a05"/>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9c8a2b7b-0bee-4c48-b0a6-23db8982d3bc"/>
    <ds:schemaRef ds:uri="http://purl.org/dc/dcmitype/"/>
    <ds:schemaRef ds:uri="http://schemas.microsoft.com/office/infopath/2007/PartnerControls"/>
    <ds:schemaRef ds:uri="cab52c9b-ab33-4221-8af9-54f8f2b86a8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2022-10-26T01:43:00Z</dcterms:created>
  <dcterms:modified xsi:type="dcterms:W3CDTF">2022-10-26T01:43:00Z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