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5BB28" w14:textId="77777777" w:rsidR="00A46C05" w:rsidRPr="00E32DAD" w:rsidRDefault="00E32DAD" w:rsidP="00E32DAD">
      <w:pPr>
        <w:spacing w:after="120" w:line="240" w:lineRule="exact"/>
        <w:rPr>
          <w:rFonts w:ascii="Arial" w:hAnsi="Arial" w:cs="Arial"/>
          <w:b/>
        </w:rPr>
      </w:pPr>
      <w:r w:rsidRPr="00E32DAD">
        <w:rPr>
          <w:rFonts w:ascii="Arial" w:hAnsi="Arial" w:cs="Arial"/>
          <w:b/>
        </w:rPr>
        <w:t xml:space="preserve">Field testing bio-fungicides for efficacy </w:t>
      </w:r>
      <w:r w:rsidR="00ED7159" w:rsidRPr="00E32DAD">
        <w:rPr>
          <w:rFonts w:ascii="Arial" w:hAnsi="Arial" w:cs="Arial"/>
          <w:b/>
        </w:rPr>
        <w:t xml:space="preserve">against postharvest rots </w:t>
      </w:r>
      <w:r w:rsidR="006F64CC">
        <w:rPr>
          <w:rFonts w:ascii="Arial" w:hAnsi="Arial" w:cs="Arial"/>
          <w:b/>
        </w:rPr>
        <w:t xml:space="preserve">in New </w:t>
      </w:r>
      <w:r w:rsidR="006264A3">
        <w:rPr>
          <w:rFonts w:ascii="Arial" w:hAnsi="Arial" w:cs="Arial"/>
          <w:b/>
        </w:rPr>
        <w:t xml:space="preserve">Zealand </w:t>
      </w:r>
      <w:r w:rsidR="006264A3" w:rsidRPr="00E32DAD">
        <w:rPr>
          <w:rFonts w:ascii="Arial" w:hAnsi="Arial" w:cs="Arial"/>
          <w:b/>
        </w:rPr>
        <w:t>‘Hass’</w:t>
      </w:r>
      <w:r w:rsidR="006F64CC">
        <w:rPr>
          <w:rFonts w:ascii="Arial" w:hAnsi="Arial" w:cs="Arial"/>
          <w:b/>
        </w:rPr>
        <w:t xml:space="preserve"> </w:t>
      </w:r>
      <w:r w:rsidRPr="00E32DAD">
        <w:rPr>
          <w:rFonts w:ascii="Arial" w:hAnsi="Arial" w:cs="Arial"/>
          <w:b/>
        </w:rPr>
        <w:t>avocados</w:t>
      </w:r>
    </w:p>
    <w:p w14:paraId="3149C520" w14:textId="685C9432" w:rsidR="00E32DAD" w:rsidRPr="003F15FA" w:rsidRDefault="00792D15" w:rsidP="00E32DAD">
      <w:pPr>
        <w:spacing w:after="120" w:line="240" w:lineRule="exact"/>
        <w:rPr>
          <w:rFonts w:ascii="Arial" w:hAnsi="Arial" w:cs="Arial"/>
          <w:i/>
        </w:rPr>
      </w:pPr>
      <w:r w:rsidRPr="003F15FA">
        <w:rPr>
          <w:rFonts w:ascii="Arial" w:hAnsi="Arial" w:cs="Arial"/>
          <w:i/>
          <w:u w:val="single"/>
        </w:rPr>
        <w:t>Elmer PAG</w:t>
      </w:r>
      <w:r w:rsidR="006E1F6D" w:rsidRPr="003F15FA">
        <w:rPr>
          <w:rFonts w:ascii="Arial" w:hAnsi="Arial" w:cs="Arial"/>
          <w:i/>
          <w:u w:val="single"/>
          <w:vertAlign w:val="superscript"/>
        </w:rPr>
        <w:t>1</w:t>
      </w:r>
      <w:r w:rsidRPr="003F15FA">
        <w:rPr>
          <w:rFonts w:ascii="Arial" w:hAnsi="Arial" w:cs="Arial"/>
          <w:i/>
        </w:rPr>
        <w:t>, Lyall K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 xml:space="preserve">, </w:t>
      </w:r>
      <w:proofErr w:type="spellStart"/>
      <w:r w:rsidRPr="003F15FA">
        <w:rPr>
          <w:rFonts w:ascii="Arial" w:hAnsi="Arial" w:cs="Arial"/>
          <w:i/>
        </w:rPr>
        <w:t>Hoyte</w:t>
      </w:r>
      <w:proofErr w:type="spellEnd"/>
      <w:r w:rsidRPr="003F15FA">
        <w:rPr>
          <w:rFonts w:ascii="Arial" w:hAnsi="Arial" w:cs="Arial"/>
          <w:i/>
        </w:rPr>
        <w:t xml:space="preserve"> S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Parry F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 xml:space="preserve">, </w:t>
      </w:r>
      <w:r w:rsidR="006E1F6D" w:rsidRPr="003F15FA">
        <w:rPr>
          <w:rFonts w:ascii="Arial" w:hAnsi="Arial" w:cs="Arial"/>
          <w:i/>
        </w:rPr>
        <w:t>Wright P</w:t>
      </w:r>
      <w:r w:rsidR="006E1F6D" w:rsidRPr="003F15FA">
        <w:rPr>
          <w:rFonts w:ascii="Arial" w:hAnsi="Arial" w:cs="Arial"/>
          <w:i/>
          <w:vertAlign w:val="superscript"/>
        </w:rPr>
        <w:t>2</w:t>
      </w:r>
      <w:r w:rsidR="006E1F6D" w:rsidRPr="003F15FA">
        <w:rPr>
          <w:rFonts w:ascii="Arial" w:hAnsi="Arial" w:cs="Arial"/>
          <w:i/>
        </w:rPr>
        <w:t xml:space="preserve">, </w:t>
      </w:r>
      <w:r w:rsidRPr="003F15FA">
        <w:rPr>
          <w:rFonts w:ascii="Arial" w:hAnsi="Arial" w:cs="Arial"/>
          <w:i/>
        </w:rPr>
        <w:t>Ramos Romero L</w:t>
      </w:r>
      <w:r w:rsidR="006E1F6D" w:rsidRPr="003F15FA">
        <w:rPr>
          <w:rFonts w:ascii="Arial" w:hAnsi="Arial" w:cs="Arial"/>
          <w:i/>
          <w:vertAlign w:val="superscript"/>
        </w:rPr>
        <w:t>3</w:t>
      </w:r>
      <w:r w:rsidRPr="003F15FA">
        <w:rPr>
          <w:rFonts w:ascii="Arial" w:hAnsi="Arial" w:cs="Arial"/>
          <w:i/>
        </w:rPr>
        <w:t xml:space="preserve">, </w:t>
      </w:r>
      <w:r w:rsidR="006E1F6D" w:rsidRPr="003F15FA">
        <w:rPr>
          <w:rFonts w:ascii="Arial" w:hAnsi="Arial" w:cs="Arial"/>
          <w:i/>
        </w:rPr>
        <w:t>Marshall S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="006E1F6D" w:rsidRPr="003F15FA">
        <w:rPr>
          <w:rFonts w:ascii="Arial" w:hAnsi="Arial" w:cs="Arial"/>
          <w:i/>
        </w:rPr>
        <w:t>, Sorens</w:t>
      </w:r>
      <w:r w:rsidR="000043C6" w:rsidRPr="003F15FA">
        <w:rPr>
          <w:rFonts w:ascii="Arial" w:hAnsi="Arial" w:cs="Arial"/>
          <w:i/>
        </w:rPr>
        <w:t>e</w:t>
      </w:r>
      <w:r w:rsidR="006E1F6D" w:rsidRPr="003F15FA">
        <w:rPr>
          <w:rFonts w:ascii="Arial" w:hAnsi="Arial" w:cs="Arial"/>
          <w:i/>
        </w:rPr>
        <w:t>n S</w:t>
      </w:r>
      <w:r w:rsidR="006E1F6D" w:rsidRPr="003F15FA">
        <w:rPr>
          <w:rFonts w:ascii="Arial" w:hAnsi="Arial" w:cs="Arial"/>
          <w:i/>
          <w:vertAlign w:val="superscript"/>
        </w:rPr>
        <w:t>5</w:t>
      </w:r>
      <w:r w:rsidR="006E1F6D" w:rsidRPr="003F15FA">
        <w:rPr>
          <w:rFonts w:ascii="Arial" w:hAnsi="Arial" w:cs="Arial"/>
          <w:i/>
        </w:rPr>
        <w:t xml:space="preserve">, </w:t>
      </w:r>
      <w:proofErr w:type="spellStart"/>
      <w:r w:rsidR="006E1F6D" w:rsidRPr="003F15FA">
        <w:rPr>
          <w:rFonts w:ascii="Arial" w:hAnsi="Arial" w:cs="Arial"/>
          <w:i/>
        </w:rPr>
        <w:t>Hedderl</w:t>
      </w:r>
      <w:r w:rsidR="001406E1">
        <w:rPr>
          <w:rFonts w:ascii="Arial" w:hAnsi="Arial" w:cs="Arial"/>
          <w:i/>
        </w:rPr>
        <w:t>e</w:t>
      </w:r>
      <w:r w:rsidR="006E1F6D" w:rsidRPr="003F15FA">
        <w:rPr>
          <w:rFonts w:ascii="Arial" w:hAnsi="Arial" w:cs="Arial"/>
          <w:i/>
        </w:rPr>
        <w:t>y</w:t>
      </w:r>
      <w:proofErr w:type="spellEnd"/>
      <w:r w:rsidR="006E1F6D" w:rsidRPr="003F15FA">
        <w:rPr>
          <w:rFonts w:ascii="Arial" w:hAnsi="Arial" w:cs="Arial"/>
          <w:i/>
        </w:rPr>
        <w:t xml:space="preserve"> D</w:t>
      </w:r>
      <w:r w:rsidR="006E1F6D" w:rsidRPr="003F15FA">
        <w:rPr>
          <w:rFonts w:ascii="Arial" w:hAnsi="Arial" w:cs="Arial"/>
          <w:i/>
          <w:vertAlign w:val="superscript"/>
        </w:rPr>
        <w:t>4</w:t>
      </w:r>
      <w:r w:rsidR="006E1F6D" w:rsidRPr="003F15FA">
        <w:rPr>
          <w:rFonts w:ascii="Arial" w:hAnsi="Arial" w:cs="Arial"/>
          <w:i/>
        </w:rPr>
        <w:t>,</w:t>
      </w:r>
      <w:r w:rsidR="00A12C70" w:rsidRPr="003F15FA">
        <w:rPr>
          <w:rFonts w:ascii="Arial" w:hAnsi="Arial" w:cs="Arial"/>
          <w:i/>
        </w:rPr>
        <w:t xml:space="preserve"> Wise B</w:t>
      </w:r>
      <w:r w:rsidR="00891257" w:rsidRPr="003F15FA">
        <w:rPr>
          <w:rFonts w:ascii="Arial" w:hAnsi="Arial" w:cs="Arial"/>
          <w:i/>
          <w:vertAlign w:val="superscript"/>
        </w:rPr>
        <w:t>1</w:t>
      </w:r>
      <w:r w:rsidR="00A12C70" w:rsidRPr="003F15FA">
        <w:rPr>
          <w:rFonts w:ascii="Arial" w:hAnsi="Arial" w:cs="Arial"/>
          <w:i/>
        </w:rPr>
        <w:t>,</w:t>
      </w:r>
      <w:r w:rsidR="006E1F6D" w:rsidRPr="003F15FA">
        <w:rPr>
          <w:rFonts w:ascii="Arial" w:hAnsi="Arial" w:cs="Arial"/>
          <w:i/>
        </w:rPr>
        <w:t xml:space="preserve"> </w:t>
      </w:r>
      <w:r w:rsidR="00A12C70" w:rsidRPr="003F15FA">
        <w:rPr>
          <w:rFonts w:ascii="Arial" w:hAnsi="Arial" w:cs="Arial"/>
          <w:i/>
        </w:rPr>
        <w:t>Fehlmann C</w:t>
      </w:r>
      <w:r w:rsidR="00891257" w:rsidRPr="003F15FA">
        <w:rPr>
          <w:rFonts w:ascii="Arial" w:hAnsi="Arial" w:cs="Arial"/>
          <w:i/>
          <w:vertAlign w:val="superscript"/>
        </w:rPr>
        <w:t>1</w:t>
      </w:r>
      <w:r w:rsidR="00A12C70" w:rsidRPr="003F15FA">
        <w:rPr>
          <w:rFonts w:ascii="Arial" w:hAnsi="Arial" w:cs="Arial"/>
          <w:i/>
        </w:rPr>
        <w:t xml:space="preserve">, </w:t>
      </w:r>
      <w:r w:rsidR="006E1F6D" w:rsidRPr="003F15FA">
        <w:rPr>
          <w:rFonts w:ascii="Arial" w:hAnsi="Arial" w:cs="Arial"/>
          <w:i/>
        </w:rPr>
        <w:t>Wurms K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="006E1F6D" w:rsidRPr="003F15FA">
        <w:rPr>
          <w:rFonts w:ascii="Arial" w:hAnsi="Arial" w:cs="Arial"/>
          <w:i/>
        </w:rPr>
        <w:t>, Ah Chee A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="006E1F6D" w:rsidRPr="003F15FA">
        <w:rPr>
          <w:rFonts w:ascii="Arial" w:hAnsi="Arial" w:cs="Arial"/>
          <w:i/>
        </w:rPr>
        <w:t>, Phipps J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="006E1F6D" w:rsidRPr="003F15FA">
        <w:rPr>
          <w:rFonts w:ascii="Arial" w:hAnsi="Arial" w:cs="Arial"/>
          <w:i/>
        </w:rPr>
        <w:t>, McAlinden J</w:t>
      </w:r>
      <w:r w:rsidR="006E1F6D" w:rsidRPr="003F15FA">
        <w:rPr>
          <w:rFonts w:ascii="Arial" w:hAnsi="Arial" w:cs="Arial"/>
          <w:i/>
          <w:vertAlign w:val="superscript"/>
        </w:rPr>
        <w:t>1</w:t>
      </w:r>
      <w:r w:rsidR="00A12C70" w:rsidRPr="003F15FA">
        <w:rPr>
          <w:rFonts w:ascii="Arial" w:hAnsi="Arial" w:cs="Arial"/>
          <w:i/>
        </w:rPr>
        <w:t>, Alavi M</w:t>
      </w:r>
      <w:r w:rsidR="00A12C70" w:rsidRPr="003F15FA">
        <w:rPr>
          <w:rFonts w:ascii="Arial" w:hAnsi="Arial" w:cs="Arial"/>
          <w:i/>
          <w:vertAlign w:val="superscript"/>
        </w:rPr>
        <w:t>3</w:t>
      </w:r>
      <w:r w:rsidR="00A12C70" w:rsidRPr="003F15FA">
        <w:rPr>
          <w:rFonts w:ascii="Arial" w:hAnsi="Arial" w:cs="Arial"/>
          <w:i/>
        </w:rPr>
        <w:t>, Tapia M</w:t>
      </w:r>
      <w:r w:rsidR="00A12C70" w:rsidRPr="003F15FA">
        <w:rPr>
          <w:rFonts w:ascii="Arial" w:hAnsi="Arial" w:cs="Arial"/>
          <w:i/>
          <w:vertAlign w:val="superscript"/>
        </w:rPr>
        <w:t>5</w:t>
      </w:r>
      <w:r w:rsidR="00B231CA">
        <w:rPr>
          <w:rFonts w:ascii="Arial" w:hAnsi="Arial" w:cs="Arial"/>
          <w:i/>
        </w:rPr>
        <w:t>,</w:t>
      </w:r>
      <w:r w:rsidR="006E1F6D" w:rsidRPr="003F15FA">
        <w:rPr>
          <w:rFonts w:ascii="Arial" w:hAnsi="Arial" w:cs="Arial"/>
          <w:i/>
        </w:rPr>
        <w:t xml:space="preserve"> West P</w:t>
      </w:r>
      <w:r w:rsidR="006E1F6D" w:rsidRPr="003F15FA">
        <w:rPr>
          <w:rFonts w:ascii="Arial" w:hAnsi="Arial" w:cs="Arial"/>
          <w:i/>
          <w:vertAlign w:val="superscript"/>
        </w:rPr>
        <w:t>5</w:t>
      </w:r>
      <w:r w:rsidR="006E1F6D" w:rsidRPr="003F15FA">
        <w:rPr>
          <w:rFonts w:ascii="Arial" w:hAnsi="Arial" w:cs="Arial"/>
          <w:i/>
        </w:rPr>
        <w:t xml:space="preserve">. </w:t>
      </w:r>
    </w:p>
    <w:p w14:paraId="2F93D0BF" w14:textId="1D68DF4A" w:rsidR="00A46C05" w:rsidRDefault="00A46C05" w:rsidP="00A46C05">
      <w:pPr>
        <w:spacing w:after="120" w:line="24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New Zealand Institute for Plant and Food Research Ltd, Ruakura</w:t>
      </w: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Cs w:val="20"/>
        </w:rPr>
        <w:t xml:space="preserve">, </w:t>
      </w:r>
      <w:r w:rsidR="006E1F6D">
        <w:rPr>
          <w:rFonts w:ascii="Arial" w:hAnsi="Arial" w:cs="Arial"/>
          <w:szCs w:val="20"/>
        </w:rPr>
        <w:t>Pukekohe</w:t>
      </w:r>
      <w:r w:rsidR="006E1F6D">
        <w:rPr>
          <w:rFonts w:ascii="Arial" w:hAnsi="Arial" w:cs="Arial"/>
          <w:vertAlign w:val="superscript"/>
        </w:rPr>
        <w:t>2</w:t>
      </w:r>
      <w:r w:rsidR="006E1F6D">
        <w:rPr>
          <w:rFonts w:ascii="Arial" w:hAnsi="Arial" w:cs="Arial"/>
          <w:szCs w:val="20"/>
        </w:rPr>
        <w:t xml:space="preserve">, </w:t>
      </w:r>
      <w:r w:rsidRPr="00C92856">
        <w:rPr>
          <w:rFonts w:ascii="Arial" w:hAnsi="Arial" w:cs="Arial"/>
          <w:szCs w:val="20"/>
        </w:rPr>
        <w:t>Auckland</w:t>
      </w:r>
      <w:r w:rsidR="006E1F6D" w:rsidRPr="006E1F6D">
        <w:rPr>
          <w:rFonts w:ascii="Arial" w:hAnsi="Arial" w:cs="Arial"/>
          <w:szCs w:val="20"/>
          <w:vertAlign w:val="superscript"/>
        </w:rPr>
        <w:t>3</w:t>
      </w:r>
      <w:r w:rsidR="006E1F6D">
        <w:rPr>
          <w:rFonts w:ascii="Arial" w:hAnsi="Arial" w:cs="Arial"/>
          <w:szCs w:val="20"/>
        </w:rPr>
        <w:t xml:space="preserve">, Palmerston </w:t>
      </w:r>
      <w:r w:rsidR="006E1F6D" w:rsidRPr="002147A9">
        <w:rPr>
          <w:rFonts w:ascii="Arial" w:hAnsi="Arial" w:cs="Arial"/>
          <w:szCs w:val="20"/>
        </w:rPr>
        <w:t>North</w:t>
      </w:r>
      <w:r w:rsidR="006E1F6D" w:rsidRPr="005A6D27">
        <w:rPr>
          <w:rFonts w:ascii="Arial" w:hAnsi="Arial" w:cs="Arial"/>
          <w:vertAlign w:val="superscript"/>
        </w:rPr>
        <w:t>4</w:t>
      </w:r>
      <w:r w:rsidR="002147A9">
        <w:rPr>
          <w:rFonts w:ascii="Arial" w:hAnsi="Arial" w:cs="Arial"/>
        </w:rPr>
        <w:t xml:space="preserve">, </w:t>
      </w:r>
      <w:r w:rsidR="006E1F6D" w:rsidRPr="002147A9">
        <w:rPr>
          <w:rFonts w:ascii="Arial" w:hAnsi="Arial" w:cs="Arial"/>
        </w:rPr>
        <w:t>The</w:t>
      </w:r>
      <w:r w:rsidR="006E1F6D">
        <w:rPr>
          <w:rFonts w:ascii="Arial" w:hAnsi="Arial" w:cs="Arial"/>
        </w:rPr>
        <w:t xml:space="preserve"> New Zealand Avocado </w:t>
      </w:r>
      <w:r w:rsidR="00246489">
        <w:rPr>
          <w:rFonts w:ascii="Arial" w:hAnsi="Arial" w:cs="Arial"/>
        </w:rPr>
        <w:t>Industry</w:t>
      </w:r>
      <w:r w:rsidR="006E1F6D">
        <w:rPr>
          <w:rFonts w:ascii="Arial" w:hAnsi="Arial" w:cs="Arial"/>
        </w:rPr>
        <w:t xml:space="preserve"> Limited</w:t>
      </w:r>
      <w:r w:rsidR="006E1F6D">
        <w:rPr>
          <w:rFonts w:ascii="Arial" w:hAnsi="Arial" w:cs="Arial"/>
          <w:vertAlign w:val="superscript"/>
        </w:rPr>
        <w:t>5</w:t>
      </w:r>
    </w:p>
    <w:p w14:paraId="4950EF0F" w14:textId="367BA06E" w:rsidR="0065170F" w:rsidRDefault="005D577A" w:rsidP="002147A9">
      <w:pPr>
        <w:pStyle w:val="CommentText"/>
        <w:spacing w:before="240" w:after="120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Postharvest </w:t>
      </w:r>
      <w:r w:rsidR="007A3F47">
        <w:rPr>
          <w:rFonts w:ascii="Arial" w:hAnsi="Arial" w:cs="Arial"/>
        </w:rPr>
        <w:t xml:space="preserve">avocado </w:t>
      </w:r>
      <w:r w:rsidR="000F0D65" w:rsidRPr="000F0D65">
        <w:rPr>
          <w:rFonts w:ascii="Arial" w:hAnsi="Arial" w:cs="Arial"/>
        </w:rPr>
        <w:t>rot</w:t>
      </w:r>
      <w:r w:rsidR="007A3F47">
        <w:rPr>
          <w:rFonts w:ascii="Arial" w:hAnsi="Arial" w:cs="Arial"/>
        </w:rPr>
        <w:t>s</w:t>
      </w:r>
      <w:r w:rsidR="000F0D65" w:rsidRPr="000F0D65">
        <w:rPr>
          <w:rFonts w:ascii="Arial" w:hAnsi="Arial" w:cs="Arial"/>
        </w:rPr>
        <w:t xml:space="preserve"> </w:t>
      </w:r>
      <w:r w:rsidR="007A3F47">
        <w:rPr>
          <w:rFonts w:ascii="Arial" w:hAnsi="Arial" w:cs="Arial"/>
        </w:rPr>
        <w:t>in New Zealand are caused by five main pathogens</w:t>
      </w:r>
      <w:r w:rsidR="006F64CC">
        <w:rPr>
          <w:rFonts w:ascii="Arial" w:hAnsi="Arial" w:cs="Arial"/>
        </w:rPr>
        <w:t>,</w:t>
      </w:r>
      <w:r w:rsidR="000F0D65" w:rsidRPr="000F0D65">
        <w:rPr>
          <w:rFonts w:ascii="Arial" w:hAnsi="Arial" w:cs="Arial"/>
        </w:rPr>
        <w:t xml:space="preserve"> </w:t>
      </w:r>
      <w:r w:rsidR="007A3F47">
        <w:rPr>
          <w:rFonts w:ascii="Arial" w:hAnsi="Arial" w:cs="Arial"/>
        </w:rPr>
        <w:t xml:space="preserve">namely, </w:t>
      </w:r>
      <w:proofErr w:type="spellStart"/>
      <w:r w:rsidR="007A3F47" w:rsidRPr="00492067">
        <w:rPr>
          <w:rFonts w:ascii="Arial" w:hAnsi="Arial" w:cs="Arial"/>
          <w:i/>
        </w:rPr>
        <w:t>Colletotrichum</w:t>
      </w:r>
      <w:proofErr w:type="spellEnd"/>
      <w:r w:rsidR="007A3F47" w:rsidRPr="00492067">
        <w:rPr>
          <w:rFonts w:ascii="Arial" w:hAnsi="Arial" w:cs="Arial"/>
          <w:i/>
        </w:rPr>
        <w:t xml:space="preserve"> </w:t>
      </w:r>
      <w:proofErr w:type="spellStart"/>
      <w:r w:rsidR="007A3F47" w:rsidRPr="00492067">
        <w:rPr>
          <w:rFonts w:ascii="Arial" w:hAnsi="Arial" w:cs="Arial"/>
          <w:i/>
        </w:rPr>
        <w:t>gloeosporioides</w:t>
      </w:r>
      <w:proofErr w:type="spellEnd"/>
      <w:r w:rsidR="007A3F47" w:rsidRPr="00492067">
        <w:rPr>
          <w:rFonts w:ascii="Arial" w:hAnsi="Arial" w:cs="Arial"/>
        </w:rPr>
        <w:t xml:space="preserve"> and </w:t>
      </w:r>
      <w:proofErr w:type="spellStart"/>
      <w:r w:rsidR="007A3F47" w:rsidRPr="00492067">
        <w:rPr>
          <w:rFonts w:ascii="Arial" w:hAnsi="Arial" w:cs="Arial"/>
          <w:i/>
        </w:rPr>
        <w:t>Colletotrichum</w:t>
      </w:r>
      <w:proofErr w:type="spellEnd"/>
      <w:r w:rsidR="007A3F47" w:rsidRPr="00492067">
        <w:rPr>
          <w:rFonts w:ascii="Arial" w:hAnsi="Arial" w:cs="Arial"/>
          <w:i/>
        </w:rPr>
        <w:t xml:space="preserve"> </w:t>
      </w:r>
      <w:proofErr w:type="spellStart"/>
      <w:r w:rsidR="007A3F47" w:rsidRPr="00492067">
        <w:rPr>
          <w:rFonts w:ascii="Arial" w:hAnsi="Arial" w:cs="Arial"/>
          <w:i/>
        </w:rPr>
        <w:t>acutatum</w:t>
      </w:r>
      <w:proofErr w:type="spellEnd"/>
      <w:r w:rsidR="007A3F47" w:rsidRPr="00492067">
        <w:rPr>
          <w:rFonts w:ascii="Arial" w:hAnsi="Arial" w:cs="Arial"/>
        </w:rPr>
        <w:t xml:space="preserve"> complexes</w:t>
      </w:r>
      <w:r w:rsidR="00172537">
        <w:rPr>
          <w:rFonts w:ascii="Arial" w:hAnsi="Arial" w:cs="Arial"/>
        </w:rPr>
        <w:t xml:space="preserve">, </w:t>
      </w:r>
      <w:proofErr w:type="spellStart"/>
      <w:r w:rsidR="007A3F47" w:rsidRPr="00492067">
        <w:rPr>
          <w:rFonts w:ascii="Arial" w:hAnsi="Arial" w:cs="Arial"/>
          <w:i/>
        </w:rPr>
        <w:t>Neofusico</w:t>
      </w:r>
      <w:r w:rsidR="00D14E0F">
        <w:rPr>
          <w:rFonts w:ascii="Arial" w:hAnsi="Arial" w:cs="Arial"/>
          <w:i/>
        </w:rPr>
        <w:t>c</w:t>
      </w:r>
      <w:r w:rsidR="007A3F47" w:rsidRPr="00492067">
        <w:rPr>
          <w:rFonts w:ascii="Arial" w:hAnsi="Arial" w:cs="Arial"/>
          <w:i/>
        </w:rPr>
        <w:t>cum</w:t>
      </w:r>
      <w:proofErr w:type="spellEnd"/>
      <w:r w:rsidR="007A3F47" w:rsidRPr="00492067">
        <w:rPr>
          <w:rFonts w:ascii="Arial" w:hAnsi="Arial" w:cs="Arial"/>
          <w:i/>
        </w:rPr>
        <w:t xml:space="preserve"> </w:t>
      </w:r>
      <w:proofErr w:type="spellStart"/>
      <w:r w:rsidR="007A3F47" w:rsidRPr="00492067">
        <w:rPr>
          <w:rFonts w:ascii="Arial" w:hAnsi="Arial" w:cs="Arial"/>
          <w:i/>
        </w:rPr>
        <w:t>parvum</w:t>
      </w:r>
      <w:proofErr w:type="spellEnd"/>
      <w:r w:rsidR="007A3F47" w:rsidRPr="00492067">
        <w:rPr>
          <w:rFonts w:ascii="Arial" w:hAnsi="Arial" w:cs="Arial"/>
        </w:rPr>
        <w:t xml:space="preserve">, </w:t>
      </w:r>
      <w:proofErr w:type="spellStart"/>
      <w:r w:rsidR="007A3F47" w:rsidRPr="00492067">
        <w:rPr>
          <w:rFonts w:ascii="Arial" w:hAnsi="Arial" w:cs="Arial"/>
          <w:i/>
        </w:rPr>
        <w:t>Botryosphaeria</w:t>
      </w:r>
      <w:proofErr w:type="spellEnd"/>
      <w:r w:rsidR="007A3F47" w:rsidRPr="00492067">
        <w:rPr>
          <w:rFonts w:ascii="Arial" w:hAnsi="Arial" w:cs="Arial"/>
          <w:i/>
        </w:rPr>
        <w:t xml:space="preserve"> </w:t>
      </w:r>
      <w:proofErr w:type="spellStart"/>
      <w:r w:rsidR="007A3F47" w:rsidRPr="00492067">
        <w:rPr>
          <w:rFonts w:ascii="Arial" w:hAnsi="Arial" w:cs="Arial"/>
          <w:i/>
        </w:rPr>
        <w:t>dothidea</w:t>
      </w:r>
      <w:proofErr w:type="spellEnd"/>
      <w:r w:rsidR="007A3F47" w:rsidRPr="00492067">
        <w:rPr>
          <w:rFonts w:ascii="Arial" w:hAnsi="Arial" w:cs="Arial"/>
        </w:rPr>
        <w:t xml:space="preserve"> and </w:t>
      </w:r>
      <w:proofErr w:type="spellStart"/>
      <w:r w:rsidR="007A3F47" w:rsidRPr="00492067">
        <w:rPr>
          <w:rFonts w:ascii="Arial" w:hAnsi="Arial" w:cs="Arial"/>
          <w:i/>
        </w:rPr>
        <w:t>Diaporthe</w:t>
      </w:r>
      <w:proofErr w:type="spellEnd"/>
      <w:r w:rsidR="007A3F47" w:rsidRPr="00492067">
        <w:rPr>
          <w:rFonts w:ascii="Arial" w:hAnsi="Arial" w:cs="Arial"/>
        </w:rPr>
        <w:t xml:space="preserve"> spp.</w:t>
      </w:r>
      <w:r w:rsidR="007A3F47">
        <w:rPr>
          <w:rFonts w:ascii="Arial" w:hAnsi="Arial" w:cs="Arial"/>
        </w:rPr>
        <w:t xml:space="preserve"> </w:t>
      </w:r>
      <w:r w:rsidR="00172537">
        <w:rPr>
          <w:rFonts w:ascii="Arial" w:hAnsi="Arial" w:cs="Arial"/>
        </w:rPr>
        <w:t>Disease control is based primarily on copper-based fungicides and orchard hygiene</w:t>
      </w:r>
      <w:r w:rsidR="00D14E0F">
        <w:rPr>
          <w:rFonts w:ascii="Arial" w:hAnsi="Arial" w:cs="Arial"/>
        </w:rPr>
        <w:t>,</w:t>
      </w:r>
      <w:r w:rsidR="00172537">
        <w:rPr>
          <w:rFonts w:ascii="Arial" w:hAnsi="Arial" w:cs="Arial"/>
        </w:rPr>
        <w:t xml:space="preserve"> and the rapidly expanding avocado industry </w:t>
      </w:r>
      <w:r w:rsidR="00ED7159">
        <w:rPr>
          <w:rFonts w:ascii="Arial" w:hAnsi="Arial" w:cs="Arial"/>
        </w:rPr>
        <w:t xml:space="preserve">is </w:t>
      </w:r>
      <w:r w:rsidR="007A3F47">
        <w:rPr>
          <w:rFonts w:ascii="Arial" w:hAnsi="Arial" w:cs="Arial"/>
        </w:rPr>
        <w:t>urgently seeking alternatives to copper-based products.</w:t>
      </w:r>
      <w:r w:rsidR="00D301AC">
        <w:rPr>
          <w:rFonts w:ascii="Arial" w:hAnsi="Arial" w:cs="Arial"/>
        </w:rPr>
        <w:t xml:space="preserve"> To address this issue, one laboratory (Trial 1) and two field trials were carried out (Trial 2 and 3). </w:t>
      </w:r>
      <w:r w:rsidR="003C3A11">
        <w:rPr>
          <w:rFonts w:ascii="Arial" w:hAnsi="Arial" w:cs="Arial"/>
        </w:rPr>
        <w:t>Fourteen</w:t>
      </w:r>
      <w:r w:rsidR="00D301AC">
        <w:rPr>
          <w:rFonts w:ascii="Arial" w:hAnsi="Arial" w:cs="Arial"/>
        </w:rPr>
        <w:t xml:space="preserve"> commercially available, registered bio-fungicides were evaluated for efficacy against </w:t>
      </w:r>
      <w:r w:rsidR="00D301AC" w:rsidRPr="00001C90">
        <w:rPr>
          <w:rFonts w:ascii="Arial" w:hAnsi="Arial" w:cs="Arial"/>
          <w:i/>
        </w:rPr>
        <w:t xml:space="preserve">C. </w:t>
      </w:r>
      <w:proofErr w:type="spellStart"/>
      <w:r w:rsidR="00D301AC" w:rsidRPr="00001C90">
        <w:rPr>
          <w:rFonts w:ascii="Arial" w:hAnsi="Arial" w:cs="Arial"/>
          <w:i/>
        </w:rPr>
        <w:t>fioriniae</w:t>
      </w:r>
      <w:proofErr w:type="spellEnd"/>
      <w:r w:rsidR="00D301AC">
        <w:rPr>
          <w:rFonts w:ascii="Arial" w:hAnsi="Arial" w:cs="Arial"/>
        </w:rPr>
        <w:t xml:space="preserve"> and </w:t>
      </w:r>
      <w:r w:rsidR="00D301AC" w:rsidRPr="00001C90">
        <w:rPr>
          <w:rFonts w:ascii="Arial" w:hAnsi="Arial" w:cs="Arial"/>
          <w:i/>
        </w:rPr>
        <w:t xml:space="preserve">C. </w:t>
      </w:r>
      <w:proofErr w:type="spellStart"/>
      <w:r w:rsidR="00D301AC" w:rsidRPr="00001C90">
        <w:rPr>
          <w:rFonts w:ascii="Arial" w:hAnsi="Arial" w:cs="Arial"/>
          <w:i/>
        </w:rPr>
        <w:t>kahawae</w:t>
      </w:r>
      <w:proofErr w:type="spellEnd"/>
      <w:r w:rsidR="00D301AC">
        <w:rPr>
          <w:rFonts w:ascii="Arial" w:hAnsi="Arial" w:cs="Arial"/>
        </w:rPr>
        <w:t xml:space="preserve"> in wound-based bioassays on detached ‘Hass’ avocado fruit (Trial 1)</w:t>
      </w:r>
      <w:r w:rsidR="003C3A11">
        <w:rPr>
          <w:rFonts w:ascii="Arial" w:hAnsi="Arial" w:cs="Arial"/>
        </w:rPr>
        <w:t xml:space="preserve"> in 2019. </w:t>
      </w:r>
      <w:r w:rsidR="004132E8">
        <w:rPr>
          <w:rFonts w:ascii="Arial" w:hAnsi="Arial" w:cs="Arial"/>
        </w:rPr>
        <w:t>Four</w:t>
      </w:r>
      <w:r w:rsidR="004132E8" w:rsidDel="003761AF">
        <w:rPr>
          <w:rFonts w:ascii="Arial" w:hAnsi="Arial" w:cs="Arial"/>
        </w:rPr>
        <w:t xml:space="preserve"> </w:t>
      </w:r>
      <w:proofErr w:type="spellStart"/>
      <w:r w:rsidR="004132E8">
        <w:rPr>
          <w:rFonts w:ascii="Arial" w:hAnsi="Arial" w:cs="Arial"/>
        </w:rPr>
        <w:t>biofungicides</w:t>
      </w:r>
      <w:proofErr w:type="spellEnd"/>
      <w:r w:rsidR="004132E8">
        <w:rPr>
          <w:rFonts w:ascii="Arial" w:hAnsi="Arial" w:cs="Arial"/>
        </w:rPr>
        <w:t xml:space="preserve"> products, </w:t>
      </w:r>
      <w:proofErr w:type="spellStart"/>
      <w:r w:rsidR="004132E8">
        <w:rPr>
          <w:rFonts w:ascii="Arial" w:hAnsi="Arial" w:cs="Arial"/>
        </w:rPr>
        <w:t>A</w:t>
      </w:r>
      <w:r w:rsidR="0096082A">
        <w:rPr>
          <w:rFonts w:ascii="Arial" w:hAnsi="Arial" w:cs="Arial"/>
        </w:rPr>
        <w:t>ureo</w:t>
      </w:r>
      <w:proofErr w:type="spellEnd"/>
      <w:r w:rsidR="0096082A">
        <w:rPr>
          <w:rFonts w:ascii="Arial" w:hAnsi="Arial" w:cs="Arial"/>
        </w:rPr>
        <w:t>® Gold, BCA2</w:t>
      </w:r>
      <w:r w:rsidR="004132E8" w:rsidRPr="00492067">
        <w:rPr>
          <w:rFonts w:ascii="Arial" w:hAnsi="Arial" w:cs="Arial"/>
        </w:rPr>
        <w:t>, BOTRY-Zen® and Sentinel®</w:t>
      </w:r>
      <w:r w:rsidR="004132E8">
        <w:rPr>
          <w:rFonts w:ascii="Arial" w:hAnsi="Arial" w:cs="Arial"/>
        </w:rPr>
        <w:t xml:space="preserve"> demonstrated significant efficacy against both pathogens and were advanced </w:t>
      </w:r>
      <w:r w:rsidR="003F3AC7">
        <w:rPr>
          <w:rFonts w:ascii="Arial" w:hAnsi="Arial" w:cs="Arial"/>
        </w:rPr>
        <w:t>–</w:t>
      </w:r>
      <w:r w:rsidR="004132E8">
        <w:rPr>
          <w:rFonts w:ascii="Arial" w:hAnsi="Arial" w:cs="Arial"/>
        </w:rPr>
        <w:t xml:space="preserve"> </w:t>
      </w:r>
      <w:r w:rsidR="003F3AC7">
        <w:rPr>
          <w:rFonts w:ascii="Arial" w:hAnsi="Arial" w:cs="Arial"/>
        </w:rPr>
        <w:t xml:space="preserve">to </w:t>
      </w:r>
      <w:r w:rsidR="004132E8">
        <w:rPr>
          <w:rFonts w:ascii="Arial" w:hAnsi="Arial" w:cs="Arial"/>
        </w:rPr>
        <w:t>field</w:t>
      </w:r>
      <w:r w:rsidR="003F3AC7">
        <w:rPr>
          <w:rFonts w:ascii="Arial" w:hAnsi="Arial" w:cs="Arial"/>
        </w:rPr>
        <w:t>-</w:t>
      </w:r>
      <w:r w:rsidR="004132E8">
        <w:rPr>
          <w:rFonts w:ascii="Arial" w:hAnsi="Arial" w:cs="Arial"/>
        </w:rPr>
        <w:t>based trials (Trial 2 and Trial 3</w:t>
      </w:r>
      <w:r w:rsidR="003F3AC7">
        <w:rPr>
          <w:rFonts w:ascii="Arial" w:hAnsi="Arial" w:cs="Arial"/>
        </w:rPr>
        <w:t>)</w:t>
      </w:r>
      <w:r w:rsidR="004132E8">
        <w:rPr>
          <w:rFonts w:ascii="Arial" w:hAnsi="Arial" w:cs="Arial"/>
        </w:rPr>
        <w:t xml:space="preserve">. Trial 2 consisted of four sprays of the short-listed bio-fungicides in a </w:t>
      </w:r>
      <w:proofErr w:type="spellStart"/>
      <w:r w:rsidR="004132E8" w:rsidRPr="00492067">
        <w:rPr>
          <w:rFonts w:ascii="Arial" w:hAnsi="Arial" w:cs="Arial"/>
        </w:rPr>
        <w:t>pr</w:t>
      </w:r>
      <w:r w:rsidR="004132E8" w:rsidRPr="00492067">
        <w:rPr>
          <w:rFonts w:ascii="Arial" w:hAnsi="Arial" w:cs="Arial"/>
          <w:color w:val="000000"/>
        </w:rPr>
        <w:t>eharvest</w:t>
      </w:r>
      <w:proofErr w:type="spellEnd"/>
      <w:r w:rsidR="004132E8" w:rsidRPr="00492067">
        <w:rPr>
          <w:rFonts w:ascii="Arial" w:hAnsi="Arial" w:cs="Arial"/>
          <w:color w:val="000000"/>
        </w:rPr>
        <w:t xml:space="preserve"> spray programme </w:t>
      </w:r>
      <w:r w:rsidR="004132E8">
        <w:rPr>
          <w:rFonts w:ascii="Arial" w:hAnsi="Arial" w:cs="Arial"/>
          <w:color w:val="000000"/>
        </w:rPr>
        <w:t xml:space="preserve">only, and their efficacy was compared with </w:t>
      </w:r>
      <w:r w:rsidR="003F3AC7">
        <w:rPr>
          <w:rFonts w:ascii="Arial" w:hAnsi="Arial" w:cs="Arial"/>
        </w:rPr>
        <w:t xml:space="preserve">the </w:t>
      </w:r>
      <w:r w:rsidR="004132E8" w:rsidRPr="00492067">
        <w:rPr>
          <w:rFonts w:ascii="Arial" w:hAnsi="Arial" w:cs="Arial"/>
        </w:rPr>
        <w:t>copper</w:t>
      </w:r>
      <w:r w:rsidR="003F3AC7">
        <w:rPr>
          <w:rFonts w:ascii="Arial" w:hAnsi="Arial" w:cs="Arial"/>
        </w:rPr>
        <w:t xml:space="preserve">-based product, </w:t>
      </w:r>
      <w:proofErr w:type="spellStart"/>
      <w:r w:rsidR="004132E8" w:rsidRPr="004334B9">
        <w:rPr>
          <w:rFonts w:ascii="Arial" w:hAnsi="Arial" w:cs="Arial"/>
        </w:rPr>
        <w:t>Ko</w:t>
      </w:r>
      <w:r w:rsidR="004132E8">
        <w:rPr>
          <w:rFonts w:ascii="Arial" w:hAnsi="Arial" w:cs="Arial"/>
        </w:rPr>
        <w:t>cide</w:t>
      </w:r>
      <w:proofErr w:type="spellEnd"/>
      <w:r w:rsidR="004132E8">
        <w:rPr>
          <w:rFonts w:ascii="Arial" w:hAnsi="Arial" w:cs="Arial"/>
        </w:rPr>
        <w:t xml:space="preserve">® </w:t>
      </w:r>
      <w:proofErr w:type="spellStart"/>
      <w:r w:rsidR="004132E8">
        <w:rPr>
          <w:rFonts w:ascii="Arial" w:hAnsi="Arial" w:cs="Arial"/>
        </w:rPr>
        <w:t>Opti</w:t>
      </w:r>
      <w:proofErr w:type="spellEnd"/>
      <w:r w:rsidR="004132E8">
        <w:rPr>
          <w:rFonts w:ascii="Arial" w:hAnsi="Arial" w:cs="Arial"/>
        </w:rPr>
        <w:t xml:space="preserve">™, a </w:t>
      </w:r>
      <w:proofErr w:type="gramStart"/>
      <w:r w:rsidR="004132E8">
        <w:rPr>
          <w:rFonts w:ascii="Arial" w:hAnsi="Arial" w:cs="Arial"/>
        </w:rPr>
        <w:t>Nil</w:t>
      </w:r>
      <w:proofErr w:type="gramEnd"/>
      <w:r w:rsidR="004132E8">
        <w:rPr>
          <w:rFonts w:ascii="Arial" w:hAnsi="Arial" w:cs="Arial"/>
        </w:rPr>
        <w:t xml:space="preserve"> control</w:t>
      </w:r>
      <w:r w:rsidR="004132E8" w:rsidDel="003F3AC7">
        <w:rPr>
          <w:rFonts w:ascii="Arial" w:hAnsi="Arial" w:cs="Arial"/>
        </w:rPr>
        <w:t xml:space="preserve"> and </w:t>
      </w:r>
      <w:r w:rsidR="004132E8">
        <w:rPr>
          <w:rFonts w:ascii="Arial" w:hAnsi="Arial" w:cs="Arial"/>
        </w:rPr>
        <w:t>Serenade</w:t>
      </w:r>
      <w:r w:rsidR="003F3AC7" w:rsidRPr="00722347">
        <w:rPr>
          <w:rFonts w:ascii="Arial" w:hAnsi="Arial" w:cs="Arial"/>
          <w:color w:val="000000"/>
        </w:rPr>
        <w:t>®</w:t>
      </w:r>
      <w:r w:rsidR="004132E8">
        <w:rPr>
          <w:rFonts w:ascii="Arial" w:hAnsi="Arial" w:cs="Arial"/>
        </w:rPr>
        <w:t xml:space="preserve"> Opti</w:t>
      </w:r>
      <w:r w:rsidR="003F3AC7">
        <w:rPr>
          <w:rFonts w:ascii="Arial" w:hAnsi="Arial" w:cs="Arial"/>
        </w:rPr>
        <w:t>mum in 2021</w:t>
      </w:r>
      <w:r w:rsidR="004132E8">
        <w:rPr>
          <w:rFonts w:ascii="Arial" w:hAnsi="Arial" w:cs="Arial"/>
        </w:rPr>
        <w:t xml:space="preserve">. </w:t>
      </w:r>
      <w:r w:rsidR="0096082A">
        <w:rPr>
          <w:rFonts w:ascii="Arial" w:hAnsi="Arial" w:cs="Arial"/>
        </w:rPr>
        <w:t>After fruit was harvested</w:t>
      </w:r>
      <w:r w:rsidR="00B92D69">
        <w:rPr>
          <w:rFonts w:ascii="Arial" w:hAnsi="Arial" w:cs="Arial"/>
        </w:rPr>
        <w:t>,</w:t>
      </w:r>
      <w:r w:rsidR="0096082A">
        <w:rPr>
          <w:rFonts w:ascii="Arial" w:hAnsi="Arial" w:cs="Arial"/>
        </w:rPr>
        <w:t xml:space="preserve"> the same treatments </w:t>
      </w:r>
      <w:proofErr w:type="gramStart"/>
      <w:r w:rsidR="0096082A">
        <w:rPr>
          <w:rFonts w:ascii="Arial" w:hAnsi="Arial" w:cs="Arial"/>
        </w:rPr>
        <w:t>applied</w:t>
      </w:r>
      <w:proofErr w:type="gramEnd"/>
      <w:r w:rsidR="0096082A">
        <w:rPr>
          <w:rFonts w:ascii="Arial" w:hAnsi="Arial" w:cs="Arial"/>
        </w:rPr>
        <w:t xml:space="preserve"> in Trial 2 were applied to the same trees from late flowering (October 2021) to harvest (September 2022) and this was Trial 3. </w:t>
      </w:r>
      <w:r w:rsidR="00172537">
        <w:rPr>
          <w:rFonts w:ascii="Arial" w:hAnsi="Arial" w:cs="Arial"/>
        </w:rPr>
        <w:t>N</w:t>
      </w:r>
      <w:r w:rsidR="00172537">
        <w:rPr>
          <w:rFonts w:ascii="Arial" w:hAnsi="Arial" w:cs="Arial"/>
          <w:color w:val="000000"/>
        </w:rPr>
        <w:t xml:space="preserve">one of the </w:t>
      </w:r>
      <w:proofErr w:type="spellStart"/>
      <w:r w:rsidR="00172537">
        <w:rPr>
          <w:rFonts w:ascii="Arial" w:hAnsi="Arial" w:cs="Arial"/>
          <w:color w:val="000000"/>
        </w:rPr>
        <w:t>preharvest</w:t>
      </w:r>
      <w:proofErr w:type="spellEnd"/>
      <w:r w:rsidR="00172537">
        <w:rPr>
          <w:rFonts w:ascii="Arial" w:hAnsi="Arial" w:cs="Arial"/>
          <w:color w:val="000000"/>
        </w:rPr>
        <w:t xml:space="preserve"> treatments s</w:t>
      </w:r>
      <w:r w:rsidR="00023EDF">
        <w:rPr>
          <w:rFonts w:ascii="Arial" w:hAnsi="Arial" w:cs="Arial"/>
          <w:color w:val="000000"/>
        </w:rPr>
        <w:t>ignificantly</w:t>
      </w:r>
      <w:r w:rsidR="00172537">
        <w:rPr>
          <w:rFonts w:ascii="Arial" w:hAnsi="Arial" w:cs="Arial"/>
          <w:color w:val="000000"/>
        </w:rPr>
        <w:t xml:space="preserve"> reduced the incidence of postharvest rots (Range = 24% to 40%) compared with the Nil (34%)</w:t>
      </w:r>
      <w:r w:rsidR="003F3AC7">
        <w:rPr>
          <w:rFonts w:ascii="Arial" w:hAnsi="Arial" w:cs="Arial"/>
          <w:color w:val="000000"/>
        </w:rPr>
        <w:t xml:space="preserve"> in Trial 2</w:t>
      </w:r>
      <w:r w:rsidR="00172537">
        <w:rPr>
          <w:rFonts w:ascii="Arial" w:hAnsi="Arial" w:cs="Arial"/>
          <w:color w:val="000000"/>
        </w:rPr>
        <w:t xml:space="preserve">. </w:t>
      </w:r>
      <w:r w:rsidR="006264A3">
        <w:rPr>
          <w:rFonts w:ascii="Arial" w:hAnsi="Arial" w:cs="Arial"/>
        </w:rPr>
        <w:t xml:space="preserve">Fruit from Trial 3 were harvested </w:t>
      </w:r>
      <w:r w:rsidR="00172537">
        <w:rPr>
          <w:rFonts w:ascii="Arial" w:hAnsi="Arial" w:cs="Arial"/>
        </w:rPr>
        <w:t>(</w:t>
      </w:r>
      <w:r w:rsidR="006264A3">
        <w:rPr>
          <w:rFonts w:ascii="Arial" w:hAnsi="Arial" w:cs="Arial"/>
        </w:rPr>
        <w:t>September 2022</w:t>
      </w:r>
      <w:r w:rsidR="00172537">
        <w:rPr>
          <w:rFonts w:ascii="Arial" w:hAnsi="Arial" w:cs="Arial"/>
        </w:rPr>
        <w:t>)</w:t>
      </w:r>
      <w:r w:rsidR="006264A3">
        <w:rPr>
          <w:rFonts w:ascii="Arial" w:hAnsi="Arial" w:cs="Arial"/>
        </w:rPr>
        <w:t xml:space="preserve">, and placed into cool storage. Results </w:t>
      </w:r>
      <w:r w:rsidR="00172537">
        <w:rPr>
          <w:rFonts w:ascii="Arial" w:hAnsi="Arial" w:cs="Arial"/>
        </w:rPr>
        <w:t xml:space="preserve">will </w:t>
      </w:r>
      <w:r w:rsidR="006264A3">
        <w:rPr>
          <w:rFonts w:ascii="Arial" w:hAnsi="Arial" w:cs="Arial"/>
        </w:rPr>
        <w:t xml:space="preserve">be presented and discussed in relation to the integration of bio-fungicides into existing spray programmes.  </w:t>
      </w:r>
      <w:r w:rsidR="0065170F">
        <w:rPr>
          <w:rFonts w:ascii="Arial" w:hAnsi="Arial" w:cs="Arial"/>
        </w:rPr>
        <w:t xml:space="preserve"> </w:t>
      </w:r>
    </w:p>
    <w:p w14:paraId="4D3D7C17" w14:textId="4F426DF7" w:rsidR="0025315C" w:rsidRDefault="00A46C05" w:rsidP="00146598">
      <w:pPr>
        <w:spacing w:after="120" w:line="240" w:lineRule="exact"/>
        <w:rPr>
          <w:rFonts w:ascii="Arial" w:hAnsi="Arial" w:cs="Arial"/>
          <w:b/>
        </w:rPr>
      </w:pPr>
      <w:r w:rsidRPr="00AE02C5">
        <w:rPr>
          <w:rFonts w:ascii="Arial" w:hAnsi="Arial" w:cs="Arial"/>
          <w:b/>
          <w:sz w:val="20"/>
          <w:szCs w:val="20"/>
        </w:rPr>
        <w:t>Keywords</w:t>
      </w:r>
      <w:r w:rsidRPr="00AE02C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AE02C5">
        <w:rPr>
          <w:rFonts w:ascii="Arial" w:hAnsi="Arial" w:cs="Arial"/>
          <w:i/>
          <w:sz w:val="20"/>
          <w:szCs w:val="20"/>
        </w:rPr>
        <w:t>Persea</w:t>
      </w:r>
      <w:proofErr w:type="spellEnd"/>
      <w:r w:rsidRPr="00AE02C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proofErr w:type="gramStart"/>
      <w:r w:rsidRPr="00AE02C5">
        <w:rPr>
          <w:rFonts w:ascii="Arial" w:hAnsi="Arial" w:cs="Arial"/>
          <w:i/>
          <w:sz w:val="20"/>
          <w:szCs w:val="20"/>
        </w:rPr>
        <w:t>americana</w:t>
      </w:r>
      <w:proofErr w:type="spellEnd"/>
      <w:proofErr w:type="gramEnd"/>
      <w:r w:rsidR="00E4116C">
        <w:rPr>
          <w:rFonts w:ascii="Arial" w:hAnsi="Arial" w:cs="Arial"/>
          <w:sz w:val="20"/>
          <w:szCs w:val="20"/>
        </w:rPr>
        <w:t xml:space="preserve">, </w:t>
      </w:r>
      <w:r w:rsidR="003C11B5">
        <w:rPr>
          <w:rFonts w:ascii="Arial" w:hAnsi="Arial" w:cs="Arial"/>
          <w:sz w:val="20"/>
          <w:szCs w:val="20"/>
        </w:rPr>
        <w:t>copper</w:t>
      </w:r>
      <w:r w:rsidR="00B92D69">
        <w:rPr>
          <w:rFonts w:ascii="Arial" w:hAnsi="Arial" w:cs="Arial"/>
          <w:sz w:val="20"/>
          <w:szCs w:val="20"/>
        </w:rPr>
        <w:t>-based</w:t>
      </w:r>
      <w:r w:rsidR="003C11B5">
        <w:rPr>
          <w:rFonts w:ascii="Arial" w:hAnsi="Arial" w:cs="Arial"/>
          <w:sz w:val="20"/>
          <w:szCs w:val="20"/>
        </w:rPr>
        <w:t xml:space="preserve"> sprays</w:t>
      </w:r>
      <w:r w:rsidR="00B92D69">
        <w:rPr>
          <w:rFonts w:ascii="Arial" w:hAnsi="Arial" w:cs="Arial"/>
          <w:sz w:val="20"/>
          <w:szCs w:val="20"/>
        </w:rPr>
        <w:t>, integrated disease control</w:t>
      </w:r>
    </w:p>
    <w:p w14:paraId="4ACE6CE0" w14:textId="77777777" w:rsidR="006762CB" w:rsidRDefault="006762CB" w:rsidP="006762CB">
      <w:pPr>
        <w:spacing w:after="120" w:line="240" w:lineRule="exact"/>
        <w:rPr>
          <w:rFonts w:ascii="Arial" w:hAnsi="Arial" w:cs="Arial"/>
          <w:b/>
        </w:rPr>
      </w:pPr>
    </w:p>
    <w:p w14:paraId="6C33A424" w14:textId="77777777" w:rsidR="006762CB" w:rsidRDefault="008B72E2" w:rsidP="006762CB">
      <w:pPr>
        <w:spacing w:after="120" w:line="240" w:lineRule="exac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Eficacia</w:t>
      </w:r>
      <w:r w:rsidR="006762CB" w:rsidRPr="006762CB">
        <w:rPr>
          <w:rFonts w:ascii="Arial" w:hAnsi="Arial" w:cs="Arial"/>
          <w:b/>
          <w:lang w:val="es-ES"/>
        </w:rPr>
        <w:t xml:space="preserve"> de </w:t>
      </w:r>
      <w:proofErr w:type="spellStart"/>
      <w:r w:rsidR="006762CB" w:rsidRPr="006762CB">
        <w:rPr>
          <w:rFonts w:ascii="Arial" w:hAnsi="Arial" w:cs="Arial"/>
          <w:b/>
          <w:lang w:val="es-ES"/>
        </w:rPr>
        <w:t>biofungicidas</w:t>
      </w:r>
      <w:proofErr w:type="spellEnd"/>
      <w:r w:rsidR="006762CB" w:rsidRPr="006762CB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aplicados </w:t>
      </w:r>
      <w:r w:rsidR="00183273">
        <w:rPr>
          <w:rFonts w:ascii="Arial" w:hAnsi="Arial" w:cs="Arial"/>
          <w:b/>
          <w:lang w:val="es-ES"/>
        </w:rPr>
        <w:t>en</w:t>
      </w:r>
      <w:r>
        <w:rPr>
          <w:rFonts w:ascii="Arial" w:hAnsi="Arial" w:cs="Arial"/>
          <w:b/>
          <w:lang w:val="es-ES"/>
        </w:rPr>
        <w:t xml:space="preserve"> el </w:t>
      </w:r>
      <w:r w:rsidR="006762CB">
        <w:rPr>
          <w:rFonts w:ascii="Arial" w:hAnsi="Arial" w:cs="Arial"/>
          <w:b/>
          <w:lang w:val="es-ES"/>
        </w:rPr>
        <w:t xml:space="preserve">campo frente a </w:t>
      </w:r>
      <w:r w:rsidR="006762CB" w:rsidRPr="006762CB">
        <w:rPr>
          <w:rFonts w:ascii="Arial" w:hAnsi="Arial" w:cs="Arial"/>
          <w:b/>
          <w:lang w:val="es-ES"/>
        </w:rPr>
        <w:t xml:space="preserve">pudriciones de </w:t>
      </w:r>
      <w:proofErr w:type="spellStart"/>
      <w:r w:rsidR="006762CB" w:rsidRPr="006762CB">
        <w:rPr>
          <w:rFonts w:ascii="Arial" w:hAnsi="Arial" w:cs="Arial"/>
          <w:b/>
          <w:lang w:val="es-ES"/>
        </w:rPr>
        <w:t>poscosecha</w:t>
      </w:r>
      <w:proofErr w:type="spellEnd"/>
      <w:r w:rsidR="006762CB" w:rsidRPr="006762CB">
        <w:rPr>
          <w:rFonts w:ascii="Arial" w:hAnsi="Arial" w:cs="Arial"/>
          <w:b/>
          <w:lang w:val="es-ES"/>
        </w:rPr>
        <w:t xml:space="preserve"> en aguacate ‘</w:t>
      </w:r>
      <w:proofErr w:type="spellStart"/>
      <w:r w:rsidR="006762CB" w:rsidRPr="006762CB">
        <w:rPr>
          <w:rFonts w:ascii="Arial" w:hAnsi="Arial" w:cs="Arial"/>
          <w:b/>
          <w:lang w:val="es-ES"/>
        </w:rPr>
        <w:t>Hass</w:t>
      </w:r>
      <w:proofErr w:type="spellEnd"/>
      <w:r w:rsidR="006762CB" w:rsidRPr="006762CB">
        <w:rPr>
          <w:rFonts w:ascii="Arial" w:hAnsi="Arial" w:cs="Arial"/>
          <w:b/>
          <w:lang w:val="es-ES"/>
        </w:rPr>
        <w:t xml:space="preserve">’ en Nueva Zelanda. </w:t>
      </w:r>
    </w:p>
    <w:p w14:paraId="142CDFF5" w14:textId="31257DD1" w:rsidR="00246489" w:rsidRPr="003F15FA" w:rsidRDefault="00246489" w:rsidP="00246489">
      <w:pPr>
        <w:spacing w:after="120" w:line="240" w:lineRule="exact"/>
        <w:rPr>
          <w:rFonts w:ascii="Arial" w:hAnsi="Arial" w:cs="Arial"/>
          <w:i/>
        </w:rPr>
      </w:pPr>
      <w:r w:rsidRPr="003F15FA">
        <w:rPr>
          <w:rFonts w:ascii="Arial" w:hAnsi="Arial" w:cs="Arial"/>
          <w:i/>
          <w:u w:val="single"/>
        </w:rPr>
        <w:t>Elmer PAG</w:t>
      </w:r>
      <w:r w:rsidRPr="003F15FA">
        <w:rPr>
          <w:rFonts w:ascii="Arial" w:hAnsi="Arial" w:cs="Arial"/>
          <w:i/>
          <w:u w:val="single"/>
          <w:vertAlign w:val="superscript"/>
        </w:rPr>
        <w:t>1</w:t>
      </w:r>
      <w:r w:rsidRPr="003F15FA">
        <w:rPr>
          <w:rFonts w:ascii="Arial" w:hAnsi="Arial" w:cs="Arial"/>
          <w:i/>
        </w:rPr>
        <w:t>, Lyall K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 xml:space="preserve">, </w:t>
      </w:r>
      <w:proofErr w:type="spellStart"/>
      <w:r w:rsidRPr="003F15FA">
        <w:rPr>
          <w:rFonts w:ascii="Arial" w:hAnsi="Arial" w:cs="Arial"/>
          <w:i/>
        </w:rPr>
        <w:t>Hoyte</w:t>
      </w:r>
      <w:proofErr w:type="spellEnd"/>
      <w:r w:rsidRPr="003F15FA">
        <w:rPr>
          <w:rFonts w:ascii="Arial" w:hAnsi="Arial" w:cs="Arial"/>
          <w:i/>
        </w:rPr>
        <w:t xml:space="preserve"> S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Parry F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Wright P</w:t>
      </w:r>
      <w:r w:rsidRPr="003F15FA">
        <w:rPr>
          <w:rFonts w:ascii="Arial" w:hAnsi="Arial" w:cs="Arial"/>
          <w:i/>
          <w:vertAlign w:val="superscript"/>
        </w:rPr>
        <w:t>2</w:t>
      </w:r>
      <w:r w:rsidRPr="003F15FA">
        <w:rPr>
          <w:rFonts w:ascii="Arial" w:hAnsi="Arial" w:cs="Arial"/>
          <w:i/>
        </w:rPr>
        <w:t>, Ramos Romero L</w:t>
      </w:r>
      <w:r w:rsidRPr="003F15FA">
        <w:rPr>
          <w:rFonts w:ascii="Arial" w:hAnsi="Arial" w:cs="Arial"/>
          <w:i/>
          <w:vertAlign w:val="superscript"/>
        </w:rPr>
        <w:t>3</w:t>
      </w:r>
      <w:r w:rsidRPr="003F15FA">
        <w:rPr>
          <w:rFonts w:ascii="Arial" w:hAnsi="Arial" w:cs="Arial"/>
          <w:i/>
        </w:rPr>
        <w:t>, Marshall S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Sorensen S</w:t>
      </w:r>
      <w:r w:rsidRPr="003F15FA">
        <w:rPr>
          <w:rFonts w:ascii="Arial" w:hAnsi="Arial" w:cs="Arial"/>
          <w:i/>
          <w:vertAlign w:val="superscript"/>
        </w:rPr>
        <w:t>5</w:t>
      </w:r>
      <w:r w:rsidRPr="003F15FA">
        <w:rPr>
          <w:rFonts w:ascii="Arial" w:hAnsi="Arial" w:cs="Arial"/>
          <w:i/>
        </w:rPr>
        <w:t xml:space="preserve">, </w:t>
      </w:r>
      <w:proofErr w:type="spellStart"/>
      <w:r w:rsidRPr="003F15FA">
        <w:rPr>
          <w:rFonts w:ascii="Arial" w:hAnsi="Arial" w:cs="Arial"/>
          <w:i/>
        </w:rPr>
        <w:t>Hedderl</w:t>
      </w:r>
      <w:r>
        <w:rPr>
          <w:rFonts w:ascii="Arial" w:hAnsi="Arial" w:cs="Arial"/>
          <w:i/>
        </w:rPr>
        <w:t>e</w:t>
      </w:r>
      <w:r w:rsidRPr="003F15FA">
        <w:rPr>
          <w:rFonts w:ascii="Arial" w:hAnsi="Arial" w:cs="Arial"/>
          <w:i/>
        </w:rPr>
        <w:t>y</w:t>
      </w:r>
      <w:proofErr w:type="spellEnd"/>
      <w:r w:rsidRPr="003F15FA">
        <w:rPr>
          <w:rFonts w:ascii="Arial" w:hAnsi="Arial" w:cs="Arial"/>
          <w:i/>
        </w:rPr>
        <w:t xml:space="preserve"> D</w:t>
      </w:r>
      <w:r w:rsidRPr="003F15FA">
        <w:rPr>
          <w:rFonts w:ascii="Arial" w:hAnsi="Arial" w:cs="Arial"/>
          <w:i/>
          <w:vertAlign w:val="superscript"/>
        </w:rPr>
        <w:t>4</w:t>
      </w:r>
      <w:r w:rsidRPr="003F15FA">
        <w:rPr>
          <w:rFonts w:ascii="Arial" w:hAnsi="Arial" w:cs="Arial"/>
          <w:i/>
        </w:rPr>
        <w:t>, Wise B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Fehlmann C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Wurms K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Ah Chee A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Phipps J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McAlinden J</w:t>
      </w:r>
      <w:r w:rsidRPr="003F15FA">
        <w:rPr>
          <w:rFonts w:ascii="Arial" w:hAnsi="Arial" w:cs="Arial"/>
          <w:i/>
          <w:vertAlign w:val="superscript"/>
        </w:rPr>
        <w:t>1</w:t>
      </w:r>
      <w:r w:rsidRPr="003F15FA">
        <w:rPr>
          <w:rFonts w:ascii="Arial" w:hAnsi="Arial" w:cs="Arial"/>
          <w:i/>
        </w:rPr>
        <w:t>, Alavi M</w:t>
      </w:r>
      <w:r w:rsidRPr="003F15FA">
        <w:rPr>
          <w:rFonts w:ascii="Arial" w:hAnsi="Arial" w:cs="Arial"/>
          <w:i/>
          <w:vertAlign w:val="superscript"/>
        </w:rPr>
        <w:t>3</w:t>
      </w:r>
      <w:r w:rsidRPr="003F15FA">
        <w:rPr>
          <w:rFonts w:ascii="Arial" w:hAnsi="Arial" w:cs="Arial"/>
          <w:i/>
        </w:rPr>
        <w:t>, Tapia M</w:t>
      </w:r>
      <w:r w:rsidRPr="003F15FA">
        <w:rPr>
          <w:rFonts w:ascii="Arial" w:hAnsi="Arial" w:cs="Arial"/>
          <w:i/>
          <w:vertAlign w:val="superscript"/>
        </w:rPr>
        <w:t>5</w:t>
      </w:r>
      <w:r w:rsidR="00B231CA">
        <w:rPr>
          <w:rFonts w:ascii="Arial" w:hAnsi="Arial" w:cs="Arial"/>
          <w:i/>
        </w:rPr>
        <w:t>,</w:t>
      </w:r>
      <w:bookmarkStart w:id="0" w:name="_GoBack"/>
      <w:bookmarkEnd w:id="0"/>
      <w:r w:rsidRPr="003F15FA">
        <w:rPr>
          <w:rFonts w:ascii="Arial" w:hAnsi="Arial" w:cs="Arial"/>
          <w:i/>
        </w:rPr>
        <w:t xml:space="preserve"> West P</w:t>
      </w:r>
      <w:r w:rsidRPr="003F15FA">
        <w:rPr>
          <w:rFonts w:ascii="Arial" w:hAnsi="Arial" w:cs="Arial"/>
          <w:i/>
          <w:vertAlign w:val="superscript"/>
        </w:rPr>
        <w:t>5</w:t>
      </w:r>
      <w:r w:rsidRPr="003F15FA">
        <w:rPr>
          <w:rFonts w:ascii="Arial" w:hAnsi="Arial" w:cs="Arial"/>
          <w:i/>
        </w:rPr>
        <w:t xml:space="preserve">. </w:t>
      </w:r>
    </w:p>
    <w:p w14:paraId="2CF17F3C" w14:textId="04B4F2ED" w:rsidR="00246489" w:rsidRDefault="00246489" w:rsidP="00246489">
      <w:pPr>
        <w:spacing w:after="120" w:line="240" w:lineRule="exac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The New Zealand Institute for Plant and Food Research Ltd, Ruakura</w:t>
      </w: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szCs w:val="20"/>
        </w:rPr>
        <w:t>, Pukekohe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szCs w:val="20"/>
        </w:rPr>
        <w:t xml:space="preserve">, </w:t>
      </w:r>
      <w:r w:rsidRPr="00C92856">
        <w:rPr>
          <w:rFonts w:ascii="Arial" w:hAnsi="Arial" w:cs="Arial"/>
          <w:szCs w:val="20"/>
        </w:rPr>
        <w:t>Auckland</w:t>
      </w:r>
      <w:r w:rsidRPr="006E1F6D">
        <w:rPr>
          <w:rFonts w:ascii="Arial" w:hAnsi="Arial" w:cs="Arial"/>
          <w:szCs w:val="20"/>
          <w:vertAlign w:val="superscript"/>
        </w:rPr>
        <w:t>3</w:t>
      </w:r>
      <w:r>
        <w:rPr>
          <w:rFonts w:ascii="Arial" w:hAnsi="Arial" w:cs="Arial"/>
          <w:szCs w:val="20"/>
        </w:rPr>
        <w:t xml:space="preserve">, Palmerston </w:t>
      </w:r>
      <w:r w:rsidRPr="002147A9">
        <w:rPr>
          <w:rFonts w:ascii="Arial" w:hAnsi="Arial" w:cs="Arial"/>
          <w:szCs w:val="20"/>
        </w:rPr>
        <w:t>North</w:t>
      </w:r>
      <w:r w:rsidRPr="002147A9">
        <w:rPr>
          <w:rFonts w:ascii="Arial" w:hAnsi="Arial" w:cs="Arial"/>
          <w:vertAlign w:val="superscript"/>
        </w:rPr>
        <w:t>4</w:t>
      </w:r>
      <w:r w:rsidR="002147A9">
        <w:rPr>
          <w:rFonts w:ascii="Arial" w:hAnsi="Arial" w:cs="Arial"/>
        </w:rPr>
        <w:t xml:space="preserve">, </w:t>
      </w:r>
      <w:r w:rsidRPr="002147A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New Zealand Avocado </w:t>
      </w:r>
      <w:r w:rsidR="0027473C">
        <w:rPr>
          <w:rFonts w:ascii="Arial" w:hAnsi="Arial" w:cs="Arial"/>
        </w:rPr>
        <w:t xml:space="preserve">Industry </w:t>
      </w:r>
      <w:r>
        <w:rPr>
          <w:rFonts w:ascii="Arial" w:hAnsi="Arial" w:cs="Arial"/>
        </w:rPr>
        <w:t>Limited</w:t>
      </w:r>
      <w:r>
        <w:rPr>
          <w:rFonts w:ascii="Arial" w:hAnsi="Arial" w:cs="Arial"/>
          <w:vertAlign w:val="superscript"/>
        </w:rPr>
        <w:t>5</w:t>
      </w:r>
    </w:p>
    <w:p w14:paraId="389C1DA7" w14:textId="27E006C3" w:rsidR="00854A6A" w:rsidRPr="00DC181F" w:rsidRDefault="001472E9" w:rsidP="002147A9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Nueva Zelanda, l</w:t>
      </w:r>
      <w:r w:rsidR="00854A6A" w:rsidRPr="00854A6A">
        <w:rPr>
          <w:rFonts w:ascii="Arial" w:hAnsi="Arial" w:cs="Arial"/>
          <w:sz w:val="20"/>
          <w:szCs w:val="20"/>
          <w:lang w:val="es-ES"/>
        </w:rPr>
        <w:t>as</w:t>
      </w:r>
      <w:r w:rsidR="00854A6A">
        <w:rPr>
          <w:rFonts w:ascii="Arial" w:hAnsi="Arial" w:cs="Arial"/>
          <w:sz w:val="20"/>
          <w:szCs w:val="20"/>
          <w:lang w:val="es-ES"/>
        </w:rPr>
        <w:t xml:space="preserve"> </w:t>
      </w:r>
      <w:r w:rsidR="00854A6A" w:rsidRPr="00D03616">
        <w:rPr>
          <w:rFonts w:ascii="Arial" w:hAnsi="Arial" w:cs="Arial"/>
          <w:sz w:val="20"/>
          <w:szCs w:val="20"/>
          <w:lang w:val="es-ES"/>
        </w:rPr>
        <w:t xml:space="preserve">pudriciones </w:t>
      </w:r>
      <w:r w:rsidR="006762CB">
        <w:rPr>
          <w:rFonts w:ascii="Arial" w:hAnsi="Arial" w:cs="Arial"/>
          <w:sz w:val="20"/>
          <w:szCs w:val="20"/>
          <w:lang w:val="es-ES"/>
        </w:rPr>
        <w:t>del fruto de</w:t>
      </w:r>
      <w:r w:rsidR="009C09FA">
        <w:rPr>
          <w:rFonts w:ascii="Arial" w:hAnsi="Arial" w:cs="Arial"/>
          <w:sz w:val="20"/>
          <w:szCs w:val="20"/>
          <w:lang w:val="es-ES"/>
        </w:rPr>
        <w:t>l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aguacate 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poscosecha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son </w:t>
      </w:r>
      <w:r w:rsidR="00844AB5">
        <w:rPr>
          <w:rFonts w:ascii="Arial" w:hAnsi="Arial" w:cs="Arial"/>
          <w:sz w:val="20"/>
          <w:szCs w:val="20"/>
          <w:lang w:val="es-ES"/>
        </w:rPr>
        <w:t xml:space="preserve">causadas en su mayoría </w:t>
      </w:r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por los complejos de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="00854A6A" w:rsidRPr="00854A6A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gloeosporioides</w:t>
      </w:r>
      <w:proofErr w:type="spellEnd"/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="00854A6A" w:rsidRPr="00854A6A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proofErr w:type="gram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acutatum</w:t>
      </w:r>
      <w:proofErr w:type="spellEnd"/>
      <w:proofErr w:type="gramEnd"/>
      <w:r w:rsidR="006A217C">
        <w:rPr>
          <w:rFonts w:ascii="Arial" w:hAnsi="Arial" w:cs="Arial"/>
          <w:sz w:val="20"/>
          <w:szCs w:val="20"/>
          <w:lang w:val="es-ES"/>
        </w:rPr>
        <w:t xml:space="preserve"> así como </w:t>
      </w:r>
      <w:r w:rsidR="00844AB5">
        <w:rPr>
          <w:rFonts w:ascii="Arial" w:hAnsi="Arial" w:cs="Arial"/>
          <w:sz w:val="20"/>
          <w:szCs w:val="20"/>
          <w:lang w:val="es-ES"/>
        </w:rPr>
        <w:t xml:space="preserve">las especies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Neofusicoccum</w:t>
      </w:r>
      <w:proofErr w:type="spellEnd"/>
      <w:r w:rsidR="00854A6A" w:rsidRPr="00854A6A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parvum</w:t>
      </w:r>
      <w:proofErr w:type="spellEnd"/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Botryosphaeria</w:t>
      </w:r>
      <w:proofErr w:type="spellEnd"/>
      <w:r w:rsidR="00854A6A" w:rsidRPr="00854A6A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dothidea</w:t>
      </w:r>
      <w:proofErr w:type="spellEnd"/>
      <w:r w:rsidR="00854A6A">
        <w:rPr>
          <w:rFonts w:ascii="Arial" w:hAnsi="Arial" w:cs="Arial"/>
          <w:sz w:val="20"/>
          <w:szCs w:val="20"/>
          <w:lang w:val="es-ES"/>
        </w:rPr>
        <w:t xml:space="preserve"> y</w:t>
      </w:r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54A6A" w:rsidRPr="00854A6A">
        <w:rPr>
          <w:rFonts w:ascii="Arial" w:hAnsi="Arial" w:cs="Arial"/>
          <w:i/>
          <w:sz w:val="20"/>
          <w:szCs w:val="20"/>
          <w:lang w:val="es-ES"/>
        </w:rPr>
        <w:t>Diaporthe</w:t>
      </w:r>
      <w:proofErr w:type="spellEnd"/>
      <w:r w:rsidR="00854A6A" w:rsidRPr="00854A6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854A6A" w:rsidRPr="00854A6A">
        <w:rPr>
          <w:rFonts w:ascii="Arial" w:hAnsi="Arial" w:cs="Arial"/>
          <w:sz w:val="20"/>
          <w:szCs w:val="20"/>
          <w:lang w:val="es-ES"/>
        </w:rPr>
        <w:t>spp</w:t>
      </w:r>
      <w:proofErr w:type="spellEnd"/>
      <w:r w:rsidR="00854A6A" w:rsidRPr="00854A6A">
        <w:rPr>
          <w:rFonts w:ascii="Arial" w:hAnsi="Arial" w:cs="Arial"/>
          <w:sz w:val="20"/>
          <w:szCs w:val="20"/>
          <w:lang w:val="es-ES"/>
        </w:rPr>
        <w:t>.</w:t>
      </w:r>
      <w:r w:rsidR="00854A6A">
        <w:rPr>
          <w:rFonts w:ascii="Arial" w:hAnsi="Arial" w:cs="Arial"/>
          <w:sz w:val="20"/>
          <w:szCs w:val="20"/>
          <w:lang w:val="es-ES"/>
        </w:rPr>
        <w:t xml:space="preserve"> Su control se basa principalmente</w:t>
      </w:r>
      <w:r w:rsidR="006A217C">
        <w:rPr>
          <w:rFonts w:ascii="Arial" w:hAnsi="Arial" w:cs="Arial"/>
          <w:sz w:val="20"/>
          <w:szCs w:val="20"/>
          <w:lang w:val="es-ES"/>
        </w:rPr>
        <w:t xml:space="preserve"> en fungicidas a base de cobre y buenas prácticas culturales </w:t>
      </w:r>
      <w:r>
        <w:rPr>
          <w:rFonts w:ascii="Arial" w:hAnsi="Arial" w:cs="Arial"/>
          <w:sz w:val="20"/>
          <w:szCs w:val="20"/>
          <w:lang w:val="es-ES"/>
        </w:rPr>
        <w:t xml:space="preserve">de </w:t>
      </w:r>
      <w:r w:rsidR="00854A6A">
        <w:rPr>
          <w:rFonts w:ascii="Arial" w:hAnsi="Arial" w:cs="Arial"/>
          <w:sz w:val="20"/>
          <w:szCs w:val="20"/>
          <w:lang w:val="es-ES"/>
        </w:rPr>
        <w:t>campo. La industria</w:t>
      </w:r>
      <w:r>
        <w:rPr>
          <w:rFonts w:ascii="Arial" w:hAnsi="Arial" w:cs="Arial"/>
          <w:sz w:val="20"/>
          <w:szCs w:val="20"/>
          <w:lang w:val="es-ES"/>
        </w:rPr>
        <w:t xml:space="preserve"> del aguacate neozelandesa</w:t>
      </w:r>
      <w:r w:rsidR="00854A6A">
        <w:rPr>
          <w:rFonts w:ascii="Arial" w:hAnsi="Arial" w:cs="Arial"/>
          <w:sz w:val="20"/>
          <w:szCs w:val="20"/>
          <w:lang w:val="es-ES"/>
        </w:rPr>
        <w:t xml:space="preserve"> necesita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alternativas</w:t>
      </w:r>
      <w:r w:rsidR="00844AB5">
        <w:rPr>
          <w:rFonts w:ascii="Arial" w:hAnsi="Arial" w:cs="Arial"/>
          <w:sz w:val="20"/>
          <w:szCs w:val="20"/>
          <w:lang w:val="es-ES"/>
        </w:rPr>
        <w:t xml:space="preserve"> y p</w:t>
      </w:r>
      <w:r w:rsidR="00854A6A">
        <w:rPr>
          <w:rFonts w:ascii="Arial" w:hAnsi="Arial" w:cs="Arial"/>
          <w:sz w:val="20"/>
          <w:szCs w:val="20"/>
          <w:lang w:val="es-ES"/>
        </w:rPr>
        <w:t>or ello,</w:t>
      </w:r>
      <w:r w:rsidR="002B6A7B">
        <w:rPr>
          <w:rFonts w:ascii="Arial" w:hAnsi="Arial" w:cs="Arial"/>
          <w:sz w:val="20"/>
          <w:szCs w:val="20"/>
          <w:lang w:val="es-ES"/>
        </w:rPr>
        <w:t xml:space="preserve"> se </w:t>
      </w:r>
      <w:r w:rsidR="00AA6B3B">
        <w:rPr>
          <w:rFonts w:ascii="Arial" w:hAnsi="Arial" w:cs="Arial"/>
          <w:sz w:val="20"/>
          <w:szCs w:val="20"/>
          <w:lang w:val="es-ES"/>
        </w:rPr>
        <w:t>llevaron a cabo</w:t>
      </w:r>
      <w:r w:rsidR="002B6A7B">
        <w:rPr>
          <w:rFonts w:ascii="Arial" w:hAnsi="Arial" w:cs="Arial"/>
          <w:sz w:val="20"/>
          <w:szCs w:val="20"/>
          <w:lang w:val="es-ES"/>
        </w:rPr>
        <w:t xml:space="preserve"> </w:t>
      </w:r>
      <w:r w:rsidR="00854A6A">
        <w:rPr>
          <w:rFonts w:ascii="Arial" w:hAnsi="Arial" w:cs="Arial"/>
          <w:sz w:val="20"/>
          <w:szCs w:val="20"/>
          <w:lang w:val="es-ES"/>
        </w:rPr>
        <w:t>un ens</w:t>
      </w:r>
      <w:r>
        <w:rPr>
          <w:rFonts w:ascii="Arial" w:hAnsi="Arial" w:cs="Arial"/>
          <w:sz w:val="20"/>
          <w:szCs w:val="20"/>
          <w:lang w:val="es-ES"/>
        </w:rPr>
        <w:t>ayo de laboratorio (E</w:t>
      </w:r>
      <w:r w:rsidR="00A575A5">
        <w:rPr>
          <w:rFonts w:ascii="Arial" w:hAnsi="Arial" w:cs="Arial"/>
          <w:sz w:val="20"/>
          <w:szCs w:val="20"/>
          <w:lang w:val="es-ES"/>
        </w:rPr>
        <w:t xml:space="preserve">nsayo </w:t>
      </w:r>
      <w:r w:rsidR="00854A6A">
        <w:rPr>
          <w:rFonts w:ascii="Arial" w:hAnsi="Arial" w:cs="Arial"/>
          <w:sz w:val="20"/>
          <w:szCs w:val="20"/>
          <w:lang w:val="es-ES"/>
        </w:rPr>
        <w:t>1) y dos ensayos de c</w:t>
      </w:r>
      <w:r>
        <w:rPr>
          <w:rFonts w:ascii="Arial" w:hAnsi="Arial" w:cs="Arial"/>
          <w:sz w:val="20"/>
          <w:szCs w:val="20"/>
          <w:lang w:val="es-ES"/>
        </w:rPr>
        <w:t>ampo (E</w:t>
      </w:r>
      <w:r w:rsidR="00A575A5">
        <w:rPr>
          <w:rFonts w:ascii="Arial" w:hAnsi="Arial" w:cs="Arial"/>
          <w:sz w:val="20"/>
          <w:szCs w:val="20"/>
          <w:lang w:val="es-ES"/>
        </w:rPr>
        <w:t>nsayos</w:t>
      </w:r>
      <w:r w:rsidR="00236A45">
        <w:rPr>
          <w:rFonts w:ascii="Arial" w:hAnsi="Arial" w:cs="Arial"/>
          <w:sz w:val="20"/>
          <w:szCs w:val="20"/>
          <w:lang w:val="es-ES"/>
        </w:rPr>
        <w:t xml:space="preserve"> 2 y 3). </w:t>
      </w:r>
      <w:r>
        <w:rPr>
          <w:rFonts w:ascii="Arial" w:hAnsi="Arial" w:cs="Arial"/>
          <w:sz w:val="20"/>
          <w:szCs w:val="20"/>
          <w:lang w:val="es-ES"/>
        </w:rPr>
        <w:t>C</w:t>
      </w:r>
      <w:r w:rsidR="00236A45">
        <w:rPr>
          <w:rFonts w:ascii="Arial" w:hAnsi="Arial" w:cs="Arial"/>
          <w:sz w:val="20"/>
          <w:szCs w:val="20"/>
          <w:lang w:val="es-ES"/>
        </w:rPr>
        <w:t xml:space="preserve">atorce </w:t>
      </w:r>
      <w:proofErr w:type="spellStart"/>
      <w:r w:rsidR="00236A45">
        <w:rPr>
          <w:rFonts w:ascii="Arial" w:hAnsi="Arial" w:cs="Arial"/>
          <w:sz w:val="20"/>
          <w:szCs w:val="20"/>
          <w:lang w:val="es-ES"/>
        </w:rPr>
        <w:t>biofungicidas</w:t>
      </w:r>
      <w:proofErr w:type="spellEnd"/>
      <w:r w:rsidR="00236A45">
        <w:rPr>
          <w:rFonts w:ascii="Arial" w:hAnsi="Arial" w:cs="Arial"/>
          <w:sz w:val="20"/>
          <w:szCs w:val="20"/>
          <w:lang w:val="es-ES"/>
        </w:rPr>
        <w:t xml:space="preserve"> comercializados </w:t>
      </w:r>
      <w:r w:rsidR="00844AB5">
        <w:rPr>
          <w:rFonts w:ascii="Arial" w:hAnsi="Arial" w:cs="Arial"/>
          <w:sz w:val="20"/>
          <w:szCs w:val="20"/>
          <w:lang w:val="es-ES"/>
        </w:rPr>
        <w:t>fue</w:t>
      </w:r>
      <w:r w:rsidR="006762CB">
        <w:rPr>
          <w:rFonts w:ascii="Arial" w:hAnsi="Arial" w:cs="Arial"/>
          <w:sz w:val="20"/>
          <w:szCs w:val="20"/>
          <w:lang w:val="es-ES"/>
        </w:rPr>
        <w:t>ron evaluados frente a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236A45" w:rsidRPr="00844AB5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="00236A45" w:rsidRPr="00844AB5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236A45" w:rsidRPr="00844AB5">
        <w:rPr>
          <w:rFonts w:ascii="Arial" w:hAnsi="Arial" w:cs="Arial"/>
          <w:i/>
          <w:sz w:val="20"/>
          <w:szCs w:val="20"/>
          <w:lang w:val="es-ES"/>
        </w:rPr>
        <w:t>fioriniae</w:t>
      </w:r>
      <w:proofErr w:type="spellEnd"/>
      <w:r w:rsidR="00236A45">
        <w:rPr>
          <w:rFonts w:ascii="Arial" w:hAnsi="Arial" w:cs="Arial"/>
          <w:sz w:val="20"/>
          <w:szCs w:val="20"/>
          <w:lang w:val="es-ES"/>
        </w:rPr>
        <w:t xml:space="preserve"> y </w:t>
      </w:r>
      <w:proofErr w:type="spellStart"/>
      <w:r w:rsidR="00236A45" w:rsidRPr="00844AB5">
        <w:rPr>
          <w:rFonts w:ascii="Arial" w:hAnsi="Arial" w:cs="Arial"/>
          <w:i/>
          <w:sz w:val="20"/>
          <w:szCs w:val="20"/>
          <w:lang w:val="es-ES"/>
        </w:rPr>
        <w:t>Colletotrichum</w:t>
      </w:r>
      <w:proofErr w:type="spellEnd"/>
      <w:r w:rsidR="00236A45" w:rsidRPr="00844AB5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="00236A45" w:rsidRPr="00844AB5">
        <w:rPr>
          <w:rFonts w:ascii="Arial" w:hAnsi="Arial" w:cs="Arial"/>
          <w:i/>
          <w:sz w:val="20"/>
          <w:szCs w:val="20"/>
          <w:lang w:val="es-ES"/>
        </w:rPr>
        <w:t>kahawae</w:t>
      </w:r>
      <w:proofErr w:type="spellEnd"/>
      <w:r w:rsidR="00236A45">
        <w:rPr>
          <w:rFonts w:ascii="Arial" w:hAnsi="Arial" w:cs="Arial"/>
          <w:sz w:val="20"/>
          <w:szCs w:val="20"/>
          <w:lang w:val="es-ES"/>
        </w:rPr>
        <w:t xml:space="preserve"> </w:t>
      </w:r>
      <w:r w:rsidR="006762CB">
        <w:rPr>
          <w:rFonts w:ascii="Arial" w:hAnsi="Arial" w:cs="Arial"/>
          <w:sz w:val="20"/>
          <w:szCs w:val="20"/>
          <w:lang w:val="es-ES"/>
        </w:rPr>
        <w:t>en</w:t>
      </w:r>
      <w:r w:rsidR="00A575A5">
        <w:rPr>
          <w:rFonts w:ascii="Arial" w:hAnsi="Arial" w:cs="Arial"/>
          <w:sz w:val="20"/>
          <w:szCs w:val="20"/>
          <w:lang w:val="es-ES"/>
        </w:rPr>
        <w:t xml:space="preserve"> heridas</w:t>
      </w:r>
      <w:r w:rsidR="00713555">
        <w:rPr>
          <w:rFonts w:ascii="Arial" w:hAnsi="Arial" w:cs="Arial"/>
          <w:sz w:val="20"/>
          <w:szCs w:val="20"/>
          <w:lang w:val="es-ES"/>
        </w:rPr>
        <w:t xml:space="preserve"> </w:t>
      </w:r>
      <w:r w:rsidR="006762CB">
        <w:rPr>
          <w:rFonts w:ascii="Arial" w:hAnsi="Arial" w:cs="Arial"/>
          <w:sz w:val="20"/>
          <w:szCs w:val="20"/>
          <w:lang w:val="es-ES"/>
        </w:rPr>
        <w:t xml:space="preserve">artificiales </w:t>
      </w:r>
      <w:r w:rsidR="009C09FA">
        <w:rPr>
          <w:rFonts w:ascii="Arial" w:hAnsi="Arial" w:cs="Arial"/>
          <w:sz w:val="20"/>
          <w:szCs w:val="20"/>
          <w:lang w:val="es-ES"/>
        </w:rPr>
        <w:t>en la piel</w:t>
      </w:r>
      <w:r w:rsidR="00A575A5">
        <w:rPr>
          <w:rFonts w:ascii="Arial" w:hAnsi="Arial" w:cs="Arial"/>
          <w:sz w:val="20"/>
          <w:szCs w:val="20"/>
          <w:lang w:val="es-ES"/>
        </w:rPr>
        <w:t xml:space="preserve"> de aguacate ‘</w:t>
      </w:r>
      <w:proofErr w:type="spellStart"/>
      <w:r w:rsidR="00A575A5">
        <w:rPr>
          <w:rFonts w:ascii="Arial" w:hAnsi="Arial" w:cs="Arial"/>
          <w:sz w:val="20"/>
          <w:szCs w:val="20"/>
          <w:lang w:val="es-ES"/>
        </w:rPr>
        <w:t>Hass</w:t>
      </w:r>
      <w:proofErr w:type="spellEnd"/>
      <w:r w:rsidR="00A575A5">
        <w:rPr>
          <w:rFonts w:ascii="Arial" w:hAnsi="Arial" w:cs="Arial"/>
          <w:sz w:val="20"/>
          <w:szCs w:val="20"/>
          <w:lang w:val="es-ES"/>
        </w:rPr>
        <w:t xml:space="preserve">’ </w:t>
      </w:r>
      <w:r>
        <w:rPr>
          <w:rFonts w:ascii="Arial" w:hAnsi="Arial" w:cs="Arial"/>
          <w:sz w:val="20"/>
          <w:szCs w:val="20"/>
          <w:lang w:val="es-ES"/>
        </w:rPr>
        <w:t>(E</w:t>
      </w:r>
      <w:r w:rsidR="00DC181F">
        <w:rPr>
          <w:rFonts w:ascii="Arial" w:hAnsi="Arial" w:cs="Arial"/>
          <w:sz w:val="20"/>
          <w:szCs w:val="20"/>
          <w:lang w:val="es-ES"/>
        </w:rPr>
        <w:t xml:space="preserve">nsayo 1) </w:t>
      </w:r>
      <w:r w:rsidR="00A575A5" w:rsidRPr="00DC181F">
        <w:rPr>
          <w:rFonts w:ascii="Arial" w:hAnsi="Arial" w:cs="Arial"/>
          <w:sz w:val="20"/>
          <w:szCs w:val="20"/>
          <w:lang w:val="es-ES"/>
        </w:rPr>
        <w:t>en 2019.</w:t>
      </w:r>
      <w:r w:rsidR="00713555">
        <w:rPr>
          <w:rFonts w:ascii="Arial" w:hAnsi="Arial" w:cs="Arial"/>
          <w:sz w:val="20"/>
          <w:szCs w:val="20"/>
          <w:lang w:val="es-ES"/>
        </w:rPr>
        <w:t xml:space="preserve"> </w:t>
      </w:r>
      <w:r w:rsidR="00DC181F" w:rsidRPr="00DC181F">
        <w:rPr>
          <w:rFonts w:ascii="Arial" w:hAnsi="Arial" w:cs="Arial"/>
          <w:sz w:val="20"/>
          <w:szCs w:val="20"/>
          <w:lang w:val="es-ES"/>
        </w:rPr>
        <w:t>C</w:t>
      </w:r>
      <w:r w:rsidR="00A575A5" w:rsidRPr="00DC181F">
        <w:rPr>
          <w:rFonts w:ascii="Arial" w:hAnsi="Arial" w:cs="Arial"/>
          <w:sz w:val="20"/>
          <w:szCs w:val="20"/>
          <w:lang w:val="es-ES"/>
        </w:rPr>
        <w:t xml:space="preserve">uatro </w:t>
      </w:r>
      <w:proofErr w:type="spellStart"/>
      <w:r w:rsidR="00A575A5" w:rsidRPr="00DC181F">
        <w:rPr>
          <w:rFonts w:ascii="Arial" w:hAnsi="Arial" w:cs="Arial"/>
          <w:sz w:val="20"/>
          <w:szCs w:val="20"/>
          <w:lang w:val="es-ES"/>
        </w:rPr>
        <w:t>biofungicidas</w:t>
      </w:r>
      <w:proofErr w:type="spellEnd"/>
      <w:r w:rsidR="00A575A5" w:rsidRPr="00DC181F">
        <w:rPr>
          <w:rFonts w:ascii="Arial" w:hAnsi="Arial" w:cs="Arial"/>
          <w:sz w:val="20"/>
          <w:szCs w:val="20"/>
          <w:lang w:val="es-ES"/>
        </w:rPr>
        <w:t xml:space="preserve">, </w:t>
      </w:r>
      <w:proofErr w:type="spellStart"/>
      <w:r w:rsidR="00A575A5" w:rsidRPr="00DC181F">
        <w:rPr>
          <w:rFonts w:ascii="Arial" w:hAnsi="Arial" w:cs="Arial"/>
          <w:sz w:val="20"/>
          <w:szCs w:val="20"/>
          <w:lang w:val="es-ES"/>
        </w:rPr>
        <w:t>Aureo</w:t>
      </w:r>
      <w:proofErr w:type="spellEnd"/>
      <w:r w:rsidR="00A575A5" w:rsidRPr="00DC181F">
        <w:rPr>
          <w:rFonts w:ascii="Arial" w:hAnsi="Arial" w:cs="Arial"/>
          <w:sz w:val="20"/>
          <w:szCs w:val="20"/>
          <w:lang w:val="es-ES"/>
        </w:rPr>
        <w:t>®</w:t>
      </w:r>
      <w:r w:rsidR="0096082A">
        <w:rPr>
          <w:rFonts w:ascii="Arial" w:hAnsi="Arial" w:cs="Arial"/>
          <w:sz w:val="20"/>
          <w:szCs w:val="20"/>
          <w:lang w:val="es-ES"/>
        </w:rPr>
        <w:t xml:space="preserve"> Gold, BCA2</w:t>
      </w:r>
      <w:r>
        <w:rPr>
          <w:rFonts w:ascii="Arial" w:hAnsi="Arial" w:cs="Arial"/>
          <w:sz w:val="20"/>
          <w:szCs w:val="20"/>
          <w:lang w:val="es-ES"/>
        </w:rPr>
        <w:t xml:space="preserve">, BOTRY-Zen® y </w:t>
      </w:r>
      <w:proofErr w:type="spellStart"/>
      <w:r w:rsidR="00A575A5" w:rsidRPr="00DC181F">
        <w:rPr>
          <w:rFonts w:ascii="Arial" w:hAnsi="Arial" w:cs="Arial"/>
          <w:sz w:val="20"/>
          <w:szCs w:val="20"/>
          <w:lang w:val="es-ES"/>
        </w:rPr>
        <w:t>Sentinel</w:t>
      </w:r>
      <w:proofErr w:type="spellEnd"/>
      <w:r w:rsidR="00A575A5" w:rsidRPr="00DC181F">
        <w:rPr>
          <w:rFonts w:ascii="Arial" w:hAnsi="Arial" w:cs="Arial"/>
          <w:sz w:val="20"/>
          <w:szCs w:val="20"/>
          <w:lang w:val="es-ES"/>
        </w:rPr>
        <w:t xml:space="preserve">® </w:t>
      </w:r>
      <w:r w:rsidR="009C09FA">
        <w:rPr>
          <w:rFonts w:ascii="Arial" w:hAnsi="Arial" w:cs="Arial"/>
          <w:sz w:val="20"/>
          <w:szCs w:val="20"/>
          <w:lang w:val="es-ES"/>
        </w:rPr>
        <w:t>fueron eficaces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DC181F">
        <w:rPr>
          <w:rFonts w:ascii="Arial" w:hAnsi="Arial" w:cs="Arial"/>
          <w:sz w:val="20"/>
          <w:szCs w:val="20"/>
          <w:lang w:val="es-ES"/>
        </w:rPr>
        <w:t xml:space="preserve">frente a los dos patógenos </w:t>
      </w:r>
      <w:r>
        <w:rPr>
          <w:rFonts w:ascii="Arial" w:hAnsi="Arial" w:cs="Arial"/>
          <w:sz w:val="20"/>
          <w:szCs w:val="20"/>
          <w:lang w:val="es-ES"/>
        </w:rPr>
        <w:t>y pasaron a los E</w:t>
      </w:r>
      <w:r w:rsidR="00DC181F">
        <w:rPr>
          <w:rFonts w:ascii="Arial" w:hAnsi="Arial" w:cs="Arial"/>
          <w:sz w:val="20"/>
          <w:szCs w:val="20"/>
          <w:lang w:val="es-ES"/>
        </w:rPr>
        <w:t>nsayos</w:t>
      </w:r>
      <w:r>
        <w:rPr>
          <w:rFonts w:ascii="Arial" w:hAnsi="Arial" w:cs="Arial"/>
          <w:sz w:val="20"/>
          <w:szCs w:val="20"/>
          <w:lang w:val="es-ES"/>
        </w:rPr>
        <w:t xml:space="preserve"> 2 y 3</w:t>
      </w:r>
      <w:r w:rsidR="00DC181F">
        <w:rPr>
          <w:rFonts w:ascii="Arial" w:hAnsi="Arial" w:cs="Arial"/>
          <w:sz w:val="20"/>
          <w:szCs w:val="20"/>
          <w:lang w:val="es-ES"/>
        </w:rPr>
        <w:t xml:space="preserve">. El </w:t>
      </w:r>
      <w:r>
        <w:rPr>
          <w:rFonts w:ascii="Arial" w:hAnsi="Arial" w:cs="Arial"/>
          <w:sz w:val="20"/>
          <w:szCs w:val="20"/>
          <w:lang w:val="es-ES"/>
        </w:rPr>
        <w:t>E</w:t>
      </w:r>
      <w:r w:rsidR="00713555">
        <w:rPr>
          <w:rFonts w:ascii="Arial" w:hAnsi="Arial" w:cs="Arial"/>
          <w:sz w:val="20"/>
          <w:szCs w:val="20"/>
          <w:lang w:val="es-ES"/>
        </w:rPr>
        <w:t xml:space="preserve">nsayo 2, en 2021, </w:t>
      </w:r>
      <w:r w:rsidR="00DC181F">
        <w:rPr>
          <w:rFonts w:ascii="Arial" w:hAnsi="Arial" w:cs="Arial"/>
          <w:sz w:val="20"/>
          <w:szCs w:val="20"/>
          <w:lang w:val="es-ES"/>
        </w:rPr>
        <w:t xml:space="preserve">consistió en cuatro aplicaciones </w:t>
      </w:r>
      <w:r w:rsidR="006762CB">
        <w:rPr>
          <w:rFonts w:ascii="Arial" w:hAnsi="Arial" w:cs="Arial"/>
          <w:sz w:val="20"/>
          <w:szCs w:val="20"/>
          <w:lang w:val="es-ES"/>
        </w:rPr>
        <w:t>de los cua</w:t>
      </w:r>
      <w:r>
        <w:rPr>
          <w:rFonts w:ascii="Arial" w:hAnsi="Arial" w:cs="Arial"/>
          <w:sz w:val="20"/>
          <w:szCs w:val="20"/>
          <w:lang w:val="es-ES"/>
        </w:rPr>
        <w:t xml:space="preserve">tro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biofungicidas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762CB"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pre</w:t>
      </w:r>
      <w:r w:rsidR="006762CB">
        <w:rPr>
          <w:rFonts w:ascii="Arial" w:hAnsi="Arial" w:cs="Arial"/>
          <w:sz w:val="20"/>
          <w:szCs w:val="20"/>
          <w:lang w:val="es-ES"/>
        </w:rPr>
        <w:t>cosecha</w:t>
      </w:r>
      <w:proofErr w:type="spellEnd"/>
      <w:r w:rsidR="006762CB">
        <w:rPr>
          <w:rFonts w:ascii="Arial" w:hAnsi="Arial" w:cs="Arial"/>
          <w:sz w:val="20"/>
          <w:szCs w:val="20"/>
          <w:lang w:val="es-ES"/>
        </w:rPr>
        <w:t xml:space="preserve"> y </w:t>
      </w:r>
      <w:r w:rsidR="00DC181F">
        <w:rPr>
          <w:rFonts w:ascii="Arial" w:hAnsi="Arial" w:cs="Arial"/>
          <w:sz w:val="20"/>
          <w:szCs w:val="20"/>
          <w:lang w:val="es-ES"/>
        </w:rPr>
        <w:t xml:space="preserve">se </w:t>
      </w:r>
      <w:r w:rsidR="006762CB">
        <w:rPr>
          <w:rFonts w:ascii="Arial" w:hAnsi="Arial" w:cs="Arial"/>
          <w:sz w:val="20"/>
          <w:szCs w:val="20"/>
          <w:lang w:val="es-ES"/>
        </w:rPr>
        <w:t>compararon</w:t>
      </w:r>
      <w:r w:rsidR="00DC181F">
        <w:rPr>
          <w:rFonts w:ascii="Arial" w:hAnsi="Arial" w:cs="Arial"/>
          <w:sz w:val="20"/>
          <w:szCs w:val="20"/>
          <w:lang w:val="es-ES"/>
        </w:rPr>
        <w:t xml:space="preserve"> con el producto a base de cobre, </w:t>
      </w:r>
      <w:proofErr w:type="spellStart"/>
      <w:r w:rsidR="00DC181F" w:rsidRPr="00DC181F">
        <w:rPr>
          <w:rFonts w:ascii="Arial" w:hAnsi="Arial" w:cs="Arial"/>
          <w:sz w:val="20"/>
          <w:szCs w:val="20"/>
          <w:lang w:val="es-ES"/>
        </w:rPr>
        <w:t>Kocide</w:t>
      </w:r>
      <w:proofErr w:type="spellEnd"/>
      <w:r w:rsidR="00DC181F" w:rsidRPr="00DC181F">
        <w:rPr>
          <w:rFonts w:ascii="Arial" w:hAnsi="Arial" w:cs="Arial"/>
          <w:sz w:val="20"/>
          <w:szCs w:val="20"/>
          <w:lang w:val="es-ES"/>
        </w:rPr>
        <w:t xml:space="preserve">® </w:t>
      </w:r>
      <w:proofErr w:type="spellStart"/>
      <w:r w:rsidR="00DC181F" w:rsidRPr="00DC181F">
        <w:rPr>
          <w:rFonts w:ascii="Arial" w:hAnsi="Arial" w:cs="Arial"/>
          <w:sz w:val="20"/>
          <w:szCs w:val="20"/>
          <w:lang w:val="es-ES"/>
        </w:rPr>
        <w:t>Opti</w:t>
      </w:r>
      <w:proofErr w:type="spellEnd"/>
      <w:r w:rsidR="00DC181F" w:rsidRPr="00DC181F">
        <w:rPr>
          <w:rFonts w:ascii="Arial" w:hAnsi="Arial" w:cs="Arial"/>
          <w:sz w:val="20"/>
          <w:szCs w:val="20"/>
          <w:lang w:val="es-ES"/>
        </w:rPr>
        <w:t xml:space="preserve">™, </w:t>
      </w:r>
      <w:proofErr w:type="spellStart"/>
      <w:r w:rsidR="00DC181F" w:rsidRPr="00DC181F">
        <w:rPr>
          <w:rFonts w:ascii="Arial" w:hAnsi="Arial" w:cs="Arial"/>
          <w:sz w:val="20"/>
          <w:szCs w:val="20"/>
          <w:lang w:val="es-ES"/>
        </w:rPr>
        <w:t>Serenade</w:t>
      </w:r>
      <w:proofErr w:type="spellEnd"/>
      <w:r w:rsidR="00DC181F" w:rsidRPr="00DC181F">
        <w:rPr>
          <w:rFonts w:ascii="Arial" w:hAnsi="Arial" w:cs="Arial"/>
          <w:sz w:val="20"/>
          <w:szCs w:val="20"/>
          <w:lang w:val="es-ES"/>
        </w:rPr>
        <w:t xml:space="preserve">® </w:t>
      </w:r>
      <w:proofErr w:type="spellStart"/>
      <w:r w:rsidR="00DC181F" w:rsidRPr="00DC181F">
        <w:rPr>
          <w:rFonts w:ascii="Arial" w:hAnsi="Arial" w:cs="Arial"/>
          <w:sz w:val="20"/>
          <w:szCs w:val="20"/>
          <w:lang w:val="es-ES"/>
        </w:rPr>
        <w:t>Optimum</w:t>
      </w:r>
      <w:proofErr w:type="spellEnd"/>
      <w:r w:rsidR="00DC181F" w:rsidRPr="00DC181F">
        <w:rPr>
          <w:rFonts w:ascii="Arial" w:hAnsi="Arial" w:cs="Arial"/>
          <w:sz w:val="20"/>
          <w:szCs w:val="20"/>
          <w:lang w:val="es-ES"/>
        </w:rPr>
        <w:t xml:space="preserve"> </w:t>
      </w:r>
      <w:r w:rsidR="00DC181F">
        <w:rPr>
          <w:rFonts w:ascii="Arial" w:hAnsi="Arial" w:cs="Arial"/>
          <w:sz w:val="20"/>
          <w:szCs w:val="20"/>
          <w:lang w:val="es-ES"/>
        </w:rPr>
        <w:t xml:space="preserve">y un </w:t>
      </w:r>
      <w:r w:rsidR="00713555">
        <w:rPr>
          <w:rFonts w:ascii="Arial" w:hAnsi="Arial" w:cs="Arial"/>
          <w:sz w:val="20"/>
          <w:szCs w:val="20"/>
          <w:lang w:val="es-ES"/>
        </w:rPr>
        <w:t>testigo sin tratamiento</w:t>
      </w:r>
      <w:r w:rsidR="00DC181F">
        <w:rPr>
          <w:rFonts w:ascii="Arial" w:hAnsi="Arial" w:cs="Arial"/>
          <w:sz w:val="20"/>
          <w:szCs w:val="20"/>
          <w:lang w:val="es-ES"/>
        </w:rPr>
        <w:t xml:space="preserve">. </w:t>
      </w:r>
      <w:r w:rsidR="006762CB">
        <w:rPr>
          <w:rFonts w:ascii="Arial" w:hAnsi="Arial" w:cs="Arial"/>
          <w:sz w:val="20"/>
          <w:szCs w:val="20"/>
          <w:lang w:val="es-ES"/>
        </w:rPr>
        <w:t xml:space="preserve">Una vez cosechados los frutos, </w:t>
      </w:r>
      <w:r>
        <w:rPr>
          <w:rFonts w:ascii="Arial" w:hAnsi="Arial" w:cs="Arial"/>
          <w:sz w:val="20"/>
          <w:szCs w:val="20"/>
          <w:lang w:val="es-ES"/>
        </w:rPr>
        <w:t>los tratamientos aplicados en el E</w:t>
      </w:r>
      <w:r w:rsidR="00DC181F">
        <w:rPr>
          <w:rFonts w:ascii="Arial" w:hAnsi="Arial" w:cs="Arial"/>
          <w:sz w:val="20"/>
          <w:szCs w:val="20"/>
          <w:lang w:val="es-ES"/>
        </w:rPr>
        <w:t>nsayo 2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fueron aplicados a los mismos á</w:t>
      </w:r>
      <w:r w:rsidR="00DC181F">
        <w:rPr>
          <w:rFonts w:ascii="Arial" w:hAnsi="Arial" w:cs="Arial"/>
          <w:sz w:val="20"/>
          <w:szCs w:val="20"/>
          <w:lang w:val="es-ES"/>
        </w:rPr>
        <w:t>rboles desd</w:t>
      </w:r>
      <w:r w:rsidR="006762CB">
        <w:rPr>
          <w:rFonts w:ascii="Arial" w:hAnsi="Arial" w:cs="Arial"/>
          <w:sz w:val="20"/>
          <w:szCs w:val="20"/>
          <w:lang w:val="es-ES"/>
        </w:rPr>
        <w:t xml:space="preserve">e </w:t>
      </w:r>
      <w:r w:rsidR="006762CB" w:rsidRPr="00D360E9">
        <w:rPr>
          <w:rFonts w:ascii="Arial" w:hAnsi="Arial" w:cs="Arial"/>
          <w:sz w:val="20"/>
          <w:szCs w:val="20"/>
          <w:lang w:val="es-ES"/>
        </w:rPr>
        <w:t xml:space="preserve">la </w:t>
      </w:r>
      <w:r w:rsidR="00713555" w:rsidRPr="00D360E9">
        <w:rPr>
          <w:rFonts w:ascii="Arial" w:hAnsi="Arial" w:cs="Arial"/>
          <w:sz w:val="20"/>
          <w:szCs w:val="20"/>
          <w:lang w:val="es-ES"/>
        </w:rPr>
        <w:t>floración</w:t>
      </w:r>
      <w:r w:rsidR="00DC181F" w:rsidRPr="00D360E9">
        <w:rPr>
          <w:rFonts w:ascii="Arial" w:hAnsi="Arial" w:cs="Arial"/>
          <w:sz w:val="20"/>
          <w:szCs w:val="20"/>
          <w:lang w:val="es-ES"/>
        </w:rPr>
        <w:t xml:space="preserve"> </w:t>
      </w:r>
      <w:r w:rsidR="00713555" w:rsidRPr="00D360E9">
        <w:rPr>
          <w:rFonts w:ascii="Arial" w:hAnsi="Arial" w:cs="Arial"/>
          <w:sz w:val="20"/>
          <w:szCs w:val="20"/>
          <w:lang w:val="es-ES"/>
        </w:rPr>
        <w:t>tardía</w:t>
      </w:r>
      <w:r w:rsidR="00DC181F">
        <w:rPr>
          <w:rFonts w:ascii="Arial" w:hAnsi="Arial" w:cs="Arial"/>
          <w:sz w:val="20"/>
          <w:szCs w:val="20"/>
          <w:lang w:val="es-ES"/>
        </w:rPr>
        <w:t xml:space="preserve"> (octubre 2021) hasta la cosecha (septiembre 2022)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(Ensayo 3)</w:t>
      </w:r>
      <w:r w:rsidR="00DC181F">
        <w:rPr>
          <w:rFonts w:ascii="Arial" w:hAnsi="Arial" w:cs="Arial"/>
          <w:sz w:val="20"/>
          <w:szCs w:val="20"/>
          <w:lang w:val="es-ES"/>
        </w:rPr>
        <w:t xml:space="preserve">. </w:t>
      </w:r>
      <w:r w:rsidR="00713555">
        <w:rPr>
          <w:rFonts w:ascii="Arial" w:hAnsi="Arial" w:cs="Arial"/>
          <w:sz w:val="20"/>
          <w:szCs w:val="20"/>
          <w:lang w:val="es-ES"/>
        </w:rPr>
        <w:t>En</w:t>
      </w:r>
      <w:r>
        <w:rPr>
          <w:rFonts w:ascii="Arial" w:hAnsi="Arial" w:cs="Arial"/>
          <w:sz w:val="20"/>
          <w:szCs w:val="20"/>
          <w:lang w:val="es-ES"/>
        </w:rPr>
        <w:t xml:space="preserve"> el E</w:t>
      </w:r>
      <w:r w:rsidR="00713555">
        <w:rPr>
          <w:rFonts w:ascii="Arial" w:hAnsi="Arial" w:cs="Arial"/>
          <w:sz w:val="20"/>
          <w:szCs w:val="20"/>
          <w:lang w:val="es-ES"/>
        </w:rPr>
        <w:t>nsayo 2, n</w:t>
      </w:r>
      <w:r w:rsidR="00DC181F">
        <w:rPr>
          <w:rFonts w:ascii="Arial" w:hAnsi="Arial" w:cs="Arial"/>
          <w:sz w:val="20"/>
          <w:szCs w:val="20"/>
          <w:lang w:val="es-ES"/>
        </w:rPr>
        <w:t>inguno de los tratamientos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redujo</w:t>
      </w:r>
      <w:r w:rsidR="00DC181F">
        <w:rPr>
          <w:rFonts w:ascii="Arial" w:hAnsi="Arial" w:cs="Arial"/>
          <w:sz w:val="20"/>
          <w:szCs w:val="20"/>
          <w:lang w:val="es-ES"/>
        </w:rPr>
        <w:t xml:space="preserve"> de forma significativa la incidencia </w:t>
      </w:r>
      <w:r>
        <w:rPr>
          <w:rFonts w:ascii="Arial" w:hAnsi="Arial" w:cs="Arial"/>
          <w:sz w:val="20"/>
          <w:szCs w:val="20"/>
          <w:lang w:val="es-ES"/>
        </w:rPr>
        <w:t>de las pudriciones</w:t>
      </w:r>
      <w:r w:rsidR="00DC181F">
        <w:rPr>
          <w:rFonts w:ascii="Arial" w:hAnsi="Arial" w:cs="Arial"/>
          <w:sz w:val="20"/>
          <w:szCs w:val="20"/>
          <w:lang w:val="es-ES"/>
        </w:rPr>
        <w:t xml:space="preserve"> (rango 24%-40%) comparado con</w:t>
      </w:r>
      <w:r w:rsidR="00713555">
        <w:rPr>
          <w:rFonts w:ascii="Arial" w:hAnsi="Arial" w:cs="Arial"/>
          <w:sz w:val="20"/>
          <w:szCs w:val="20"/>
          <w:lang w:val="es-ES"/>
        </w:rPr>
        <w:t xml:space="preserve"> el testigo (34%). </w:t>
      </w:r>
      <w:r w:rsidR="00713555" w:rsidRPr="00713555">
        <w:rPr>
          <w:rFonts w:ascii="Arial" w:hAnsi="Arial" w:cs="Arial"/>
          <w:sz w:val="20"/>
          <w:szCs w:val="20"/>
          <w:lang w:val="es-ES"/>
        </w:rPr>
        <w:t>Los frutos</w:t>
      </w:r>
      <w:r w:rsidR="006762CB">
        <w:rPr>
          <w:rFonts w:ascii="Arial" w:hAnsi="Arial" w:cs="Arial"/>
          <w:sz w:val="20"/>
          <w:szCs w:val="20"/>
          <w:lang w:val="es-ES"/>
        </w:rPr>
        <w:t xml:space="preserve"> del E</w:t>
      </w:r>
      <w:r w:rsidR="00713555" w:rsidRPr="00713555">
        <w:rPr>
          <w:rFonts w:ascii="Arial" w:hAnsi="Arial" w:cs="Arial"/>
          <w:sz w:val="20"/>
          <w:szCs w:val="20"/>
          <w:lang w:val="es-ES"/>
        </w:rPr>
        <w:t xml:space="preserve">nsayo 3 han sido cosechados (septiembre 2022) y </w:t>
      </w:r>
      <w:r w:rsidR="009C09FA">
        <w:rPr>
          <w:rFonts w:ascii="Arial" w:hAnsi="Arial" w:cs="Arial"/>
          <w:sz w:val="20"/>
          <w:szCs w:val="20"/>
          <w:lang w:val="es-ES"/>
        </w:rPr>
        <w:t>se encuentran</w:t>
      </w:r>
      <w:r w:rsidR="00713555">
        <w:rPr>
          <w:rFonts w:ascii="Arial" w:hAnsi="Arial" w:cs="Arial"/>
          <w:sz w:val="20"/>
          <w:szCs w:val="20"/>
          <w:lang w:val="es-ES"/>
        </w:rPr>
        <w:t xml:space="preserve"> </w:t>
      </w:r>
      <w:r w:rsidR="00713555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 xml:space="preserve">en almacenamiento </w:t>
      </w:r>
      <w:r w:rsidR="00713555" w:rsidRPr="00EC2880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refrigerado</w:t>
      </w:r>
      <w:r w:rsidR="00713555">
        <w:rPr>
          <w:rFonts w:ascii="Arial" w:hAnsi="Arial" w:cs="Arial"/>
          <w:sz w:val="20"/>
          <w:szCs w:val="20"/>
          <w:lang w:val="es-ES"/>
        </w:rPr>
        <w:t xml:space="preserve">. </w:t>
      </w:r>
      <w:r w:rsidR="009C09FA">
        <w:rPr>
          <w:rFonts w:ascii="Arial" w:hAnsi="Arial" w:cs="Arial"/>
          <w:sz w:val="20"/>
          <w:szCs w:val="20"/>
          <w:lang w:val="es-ES"/>
        </w:rPr>
        <w:t>Se discutirán l</w:t>
      </w:r>
      <w:r w:rsidR="00713555">
        <w:rPr>
          <w:rFonts w:ascii="Arial" w:hAnsi="Arial" w:cs="Arial"/>
          <w:sz w:val="20"/>
          <w:szCs w:val="20"/>
          <w:lang w:val="es-ES"/>
        </w:rPr>
        <w:t xml:space="preserve">os resultados en relación a la integración de </w:t>
      </w:r>
      <w:proofErr w:type="spellStart"/>
      <w:r w:rsidR="00713555">
        <w:rPr>
          <w:rFonts w:ascii="Arial" w:hAnsi="Arial" w:cs="Arial"/>
          <w:sz w:val="20"/>
          <w:szCs w:val="20"/>
          <w:lang w:val="es-ES"/>
        </w:rPr>
        <w:t>biofungicidas</w:t>
      </w:r>
      <w:proofErr w:type="spellEnd"/>
      <w:r w:rsidR="00713555">
        <w:rPr>
          <w:rFonts w:ascii="Arial" w:hAnsi="Arial" w:cs="Arial"/>
          <w:sz w:val="20"/>
          <w:szCs w:val="20"/>
          <w:lang w:val="es-ES"/>
        </w:rPr>
        <w:t xml:space="preserve"> en programas fitosanitarios vigentes.  </w:t>
      </w:r>
    </w:p>
    <w:p w14:paraId="6EF053EB" w14:textId="010C8298" w:rsidR="00854A6A" w:rsidRPr="00713555" w:rsidRDefault="00713555" w:rsidP="005A6D27">
      <w:pPr>
        <w:spacing w:after="120" w:line="240" w:lineRule="exact"/>
        <w:rPr>
          <w:lang w:val="es-ES"/>
        </w:rPr>
      </w:pPr>
      <w:r w:rsidRPr="00713555">
        <w:rPr>
          <w:rFonts w:ascii="Arial" w:hAnsi="Arial" w:cs="Arial"/>
          <w:b/>
          <w:sz w:val="20"/>
          <w:szCs w:val="20"/>
          <w:lang w:val="es-ES"/>
        </w:rPr>
        <w:t>Palabras clave</w:t>
      </w:r>
      <w:r w:rsidRPr="00713555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713555">
        <w:rPr>
          <w:rFonts w:ascii="Arial" w:hAnsi="Arial" w:cs="Arial"/>
          <w:i/>
          <w:sz w:val="20"/>
          <w:szCs w:val="20"/>
          <w:lang w:val="es-ES"/>
        </w:rPr>
        <w:t>Persea</w:t>
      </w:r>
      <w:proofErr w:type="spellEnd"/>
      <w:r w:rsidRPr="00713555">
        <w:rPr>
          <w:rFonts w:ascii="Arial" w:hAnsi="Arial" w:cs="Arial"/>
          <w:i/>
          <w:sz w:val="20"/>
          <w:szCs w:val="20"/>
          <w:lang w:val="es-ES"/>
        </w:rPr>
        <w:t xml:space="preserve"> americana</w:t>
      </w:r>
      <w:r w:rsidRPr="00713555">
        <w:rPr>
          <w:rFonts w:ascii="Arial" w:hAnsi="Arial" w:cs="Arial"/>
          <w:sz w:val="20"/>
          <w:szCs w:val="20"/>
          <w:lang w:val="es-ES"/>
        </w:rPr>
        <w:t xml:space="preserve">, </w:t>
      </w:r>
      <w:r w:rsidR="002147A9">
        <w:rPr>
          <w:rFonts w:ascii="Arial" w:hAnsi="Arial" w:cs="Arial"/>
          <w:sz w:val="20"/>
          <w:szCs w:val="20"/>
          <w:lang w:val="es-ES"/>
        </w:rPr>
        <w:t>aplicaciones</w:t>
      </w:r>
      <w:r w:rsidR="003C11B5">
        <w:rPr>
          <w:rFonts w:ascii="Arial" w:hAnsi="Arial" w:cs="Arial"/>
          <w:sz w:val="20"/>
          <w:szCs w:val="20"/>
          <w:lang w:val="es-ES"/>
        </w:rPr>
        <w:t xml:space="preserve"> a base de cobre</w:t>
      </w:r>
      <w:r w:rsidR="00FE7501">
        <w:rPr>
          <w:rFonts w:ascii="Arial" w:hAnsi="Arial" w:cs="Arial"/>
          <w:sz w:val="20"/>
          <w:szCs w:val="20"/>
          <w:lang w:val="es-ES"/>
        </w:rPr>
        <w:t>, manejo integrado de enfermedades</w:t>
      </w:r>
    </w:p>
    <w:sectPr w:rsidR="00854A6A" w:rsidRPr="00713555" w:rsidSect="002147A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NZ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05"/>
    <w:rsid w:val="00001C90"/>
    <w:rsid w:val="000043C6"/>
    <w:rsid w:val="0002388A"/>
    <w:rsid w:val="00023EDF"/>
    <w:rsid w:val="0002508F"/>
    <w:rsid w:val="00046087"/>
    <w:rsid w:val="00052643"/>
    <w:rsid w:val="0006480E"/>
    <w:rsid w:val="000B320E"/>
    <w:rsid w:val="000F0D65"/>
    <w:rsid w:val="001406E1"/>
    <w:rsid w:val="00146598"/>
    <w:rsid w:val="001472E9"/>
    <w:rsid w:val="00154BC1"/>
    <w:rsid w:val="00172537"/>
    <w:rsid w:val="00183273"/>
    <w:rsid w:val="001D32EC"/>
    <w:rsid w:val="002023B9"/>
    <w:rsid w:val="002147A9"/>
    <w:rsid w:val="00236A45"/>
    <w:rsid w:val="00246489"/>
    <w:rsid w:val="0025315C"/>
    <w:rsid w:val="00257A96"/>
    <w:rsid w:val="0027473C"/>
    <w:rsid w:val="002A43EB"/>
    <w:rsid w:val="002B6A7B"/>
    <w:rsid w:val="00320825"/>
    <w:rsid w:val="00326A4A"/>
    <w:rsid w:val="00371151"/>
    <w:rsid w:val="003761AF"/>
    <w:rsid w:val="003A556D"/>
    <w:rsid w:val="003C11B5"/>
    <w:rsid w:val="003C3A11"/>
    <w:rsid w:val="003F15FA"/>
    <w:rsid w:val="003F3AC7"/>
    <w:rsid w:val="004132E8"/>
    <w:rsid w:val="004334B9"/>
    <w:rsid w:val="00455046"/>
    <w:rsid w:val="00492067"/>
    <w:rsid w:val="00493ED9"/>
    <w:rsid w:val="004F268C"/>
    <w:rsid w:val="004F7203"/>
    <w:rsid w:val="005102E8"/>
    <w:rsid w:val="005113E8"/>
    <w:rsid w:val="005250A8"/>
    <w:rsid w:val="00545D8A"/>
    <w:rsid w:val="005650CE"/>
    <w:rsid w:val="00594597"/>
    <w:rsid w:val="005A6D27"/>
    <w:rsid w:val="005B3F9A"/>
    <w:rsid w:val="005D577A"/>
    <w:rsid w:val="00606283"/>
    <w:rsid w:val="006264A3"/>
    <w:rsid w:val="006329AB"/>
    <w:rsid w:val="0065170F"/>
    <w:rsid w:val="00660F9D"/>
    <w:rsid w:val="006762CB"/>
    <w:rsid w:val="006A217C"/>
    <w:rsid w:val="006E1F6D"/>
    <w:rsid w:val="006F64CC"/>
    <w:rsid w:val="00713555"/>
    <w:rsid w:val="0072223E"/>
    <w:rsid w:val="00722347"/>
    <w:rsid w:val="00731596"/>
    <w:rsid w:val="0075112B"/>
    <w:rsid w:val="00792D15"/>
    <w:rsid w:val="007A3F47"/>
    <w:rsid w:val="007A6AD6"/>
    <w:rsid w:val="007C2A23"/>
    <w:rsid w:val="007D5828"/>
    <w:rsid w:val="007E3B6F"/>
    <w:rsid w:val="007E5397"/>
    <w:rsid w:val="00814252"/>
    <w:rsid w:val="00844AB5"/>
    <w:rsid w:val="0085306A"/>
    <w:rsid w:val="00854A6A"/>
    <w:rsid w:val="008704CB"/>
    <w:rsid w:val="008773B8"/>
    <w:rsid w:val="00891257"/>
    <w:rsid w:val="008B72E2"/>
    <w:rsid w:val="008E38A9"/>
    <w:rsid w:val="00946993"/>
    <w:rsid w:val="00953D8E"/>
    <w:rsid w:val="0096082A"/>
    <w:rsid w:val="009B066A"/>
    <w:rsid w:val="009C09FA"/>
    <w:rsid w:val="00A12C70"/>
    <w:rsid w:val="00A3562C"/>
    <w:rsid w:val="00A46C05"/>
    <w:rsid w:val="00A5412A"/>
    <w:rsid w:val="00A575A5"/>
    <w:rsid w:val="00A96E27"/>
    <w:rsid w:val="00AA6B3B"/>
    <w:rsid w:val="00AB6E54"/>
    <w:rsid w:val="00AC6E78"/>
    <w:rsid w:val="00B231CA"/>
    <w:rsid w:val="00B23984"/>
    <w:rsid w:val="00B4112B"/>
    <w:rsid w:val="00B455EB"/>
    <w:rsid w:val="00B92D69"/>
    <w:rsid w:val="00BA30FD"/>
    <w:rsid w:val="00BC3AD6"/>
    <w:rsid w:val="00BD67AD"/>
    <w:rsid w:val="00BE4870"/>
    <w:rsid w:val="00CB2BE9"/>
    <w:rsid w:val="00CB447B"/>
    <w:rsid w:val="00CC7B10"/>
    <w:rsid w:val="00D14E0F"/>
    <w:rsid w:val="00D2689A"/>
    <w:rsid w:val="00D301AC"/>
    <w:rsid w:val="00D360E9"/>
    <w:rsid w:val="00DB0885"/>
    <w:rsid w:val="00DC181F"/>
    <w:rsid w:val="00DD286C"/>
    <w:rsid w:val="00E20B0B"/>
    <w:rsid w:val="00E32DAD"/>
    <w:rsid w:val="00E33460"/>
    <w:rsid w:val="00E4116C"/>
    <w:rsid w:val="00E51A4F"/>
    <w:rsid w:val="00E546B8"/>
    <w:rsid w:val="00E621A0"/>
    <w:rsid w:val="00E76CB2"/>
    <w:rsid w:val="00E8794B"/>
    <w:rsid w:val="00E96BAF"/>
    <w:rsid w:val="00ED1B4D"/>
    <w:rsid w:val="00ED7159"/>
    <w:rsid w:val="00F535D5"/>
    <w:rsid w:val="00FB1CE3"/>
    <w:rsid w:val="00FE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6673"/>
  <w15:chartTrackingRefBased/>
  <w15:docId w15:val="{2836E40A-F9EE-403E-ADF4-B044A46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545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4dd2d70e-177f-4c23-8ce9-fc74cad9c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B55A32239408B4BB7B8642BED8E" ma:contentTypeVersion="3" ma:contentTypeDescription="Create a new document." ma:contentTypeScope="" ma:versionID="a4d45e17f06bf834a37b3edd87c12b05">
  <xsd:schema xmlns:xsd="http://www.w3.org/2001/XMLSchema" xmlns:xs="http://www.w3.org/2001/XMLSchema" xmlns:p="http://schemas.microsoft.com/office/2006/metadata/properties" xmlns:ns3="4dd2d70e-177f-4c23-8ce9-fc74cad9c6cc" targetNamespace="http://schemas.microsoft.com/office/2006/metadata/properties" ma:root="true" ma:fieldsID="c66de27922893241672cb37283ce4939" ns3:_="">
    <xsd:import namespace="4dd2d70e-177f-4c23-8ce9-fc74cad9c6cc"/>
    <xsd:element name="properties">
      <xsd:complexType>
        <xsd:sequence>
          <xsd:element name="documentManagement">
            <xsd:complexType>
              <xsd:all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2d70e-177f-4c23-8ce9-fc74cad9c6c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Type" ma:format="Dropdown" ma:internalName="DocType">
      <xsd:simpleType>
        <xsd:restriction base="dms:Choice">
          <xsd:enumeration value="Applications"/>
          <xsd:enumeration value="Correspondence"/>
          <xsd:enumeration value="General reports"/>
          <xsd:enumeration value="Minutes/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40DD1-F43F-4A51-B3E6-561E241C6937}">
  <ds:schemaRefs>
    <ds:schemaRef ds:uri="http://schemas.microsoft.com/office/2006/metadata/properties"/>
    <ds:schemaRef ds:uri="http://schemas.microsoft.com/office/infopath/2007/PartnerControls"/>
    <ds:schemaRef ds:uri="4dd2d70e-177f-4c23-8ce9-fc74cad9c6cc"/>
  </ds:schemaRefs>
</ds:datastoreItem>
</file>

<file path=customXml/itemProps2.xml><?xml version="1.0" encoding="utf-8"?>
<ds:datastoreItem xmlns:ds="http://schemas.openxmlformats.org/officeDocument/2006/customXml" ds:itemID="{77992C76-AD49-4E66-A4FD-31410F842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1CEED-5D46-483C-BEC2-49A21A24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2d70e-177f-4c23-8ce9-fc74cad9c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Biofungicides_abstract</vt:lpstr>
    </vt:vector>
  </TitlesOfParts>
  <Company>Plant &amp; Food Research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Biofungicides_abstract</dc:title>
  <dc:subject/>
  <dc:creator>Lucia Ramos Romero</dc:creator>
  <cp:keywords/>
  <dc:description/>
  <cp:lastModifiedBy>Lucia Ramos Romero</cp:lastModifiedBy>
  <cp:revision>10</cp:revision>
  <dcterms:created xsi:type="dcterms:W3CDTF">2022-10-10T01:51:00Z</dcterms:created>
  <dcterms:modified xsi:type="dcterms:W3CDTF">2022-10-10T07:41:00Z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0x0101009C9B9B55A32239408B4BB7B8642BED8E</vt:lpwstr>
  </property>
</Properties>
</file>